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highlight w:val="none"/>
        </w:rPr>
      </w:pPr>
      <w:bookmarkStart w:id="0" w:name="_Hlk57883707"/>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bookmarkEnd w:id="0"/>
    <w:p>
      <w:pPr>
        <w:adjustRightInd w:val="0"/>
        <w:snapToGrid w:val="0"/>
        <w:jc w:val="center"/>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pPr>
        <w:adjustRightInd w:val="0"/>
        <w:snapToGrid w:val="0"/>
        <w:spacing w:before="249"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pPr>
        <w:adjustRightInd w:val="0"/>
        <w:snapToGrid w:val="0"/>
        <w:spacing w:line="288" w:lineRule="auto"/>
        <w:jc w:val="center"/>
        <w:rPr>
          <w:rFonts w:hint="default" w:ascii="Times New Roman" w:hAnsi="Times New Roman" w:eastAsia="华文仿宋" w:cs="Times New Roman"/>
          <w:color w:val="auto"/>
          <w:kern w:val="44"/>
          <w:sz w:val="44"/>
          <w:szCs w:val="44"/>
          <w:highlight w:val="none"/>
        </w:rPr>
      </w:pPr>
      <w:bookmarkStart w:id="1" w:name="_Hlk57883728"/>
    </w:p>
    <w:p>
      <w:pPr>
        <w:jc w:val="center"/>
        <w:rPr>
          <w:rFonts w:hint="default" w:ascii="Times New Roman" w:hAnsi="Times New Roman" w:eastAsia="仿宋" w:cs="Times New Roman"/>
          <w:color w:val="auto"/>
          <w:sz w:val="52"/>
          <w:szCs w:val="52"/>
          <w:highlight w:val="none"/>
        </w:rPr>
      </w:pPr>
    </w:p>
    <w:p>
      <w:pPr>
        <w:ind w:firstLine="1040"/>
        <w:rPr>
          <w:rFonts w:hint="default" w:ascii="Times New Roman" w:hAnsi="Times New Roman" w:eastAsia="仿宋" w:cs="Times New Roman"/>
          <w:color w:val="auto"/>
          <w:sz w:val="44"/>
          <w:szCs w:val="44"/>
          <w:highlight w:val="none"/>
        </w:rPr>
      </w:pPr>
    </w:p>
    <w:p>
      <w:pPr>
        <w:pStyle w:val="2"/>
        <w:rPr>
          <w:rFonts w:hint="default" w:ascii="Times New Roman" w:hAnsi="Times New Roman" w:eastAsia="仿宋" w:cs="Times New Roman"/>
          <w:color w:val="auto"/>
          <w:sz w:val="44"/>
          <w:szCs w:val="44"/>
          <w:highlight w:val="none"/>
        </w:rPr>
      </w:pPr>
    </w:p>
    <w:p>
      <w:pPr>
        <w:pStyle w:val="3"/>
        <w:rPr>
          <w:rFonts w:hint="default" w:ascii="Times New Roman" w:hAnsi="Times New Roman" w:eastAsia="仿宋" w:cs="Times New Roman"/>
          <w:color w:val="auto"/>
          <w:sz w:val="44"/>
          <w:szCs w:val="44"/>
          <w:highlight w:val="none"/>
        </w:rPr>
      </w:pPr>
    </w:p>
    <w:p>
      <w:pPr>
        <w:pStyle w:val="4"/>
        <w:rPr>
          <w:rFonts w:hint="default"/>
          <w:color w:val="auto"/>
          <w:highlight w:val="none"/>
        </w:rPr>
      </w:pPr>
    </w:p>
    <w:p>
      <w:pPr>
        <w:rPr>
          <w:rFonts w:hint="default" w:ascii="Times New Roman" w:hAnsi="Times New Roman" w:eastAsia="仿宋" w:cs="Times New Roman"/>
          <w:color w:val="auto"/>
          <w:sz w:val="44"/>
          <w:szCs w:val="44"/>
          <w:highlight w:val="none"/>
        </w:rPr>
      </w:pPr>
    </w:p>
    <w:bookmarkEnd w:id="1"/>
    <w:p>
      <w:pPr>
        <w:adjustRightInd w:val="0"/>
        <w:snapToGrid w:val="0"/>
        <w:spacing w:line="288" w:lineRule="auto"/>
        <w:ind w:left="1630" w:hanging="1630" w:hangingChars="500"/>
        <w:jc w:val="left"/>
        <w:rPr>
          <w:rFonts w:hint="default" w:ascii="Times New Roman" w:hAnsi="Times New Roman" w:eastAsia="仿宋_GB2312" w:cs="Times New Roman"/>
          <w:color w:val="auto"/>
          <w:spacing w:val="-17"/>
          <w:sz w:val="36"/>
          <w:szCs w:val="36"/>
          <w:highlight w:val="none"/>
          <w:u w:val="single"/>
          <w:lang w:val="en-US"/>
        </w:rPr>
      </w:pPr>
      <w:r>
        <w:rPr>
          <w:rFonts w:hint="default" w:ascii="Times New Roman" w:hAnsi="Times New Roman" w:eastAsia="仿宋_GB2312" w:cs="Times New Roman"/>
          <w:color w:val="auto"/>
          <w:spacing w:val="-17"/>
          <w:sz w:val="36"/>
          <w:szCs w:val="36"/>
          <w:highlight w:val="none"/>
        </w:rPr>
        <w:t>项目名称：</w:t>
      </w:r>
      <w:r>
        <w:rPr>
          <w:rFonts w:hint="eastAsia" w:eastAsia="仿宋_GB2312" w:cs="Times New Roman"/>
          <w:color w:val="auto"/>
          <w:sz w:val="36"/>
          <w:szCs w:val="36"/>
          <w:highlight w:val="none"/>
          <w:u w:val="single"/>
          <w:lang w:val="en-US" w:eastAsia="zh-CN"/>
        </w:rPr>
        <w:t>黑龙江省哈松滨食品有限公司肉灌制品及卤肉制品</w:t>
      </w:r>
      <w:r>
        <w:rPr>
          <w:rFonts w:hint="eastAsia" w:eastAsia="仿宋_GB2312" w:cs="Times New Roman"/>
          <w:color w:val="auto"/>
          <w:sz w:val="36"/>
          <w:szCs w:val="36"/>
          <w:highlight w:val="none"/>
          <w:u w:val="single"/>
          <w:lang w:eastAsia="zh-CN"/>
        </w:rPr>
        <w:t>生产建设项目</w:t>
      </w:r>
      <w:r>
        <w:rPr>
          <w:rFonts w:hint="eastAsia" w:eastAsia="仿宋_GB2312" w:cs="Times New Roman"/>
          <w:color w:val="auto"/>
          <w:sz w:val="36"/>
          <w:szCs w:val="36"/>
          <w:highlight w:val="none"/>
          <w:u w:val="single"/>
          <w:lang w:val="en-US" w:eastAsia="zh-CN"/>
        </w:rPr>
        <w:t xml:space="preserve">                            </w:t>
      </w:r>
    </w:p>
    <w:p>
      <w:pPr>
        <w:adjustRightInd w:val="0"/>
        <w:snapToGrid w:val="0"/>
        <w:spacing w:line="288" w:lineRule="auto"/>
        <w:rPr>
          <w:rFonts w:hint="default" w:ascii="Times New Roman" w:hAnsi="Times New Roman" w:eastAsia="仿宋_GB2312" w:cs="Times New Roman"/>
          <w:color w:val="auto"/>
          <w:sz w:val="36"/>
          <w:szCs w:val="36"/>
          <w:highlight w:val="none"/>
          <w:u w:val="single"/>
          <w:lang w:val="en-US"/>
        </w:rPr>
      </w:pPr>
      <w:r>
        <w:rPr>
          <w:rFonts w:hint="default" w:ascii="Times New Roman" w:hAnsi="Times New Roman" w:eastAsia="仿宋_GB2312" w:cs="Times New Roman"/>
          <w:color w:val="auto"/>
          <w:sz w:val="36"/>
          <w:szCs w:val="36"/>
          <w:highlight w:val="none"/>
        </w:rPr>
        <w:t>建设单位：</w:t>
      </w:r>
      <w:r>
        <w:rPr>
          <w:rFonts w:hint="eastAsia" w:eastAsia="仿宋_GB2312" w:cs="Times New Roman"/>
          <w:color w:val="auto"/>
          <w:sz w:val="36"/>
          <w:szCs w:val="36"/>
          <w:highlight w:val="none"/>
          <w:u w:val="single"/>
          <w:lang w:val="en-US" w:eastAsia="zh-CN"/>
        </w:rPr>
        <w:t xml:space="preserve">       黑龙江省哈松滨食品有限公司        </w:t>
      </w:r>
    </w:p>
    <w:p>
      <w:pPr>
        <w:adjustRightInd w:val="0"/>
        <w:snapToGrid w:val="0"/>
        <w:spacing w:line="288" w:lineRule="auto"/>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编制日期：</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3</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10</w:t>
      </w:r>
      <w:r>
        <w:rPr>
          <w:rFonts w:hint="default" w:ascii="Times New Roman" w:hAnsi="Times New Roman" w:eastAsia="仿宋_GB2312" w:cs="Times New Roman"/>
          <w:color w:val="auto"/>
          <w:sz w:val="36"/>
          <w:szCs w:val="36"/>
          <w:highlight w:val="none"/>
          <w:u w:val="single"/>
        </w:rPr>
        <w:t xml:space="preserve">月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eastAsia"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pPr>
        <w:adjustRightInd w:val="0"/>
        <w:snapToGrid w:val="0"/>
        <w:spacing w:line="288" w:lineRule="auto"/>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pPr>
        <w:adjustRightInd w:val="0"/>
        <w:snapToGrid w:val="0"/>
        <w:spacing w:line="288" w:lineRule="auto"/>
        <w:jc w:val="center"/>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w:t>
      </w:r>
    </w:p>
    <w:p>
      <w:pPr>
        <w:pStyle w:val="2"/>
        <w:rPr>
          <w:rFonts w:hint="default" w:ascii="Times New Roman" w:hAnsi="Times New Roman" w:eastAsia="楷体_GB2312" w:cs="Times New Roman"/>
          <w:color w:val="auto"/>
          <w:sz w:val="36"/>
          <w:szCs w:val="36"/>
          <w:highlight w:val="none"/>
        </w:rPr>
      </w:pPr>
    </w:p>
    <w:p>
      <w:pPr>
        <w:pStyle w:val="4"/>
        <w:ind w:left="0" w:leftChars="0" w:firstLine="0" w:firstLineChars="0"/>
        <w:rPr>
          <w:rFonts w:hint="eastAsia" w:eastAsia="楷体_GB2312"/>
          <w:lang w:eastAsia="zh-CN"/>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bookmarkStart w:id="19" w:name="_GoBack"/>
      <w:bookmarkEnd w:id="19"/>
      <w:r>
        <w:rPr>
          <w:rFonts w:hint="eastAsia" w:eastAsia="楷体_GB2312"/>
          <w:lang w:eastAsia="zh-CN"/>
        </w:rPr>
        <w:drawing>
          <wp:inline distT="0" distB="0" distL="114300" distR="114300">
            <wp:extent cx="5564505" cy="8169275"/>
            <wp:effectExtent l="0" t="0" r="17145" b="3175"/>
            <wp:docPr id="19" name="图片 19" descr="松滨资质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松滨资质页_00"/>
                    <pic:cNvPicPr>
                      <a:picLocks noChangeAspect="1"/>
                    </pic:cNvPicPr>
                  </pic:nvPicPr>
                  <pic:blipFill>
                    <a:blip r:embed="rId8"/>
                    <a:stretch>
                      <a:fillRect/>
                    </a:stretch>
                  </pic:blipFill>
                  <pic:spPr>
                    <a:xfrm>
                      <a:off x="0" y="0"/>
                      <a:ext cx="5564505" cy="8169275"/>
                    </a:xfrm>
                    <a:prstGeom prst="rect">
                      <a:avLst/>
                    </a:prstGeom>
                  </pic:spPr>
                </pic:pic>
              </a:graphicData>
            </a:graphic>
          </wp:inline>
        </w:drawing>
      </w:r>
    </w:p>
    <w:p>
      <w:pPr>
        <w:pStyle w:val="28"/>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2" w:name="_Toc16950"/>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2"/>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6"/>
        <w:gridCol w:w="2141"/>
        <w:gridCol w:w="2146"/>
        <w:gridCol w:w="31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cs="Times New Roman"/>
                <w:color w:val="auto"/>
                <w:kern w:val="21"/>
                <w:szCs w:val="21"/>
                <w:highlight w:val="none"/>
                <w:lang w:val="en-US" w:eastAsia="zh-CN"/>
              </w:rPr>
              <w:t>黑龙江省哈松滨食品有限公司肉灌制品及卤肉制品生产建设项目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1179"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ascii="宋体" w:hAnsi="宋体" w:eastAsia="宋体" w:cs="宋体"/>
                <w:color w:val="auto"/>
                <w:sz w:val="21"/>
                <w:szCs w:val="21"/>
                <w:highlight w:val="none"/>
                <w:lang w:val="en-US" w:eastAsia="zh-CN"/>
              </w:rPr>
              <w:t>赵德林</w:t>
            </w:r>
          </w:p>
        </w:tc>
        <w:tc>
          <w:tcPr>
            <w:tcW w:w="1182"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1743"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eastAsia="宋体" w:cs="Times New Roman"/>
                <w:color w:val="auto"/>
                <w:sz w:val="21"/>
                <w:szCs w:val="21"/>
                <w:highlight w:val="none"/>
                <w:lang w:val="en-US" w:eastAsia="zh-CN"/>
              </w:rPr>
              <w:t>15845126669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s="Times New Roman" w:eastAsiaTheme="minorEastAsia"/>
                <w:color w:val="auto"/>
                <w:szCs w:val="21"/>
                <w:highlight w:val="none"/>
                <w:lang w:val="en-US" w:eastAsia="zh-CN"/>
              </w:rPr>
              <w:t>黑龙江省</w:t>
            </w:r>
            <w:r>
              <w:rPr>
                <w:rFonts w:hint="default" w:ascii="Times New Roman" w:hAnsi="Times New Roman" w:cs="Times New Roman" w:eastAsiaTheme="minorEastAsia"/>
                <w:color w:val="auto"/>
                <w:szCs w:val="21"/>
                <w:highlight w:val="none"/>
              </w:rPr>
              <w:t>哈尔滨市</w:t>
            </w:r>
            <w:r>
              <w:rPr>
                <w:rFonts w:hint="eastAsia" w:cs="Times New Roman" w:eastAsiaTheme="minorEastAsia"/>
                <w:color w:val="auto"/>
                <w:szCs w:val="21"/>
                <w:highlight w:val="none"/>
                <w:lang w:val="en-US" w:eastAsia="zh-CN"/>
              </w:rPr>
              <w:t>双城经济开发区食品园区内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u w:val="single"/>
              </w:rPr>
              <w:t xml:space="preserve"> 12</w:t>
            </w:r>
            <w:r>
              <w:rPr>
                <w:rFonts w:hint="eastAsia" w:cs="Times New Roman" w:eastAsiaTheme="minorEastAsia"/>
                <w:color w:val="auto"/>
                <w:szCs w:val="21"/>
                <w:highlight w:val="none"/>
                <w:u w:val="single"/>
                <w:lang w:val="en-US" w:eastAsia="zh-CN"/>
              </w:rPr>
              <w:t>6</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21</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33.000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r>
              <w:rPr>
                <w:rFonts w:hint="default" w:ascii="Times New Roman" w:hAnsi="Times New Roman" w:cs="Times New Roman" w:eastAsiaTheme="minorEastAsia"/>
                <w:color w:val="auto"/>
                <w:szCs w:val="21"/>
                <w:highlight w:val="none"/>
                <w:u w:val="single"/>
              </w:rPr>
              <w:t xml:space="preserve"> 4</w:t>
            </w:r>
            <w:r>
              <w:rPr>
                <w:rFonts w:hint="eastAsia" w:cs="Times New Roman" w:eastAsiaTheme="minorEastAsia"/>
                <w:color w:val="auto"/>
                <w:szCs w:val="21"/>
                <w:highlight w:val="none"/>
                <w:u w:val="single"/>
                <w:lang w:val="en-US" w:eastAsia="zh-CN"/>
              </w:rPr>
              <w:t>5</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23</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24.690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top"/>
          </w:tcPr>
          <w:p>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1"/>
                <w:szCs w:val="21"/>
                <w:highlight w:val="none"/>
                <w:lang w:val="en-US"/>
              </w:rPr>
            </w:pPr>
            <w:r>
              <w:rPr>
                <w:rFonts w:hint="default"/>
                <w:color w:val="auto"/>
                <w:sz w:val="21"/>
                <w:highlight w:val="none"/>
              </w:rPr>
              <w:t>C1353肉制品及副产品加工</w:t>
            </w:r>
          </w:p>
        </w:tc>
        <w:tc>
          <w:tcPr>
            <w:tcW w:w="1182"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top"/>
          </w:tcPr>
          <w:p>
            <w:pPr>
              <w:keepNext w:val="0"/>
              <w:keepLines w:val="0"/>
              <w:widowControl/>
              <w:suppressLineNumbers w:val="0"/>
              <w:spacing w:before="0" w:beforeAutospacing="0" w:after="0" w:afterAutospacing="0"/>
              <w:ind w:left="0" w:right="0"/>
              <w:jc w:val="left"/>
              <w:rPr>
                <w:rFonts w:hint="default" w:eastAsia="宋体"/>
                <w:color w:val="auto"/>
                <w:highlight w:val="none"/>
                <w:lang w:val="en-US" w:eastAsia="zh-CN"/>
              </w:rPr>
            </w:pPr>
            <w:r>
              <w:rPr>
                <w:rFonts w:hint="default"/>
                <w:color w:val="auto"/>
                <w:szCs w:val="21"/>
                <w:highlight w:val="none"/>
              </w:rPr>
              <w:t>十一、食品制造业—24、其他食品制造</w:t>
            </w:r>
            <w:r>
              <w:rPr>
                <w:rFonts w:hint="eastAsia"/>
                <w:color w:val="auto"/>
                <w:szCs w:val="21"/>
                <w:highlight w:val="none"/>
                <w:lang w:val="en-US" w:eastAsia="zh-CN"/>
              </w:rPr>
              <w:t>149*</w:t>
            </w:r>
            <w:r>
              <w:rPr>
                <w:rFonts w:hint="default"/>
                <w:color w:val="auto"/>
                <w:szCs w:val="21"/>
                <w:highlight w:val="none"/>
              </w:rPr>
              <w:t>-其他未列明食品制造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新建（迁建）</w:t>
            </w:r>
          </w:p>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改建</w:t>
            </w:r>
          </w:p>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扩建</w:t>
            </w:r>
          </w:p>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pPr>
              <w:keepNext w:val="0"/>
              <w:keepLines w:val="0"/>
              <w:suppressLineNumbers w:val="0"/>
              <w:spacing w:before="0" w:beforeAutospacing="0" w:after="0" w:afterAutospacing="0"/>
              <w:ind w:left="0" w:right="0"/>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pPr>
              <w:keepNext w:val="0"/>
              <w:keepLines w:val="0"/>
              <w:suppressLineNumbers w:val="0"/>
              <w:spacing w:before="0" w:beforeAutospacing="0" w:after="0" w:afterAutospacing="0"/>
              <w:ind w:left="0" w:right="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1179" w:type="pct"/>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highlight w:val="none"/>
                <w:lang w:val="en-US" w:eastAsia="zh-CN"/>
              </w:rPr>
            </w:pPr>
            <w:r>
              <w:rPr>
                <w:rFonts w:hint="eastAsia" w:eastAsia="宋体" w:cs="Times New Roman"/>
                <w:color w:val="auto"/>
                <w:kern w:val="21"/>
                <w:highlight w:val="none"/>
                <w:lang w:val="en-US" w:eastAsia="zh-CN"/>
              </w:rPr>
              <w:t>12000</w:t>
            </w:r>
          </w:p>
        </w:tc>
        <w:tc>
          <w:tcPr>
            <w:tcW w:w="1182"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1179" w:type="pct"/>
            <w:vAlign w:val="center"/>
          </w:tcPr>
          <w:p>
            <w:pPr>
              <w:pStyle w:val="79"/>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2.5</w:t>
            </w:r>
          </w:p>
        </w:tc>
        <w:tc>
          <w:tcPr>
            <w:tcW w:w="1182"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施工工期</w:t>
            </w:r>
          </w:p>
        </w:tc>
        <w:tc>
          <w:tcPr>
            <w:tcW w:w="17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2023年11月-2024年9月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Cs w:val="21"/>
                <w:highlight w:val="none"/>
                <w:lang w:val="en-US" w:eastAsia="zh-CN"/>
              </w:rPr>
            </w:pPr>
            <w:r>
              <w:rPr>
                <w:rFonts w:hint="eastAsia" w:eastAsia="宋体" w:cs="Times New Roman"/>
                <w:b w:val="0"/>
                <w:bCs w:val="0"/>
                <w:color w:val="auto"/>
                <w:kern w:val="21"/>
                <w:sz w:val="21"/>
                <w:szCs w:val="21"/>
                <w:highlight w:val="none"/>
                <w:lang w:val="en-US" w:eastAsia="zh-CN" w:bidi="ar-SA"/>
              </w:rPr>
              <w:t>61762.5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pPr>
              <w:keepNext w:val="0"/>
              <w:keepLines w:val="0"/>
              <w:suppressLineNumbers w:val="0"/>
              <w:snapToGrid w:val="0"/>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pPr>
              <w:keepNext w:val="0"/>
              <w:keepLines w:val="0"/>
              <w:suppressLineNumbers w:val="0"/>
              <w:snapToGrid w:val="0"/>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2"/>
              <w:gridCol w:w="40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，不需设置大气专项评价。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w:t>
                  </w:r>
                  <w:r>
                    <w:rPr>
                      <w:rFonts w:hint="eastAsia" w:ascii="Times New Roman" w:hAnsi="Times New Roman"/>
                      <w:color w:val="auto"/>
                      <w:sz w:val="18"/>
                      <w:szCs w:val="18"/>
                      <w:highlight w:val="none"/>
                      <w:lang w:val="en-US" w:eastAsia="zh-CN"/>
                    </w:rPr>
                    <w:t>涉及的危险物质为天然气和</w:t>
                  </w:r>
                  <w:r>
                    <w:rPr>
                      <w:rFonts w:hint="default" w:ascii="Times New Roman" w:hAnsi="Times New Roman" w:eastAsia="宋体" w:cs="Times New Roman"/>
                      <w:color w:val="auto"/>
                      <w:sz w:val="18"/>
                      <w:szCs w:val="18"/>
                      <w:highlight w:val="none"/>
                      <w:lang w:val="en-US" w:eastAsia="zh-CN"/>
                    </w:rPr>
                    <w:t>废水处理消毒剂</w:t>
                  </w:r>
                  <w:r>
                    <w:rPr>
                      <w:rFonts w:hint="default" w:ascii="Times New Roman" w:hAnsi="Times New Roman" w:eastAsia="宋体" w:cs="Times New Roman"/>
                      <w:color w:val="auto"/>
                      <w:sz w:val="18"/>
                      <w:szCs w:val="18"/>
                      <w:highlight w:val="none"/>
                    </w:rPr>
                    <w:t>二氧化氯</w:t>
                  </w:r>
                  <w:r>
                    <w:rPr>
                      <w:rFonts w:hint="eastAsia" w:ascii="Times New Roman" w:hAnsi="Times New Roman"/>
                      <w:color w:val="auto"/>
                      <w:sz w:val="18"/>
                      <w:szCs w:val="18"/>
                      <w:highlight w:val="none"/>
                    </w:rPr>
                    <w:t>，</w:t>
                  </w:r>
                  <w:r>
                    <w:rPr>
                      <w:rFonts w:hint="eastAsia" w:ascii="Times New Roman" w:hAnsi="Times New Roman"/>
                      <w:color w:val="auto"/>
                      <w:sz w:val="18"/>
                      <w:szCs w:val="18"/>
                      <w:highlight w:val="none"/>
                      <w:lang w:val="en-US" w:eastAsia="zh-CN"/>
                    </w:rPr>
                    <w:t>危险物质储存未超过临界量，</w:t>
                  </w:r>
                  <w:r>
                    <w:rPr>
                      <w:rFonts w:hint="eastAsia" w:ascii="Times New Roman" w:hAnsi="Times New Roman"/>
                      <w:color w:val="auto"/>
                      <w:sz w:val="18"/>
                      <w:szCs w:val="18"/>
                      <w:highlight w:val="none"/>
                    </w:rPr>
                    <w:t>因此不设置环境风险专项评价。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本项目供水</w:t>
                  </w:r>
                  <w:r>
                    <w:rPr>
                      <w:rFonts w:hint="eastAsia" w:ascii="Times New Roman" w:hAnsi="Times New Roman"/>
                      <w:color w:val="auto"/>
                      <w:sz w:val="18"/>
                      <w:szCs w:val="18"/>
                      <w:highlight w:val="none"/>
                      <w:lang w:val="en-US" w:eastAsia="zh-CN"/>
                    </w:rPr>
                    <w:t>为市政供水管网，不属于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noWrap w:val="0"/>
                  <w:vAlign w:val="center"/>
                </w:tcPr>
                <w:p>
                  <w:pPr>
                    <w:pStyle w:val="26"/>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4104" w:type="pct"/>
            <w:gridSpan w:val="3"/>
            <w:tcMar>
              <w:top w:w="16" w:type="dxa"/>
              <w:left w:w="16" w:type="dxa"/>
              <w:right w:w="16" w:type="dxa"/>
            </w:tcMar>
            <w:vAlign w:val="center"/>
          </w:tcPr>
          <w:p>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eastAsia="宋体" w:cs="Times New Roman Regular"/>
                <w:color w:val="auto"/>
                <w:kern w:val="0"/>
                <w:sz w:val="21"/>
                <w:szCs w:val="21"/>
                <w:highlight w:val="none"/>
                <w:lang w:val="en-US" w:eastAsia="zh-CN" w:bidi="ar-SA"/>
              </w:rPr>
              <w:t>《双城经济开发区总体规划</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12</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4104" w:type="pct"/>
            <w:gridSpan w:val="3"/>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eastAsia="宋体" w:cs="Times New Roman Regular"/>
                <w:color w:val="auto"/>
                <w:kern w:val="0"/>
                <w:sz w:val="21"/>
                <w:szCs w:val="21"/>
                <w:highlight w:val="none"/>
                <w:lang w:val="en-US" w:eastAsia="zh-CN" w:bidi="ar-SA"/>
              </w:rPr>
              <w:t>《</w:t>
            </w:r>
            <w:r>
              <w:rPr>
                <w:rFonts w:hint="default" w:ascii="Times New Roman Regular" w:hAnsi="Times New Roman Regular" w:eastAsia="宋体" w:cs="Times New Roman Regular"/>
                <w:color w:val="auto"/>
                <w:kern w:val="0"/>
                <w:sz w:val="21"/>
                <w:szCs w:val="21"/>
                <w:highlight w:val="none"/>
                <w:lang w:val="en-US" w:eastAsia="zh-CN" w:bidi="ar-SA"/>
              </w:rPr>
              <w:t>双城经济开发区总体规划环境影响报告书》，</w:t>
            </w:r>
            <w:r>
              <w:rPr>
                <w:rFonts w:hint="eastAsia" w:ascii="Times New Roman Regular" w:hAnsi="Times New Roman Regular" w:eastAsia="宋体" w:cs="Times New Roman Regular"/>
                <w:color w:val="auto"/>
                <w:kern w:val="0"/>
                <w:sz w:val="21"/>
                <w:szCs w:val="21"/>
                <w:highlight w:val="none"/>
                <w:lang w:val="en-US" w:eastAsia="zh-CN" w:bidi="ar-SA"/>
              </w:rPr>
              <w:t>黑龙江省环境保护厅</w:t>
            </w:r>
            <w:r>
              <w:rPr>
                <w:rFonts w:hint="default" w:ascii="Times New Roman Regular" w:hAnsi="Times New Roman Regular" w:eastAsia="宋体" w:cs="Times New Roman Regular"/>
                <w:color w:val="auto"/>
                <w:kern w:val="0"/>
                <w:sz w:val="21"/>
                <w:szCs w:val="21"/>
                <w:highlight w:val="none"/>
                <w:lang w:val="en-US" w:eastAsia="zh-CN" w:bidi="ar-SA"/>
              </w:rPr>
              <w:t>，</w:t>
            </w:r>
            <w:r>
              <w:rPr>
                <w:rFonts w:hint="eastAsia" w:ascii="Times New Roman Regular" w:hAnsi="Times New Roman Regular" w:cs="Times New Roman Regular"/>
                <w:color w:val="auto"/>
                <w:kern w:val="0"/>
                <w:sz w:val="21"/>
                <w:szCs w:val="21"/>
                <w:highlight w:val="none"/>
                <w:lang w:val="en-US" w:eastAsia="zh-CN" w:bidi="ar-SA"/>
              </w:rPr>
              <w:t>《</w:t>
            </w:r>
            <w:r>
              <w:rPr>
                <w:rFonts w:hint="default" w:ascii="Times New Roman Regular" w:hAnsi="Times New Roman Regular" w:eastAsia="宋体" w:cs="Times New Roman Regular"/>
                <w:color w:val="auto"/>
                <w:kern w:val="0"/>
                <w:sz w:val="21"/>
                <w:szCs w:val="21"/>
                <w:highlight w:val="none"/>
                <w:lang w:val="en-US" w:eastAsia="zh-CN" w:bidi="ar-SA"/>
              </w:rPr>
              <w:t>关于双城经济开发区总体规划环境影响报告书</w:t>
            </w:r>
            <w:r>
              <w:rPr>
                <w:rFonts w:hint="eastAsia" w:ascii="Times New Roman Regular" w:hAnsi="Times New Roman Regular" w:eastAsia="宋体" w:cs="Times New Roman Regular"/>
                <w:color w:val="auto"/>
                <w:kern w:val="0"/>
                <w:sz w:val="21"/>
                <w:szCs w:val="21"/>
                <w:highlight w:val="none"/>
                <w:lang w:val="en-US" w:eastAsia="zh-CN" w:bidi="ar-SA"/>
              </w:rPr>
              <w:t>的</w:t>
            </w:r>
            <w:r>
              <w:rPr>
                <w:rFonts w:hint="default" w:ascii="Times New Roman Regular" w:hAnsi="Times New Roman Regular" w:eastAsia="宋体" w:cs="Times New Roman Regular"/>
                <w:color w:val="auto"/>
                <w:kern w:val="0"/>
                <w:sz w:val="21"/>
                <w:szCs w:val="21"/>
                <w:highlight w:val="none"/>
                <w:lang w:val="en-US" w:eastAsia="zh-CN" w:bidi="ar-SA"/>
              </w:rPr>
              <w:t>审查意见</w:t>
            </w:r>
            <w:r>
              <w:rPr>
                <w:rFonts w:hint="eastAsia" w:ascii="Times New Roman Regular" w:hAnsi="Times New Roman Regular" w:cs="Times New Roman Regular"/>
                <w:color w:val="auto"/>
                <w:kern w:val="0"/>
                <w:sz w:val="21"/>
                <w:szCs w:val="21"/>
                <w:highlight w:val="none"/>
                <w:lang w:val="en-US" w:eastAsia="zh-CN" w:bidi="ar-SA"/>
              </w:rPr>
              <w:t>》（</w:t>
            </w:r>
            <w:r>
              <w:rPr>
                <w:rFonts w:hint="eastAsia" w:ascii="Times New Roman Regular" w:hAnsi="Times New Roman Regular" w:eastAsia="宋体" w:cs="Times New Roman Regular"/>
                <w:color w:val="auto"/>
                <w:kern w:val="0"/>
                <w:sz w:val="21"/>
                <w:szCs w:val="21"/>
                <w:highlight w:val="none"/>
                <w:lang w:val="en-US" w:eastAsia="zh-CN" w:bidi="ar-SA"/>
              </w:rPr>
              <w:t>黑</w:t>
            </w:r>
            <w:r>
              <w:rPr>
                <w:rFonts w:hint="default" w:ascii="Times New Roman Regular" w:hAnsi="Times New Roman Regular" w:eastAsia="宋体" w:cs="Times New Roman Regular"/>
                <w:color w:val="auto"/>
                <w:kern w:val="0"/>
                <w:sz w:val="21"/>
                <w:szCs w:val="21"/>
                <w:highlight w:val="none"/>
                <w:lang w:val="en-US" w:eastAsia="zh-CN" w:bidi="ar-SA"/>
              </w:rPr>
              <w:t>环</w:t>
            </w:r>
            <w:r>
              <w:rPr>
                <w:rFonts w:hint="eastAsia" w:ascii="Times New Roman Regular" w:hAnsi="Times New Roman Regular" w:eastAsia="宋体" w:cs="Times New Roman Regular"/>
                <w:color w:val="auto"/>
                <w:kern w:val="0"/>
                <w:sz w:val="21"/>
                <w:szCs w:val="21"/>
                <w:highlight w:val="none"/>
                <w:lang w:val="en-US" w:eastAsia="zh-CN" w:bidi="ar-SA"/>
              </w:rPr>
              <w:t>函</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13</w:t>
            </w:r>
            <w:r>
              <w:rPr>
                <w:rFonts w:hint="default" w:ascii="Times New Roman Regular" w:hAnsi="Times New Roman Regular" w:eastAsia="宋体" w:cs="Times New Roman Regular"/>
                <w:color w:val="auto"/>
                <w:kern w:val="0"/>
                <w:sz w:val="21"/>
                <w:szCs w:val="21"/>
                <w:highlight w:val="none"/>
                <w:lang w:val="en-US" w:eastAsia="zh-CN" w:bidi="ar-SA"/>
              </w:rPr>
              <w:t>】</w:t>
            </w:r>
            <w:r>
              <w:rPr>
                <w:rFonts w:hint="eastAsia" w:ascii="Times New Roman Regular" w:hAnsi="Times New Roman Regular" w:eastAsia="宋体" w:cs="Times New Roman Regular"/>
                <w:color w:val="auto"/>
                <w:kern w:val="0"/>
                <w:sz w:val="21"/>
                <w:szCs w:val="21"/>
                <w:highlight w:val="none"/>
                <w:lang w:val="en-US" w:eastAsia="zh-CN" w:bidi="ar-SA"/>
              </w:rPr>
              <w:t>271</w:t>
            </w:r>
            <w:r>
              <w:rPr>
                <w:rFonts w:hint="default" w:ascii="Times New Roman Regular" w:hAnsi="Times New Roman Regular" w:eastAsia="宋体" w:cs="Times New Roman Regular"/>
                <w:color w:val="auto"/>
                <w:kern w:val="0"/>
                <w:sz w:val="21"/>
                <w:szCs w:val="21"/>
                <w:highlight w:val="none"/>
                <w:lang w:val="en-US" w:eastAsia="zh-CN" w:bidi="ar-SA"/>
              </w:rPr>
              <w:t>号</w:t>
            </w:r>
            <w:r>
              <w:rPr>
                <w:rFonts w:hint="eastAsia" w:ascii="Times New Roman Regular" w:hAnsi="Times New Roman Regular" w:cs="Times New Roman Regular"/>
                <w:color w:val="auto"/>
                <w:kern w:val="0"/>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95" w:type="pct"/>
            <w:tcMar>
              <w:top w:w="16" w:type="dxa"/>
              <w:left w:w="16" w:type="dxa"/>
              <w:right w:w="16"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4104" w:type="pct"/>
            <w:gridSpan w:val="3"/>
            <w:tcMar>
              <w:top w:w="16" w:type="dxa"/>
              <w:left w:w="16" w:type="dxa"/>
              <w:right w:w="16" w:type="dxa"/>
            </w:tcMar>
            <w:vAlign w:val="center"/>
          </w:tcPr>
          <w:p>
            <w:pPr>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eastAsia"/>
                <w:color w:val="auto"/>
                <w:sz w:val="21"/>
                <w:szCs w:val="21"/>
                <w:highlight w:val="none"/>
              </w:rPr>
            </w:pPr>
            <w:r>
              <w:rPr>
                <w:rFonts w:hint="default"/>
                <w:color w:val="auto"/>
                <w:spacing w:val="0"/>
                <w:w w:val="100"/>
                <w:position w:val="0"/>
                <w:sz w:val="21"/>
                <w:szCs w:val="21"/>
              </w:rPr>
              <w:t>关于</w:t>
            </w:r>
            <w:r>
              <w:rPr>
                <w:rFonts w:hint="eastAsia" w:ascii="Times New Roman Regular" w:hAnsi="Times New Roman Regular" w:eastAsia="宋体" w:cs="Times New Roman Regular"/>
                <w:color w:val="auto"/>
                <w:kern w:val="0"/>
                <w:sz w:val="21"/>
                <w:szCs w:val="21"/>
                <w:highlight w:val="none"/>
                <w:lang w:val="en-US" w:eastAsia="zh-CN" w:bidi="ar-SA"/>
              </w:rPr>
              <w:t>《双城经济开发区总体规划</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12</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20》</w:t>
            </w:r>
            <w:r>
              <w:rPr>
                <w:rFonts w:hint="default"/>
                <w:color w:val="auto"/>
                <w:spacing w:val="0"/>
                <w:w w:val="100"/>
                <w:position w:val="0"/>
                <w:sz w:val="21"/>
                <w:szCs w:val="21"/>
              </w:rPr>
              <w:t>的符合性分析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（1）规划目标</w:t>
            </w:r>
            <w:r>
              <w:rPr>
                <w:rFonts w:hint="eastAsia" w:cs="Times New Roman"/>
                <w:color w:val="auto"/>
                <w:kern w:val="0"/>
                <w:sz w:val="21"/>
                <w:szCs w:val="21"/>
                <w:highlight w:val="none"/>
                <w:lang w:val="en-US" w:eastAsia="zh-CN" w:bidi="ar-SA"/>
              </w:rPr>
              <w:t>：依据循环经济理念、工业生态学原理和清洁生产要求而设计建立一种新型园区。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val="en-US" w:eastAsia="zh-CN" w:bidi="ar-SA"/>
              </w:rPr>
              <w:t>（</w:t>
            </w:r>
            <w:r>
              <w:rPr>
                <w:rFonts w:hint="eastAsia" w:ascii="Times New Roman" w:hAnsi="Times New Roman" w:cs="Times New Roman"/>
                <w:color w:val="auto"/>
                <w:kern w:val="0"/>
                <w:sz w:val="21"/>
                <w:szCs w:val="21"/>
                <w:highlight w:val="none"/>
                <w:lang w:val="en-US" w:eastAsia="zh-CN" w:bidi="ar-SA"/>
              </w:rPr>
              <w:t>2</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规划定位：</w:t>
            </w:r>
            <w:r>
              <w:rPr>
                <w:rFonts w:hint="default" w:ascii="Times New Roman" w:hAnsi="Times New Roman" w:cs="Times New Roman"/>
                <w:color w:val="auto"/>
                <w:sz w:val="21"/>
                <w:szCs w:val="21"/>
              </w:rPr>
              <w:t>本规划在定位中指出，“把双城经济开发区双城园区建设成布局合理，功能配套、基础设施完善、环境优美，体现双城市特色，以食品产业及产品包装业为主的综合性的工业园区”。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val="en-US" w:eastAsia="zh-CN" w:bidi="ar-SA"/>
              </w:rPr>
              <w:t>（</w:t>
            </w:r>
            <w:r>
              <w:rPr>
                <w:rFonts w:hint="eastAsia" w:ascii="Times New Roman" w:hAnsi="Times New Roman" w:cs="Times New Roman"/>
                <w:color w:val="auto"/>
                <w:kern w:val="0"/>
                <w:sz w:val="21"/>
                <w:szCs w:val="21"/>
                <w:highlight w:val="none"/>
                <w:lang w:val="en-US" w:eastAsia="zh-CN" w:bidi="ar-SA"/>
              </w:rPr>
              <w:t>3</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产业定位：</w:t>
            </w:r>
            <w:r>
              <w:rPr>
                <w:rFonts w:hint="default" w:ascii="Times New Roman" w:hAnsi="Times New Roman" w:cs="Times New Roman"/>
                <w:color w:val="auto"/>
                <w:sz w:val="21"/>
                <w:szCs w:val="21"/>
              </w:rPr>
              <w:t>双城经济技术经济开发区双城园区是1992年开始建立的，以食品产业为主，现有完达山、洽洽等国内大型知名企业入驻，食品产业初步形成了规模优势，食品园区知名于省内，已列入《哈尔滨市区县（市）重点产业发展及布局规划（2012-2016）》，本次规划定位于食品加工业是延续园区的产业结构。</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rPr>
              <w:t>食品工业产生的废水为有机废水，城镇污水处理厂可以接纳处理，无重金属和其他特殊污染物；大气污染物主要是锅炉产生的烟气，食品工业是污染较轻的行业。结合区域环境现状特点及水土资源承载力分析，只要落实环保措施，行业定位环境合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w:t>
            </w:r>
            <w:r>
              <w:rPr>
                <w:rFonts w:hint="eastAsia" w:ascii="Times New Roman" w:hAnsi="Times New Roman" w:cs="Times New Roman"/>
                <w:color w:val="auto"/>
                <w:kern w:val="0"/>
                <w:sz w:val="21"/>
                <w:szCs w:val="21"/>
                <w:highlight w:val="none"/>
                <w:lang w:val="en-US" w:eastAsia="zh-CN" w:bidi="ar-SA"/>
              </w:rPr>
              <w:t>4</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规划规模：</w:t>
            </w:r>
            <w:r>
              <w:rPr>
                <w:rFonts w:hint="default" w:ascii="Times New Roman" w:hAnsi="Times New Roman" w:cs="Times New Roman"/>
                <w:color w:val="auto"/>
                <w:sz w:val="21"/>
                <w:szCs w:val="21"/>
              </w:rPr>
              <w:t>双城园区自建立以来，入驻企业不断增多，占地面积在扩大。本次规划的占地426.83 hm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，双城市城市总体规划和双城市土地利用规划已把规划园区占地范围基本划为城市建筑用地，本规划用地规模符合土地规划，属于城市工业发展用地</w:t>
            </w:r>
            <w:r>
              <w:rPr>
                <w:rFonts w:hint="eastAsia" w:ascii="Times New Roman" w:hAnsi="Times New Roman" w:cs="Times New Roman"/>
                <w:color w:val="auto"/>
                <w:sz w:val="21"/>
                <w:szCs w:val="21"/>
                <w:lang w:eastAsia="zh-CN"/>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val="en-US" w:eastAsia="zh-CN" w:bidi="ar-SA"/>
              </w:rPr>
              <w:t>（</w:t>
            </w:r>
            <w:r>
              <w:rPr>
                <w:rFonts w:hint="eastAsia" w:ascii="Times New Roman" w:hAnsi="Times New Roman" w:cs="Times New Roman"/>
                <w:color w:val="auto"/>
                <w:kern w:val="0"/>
                <w:sz w:val="21"/>
                <w:szCs w:val="21"/>
                <w:highlight w:val="none"/>
                <w:lang w:val="en-US" w:eastAsia="zh-CN" w:bidi="ar-SA"/>
              </w:rPr>
              <w:t>5</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总体布局：</w:t>
            </w:r>
            <w:r>
              <w:rPr>
                <w:rFonts w:hint="default" w:ascii="Times New Roman" w:hAnsi="Times New Roman" w:cs="Times New Roman"/>
                <w:color w:val="auto"/>
                <w:sz w:val="21"/>
                <w:szCs w:val="21"/>
              </w:rPr>
              <w:t>本规划园区为分4个功能区：生活居住区西南部，位于园区上风位，并紧临双城镇区，与镇区居民区隔路相接，此划分合理。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食品产业区从西部向东部布设。规划的食品企业在西部布置在现有企业一起，合理；而为其服务产品包装区布置食品区的东侧，有利于食品产业形成储、运、销的规模化，同时，现有食品企业全部在规划的食品产业区内，因此园区规划的生活居住区、食品产业区、包装区</w:t>
            </w:r>
            <w:r>
              <w:rPr>
                <w:rFonts w:hint="eastAsia" w:ascii="Times New Roman" w:hAnsi="Times New Roman" w:cs="Times New Roman"/>
                <w:color w:val="auto"/>
                <w:sz w:val="21"/>
                <w:szCs w:val="21"/>
                <w:lang w:eastAsia="zh-CN"/>
              </w:rPr>
              <w:t>、</w:t>
            </w:r>
            <w:r>
              <w:rPr>
                <w:rFonts w:hint="eastAsia"/>
                <w:color w:val="auto"/>
                <w:sz w:val="21"/>
                <w:szCs w:val="21"/>
                <w:highlight w:val="none"/>
              </w:rPr>
              <w:t>绿地休闲区</w:t>
            </w:r>
            <w:r>
              <w:rPr>
                <w:rFonts w:hint="default" w:ascii="Times New Roman" w:hAnsi="Times New Roman" w:cs="Times New Roman"/>
                <w:color w:val="auto"/>
                <w:sz w:val="21"/>
                <w:szCs w:val="21"/>
              </w:rPr>
              <w:t>等</w:t>
            </w:r>
            <w:r>
              <w:rPr>
                <w:rFonts w:hint="eastAsia" w:ascii="Times New Roman" w:hAnsi="Times New Roman" w:cs="Times New Roman"/>
                <w:color w:val="auto"/>
                <w:sz w:val="21"/>
                <w:szCs w:val="21"/>
                <w:lang w:val="en-US" w:eastAsia="zh-CN"/>
              </w:rPr>
              <w:t>布</w:t>
            </w:r>
            <w:r>
              <w:rPr>
                <w:rFonts w:hint="default" w:ascii="Times New Roman" w:hAnsi="Times New Roman" w:cs="Times New Roman"/>
                <w:color w:val="auto"/>
                <w:sz w:val="21"/>
                <w:szCs w:val="21"/>
              </w:rPr>
              <w:t>局合理。</w:t>
            </w:r>
          </w:p>
          <w:p>
            <w:pPr>
              <w:pStyle w:val="42"/>
              <w:keepNext w:val="0"/>
              <w:keepLines w:val="0"/>
              <w:suppressLineNumbers w:val="0"/>
              <w:spacing w:before="0" w:beforeAutospacing="0" w:after="0" w:afterAutospacing="0"/>
              <w:ind w:left="0" w:right="0"/>
              <w:jc w:val="center"/>
              <w:rPr>
                <w:rFonts w:hint="eastAsia" w:eastAsia="仿宋_GB2312"/>
                <w:color w:val="auto"/>
                <w:highlight w:val="none"/>
                <w:lang w:eastAsia="zh-CN"/>
              </w:rPr>
            </w:pPr>
            <w:r>
              <w:rPr>
                <w:rFonts w:hint="eastAsia" w:eastAsia="仿宋_GB2312"/>
                <w:color w:val="auto"/>
                <w:highlight w:val="none"/>
                <w:lang w:eastAsia="zh-CN"/>
              </w:rPr>
              <w:drawing>
                <wp:inline distT="0" distB="0" distL="114300" distR="114300">
                  <wp:extent cx="4276725" cy="5702935"/>
                  <wp:effectExtent l="0" t="0" r="9525" b="12065"/>
                  <wp:docPr id="16" name="图片 16" descr="在园区大概这个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在园区大概这个位置"/>
                          <pic:cNvPicPr>
                            <a:picLocks noChangeAspect="1"/>
                          </pic:cNvPicPr>
                        </pic:nvPicPr>
                        <pic:blipFill>
                          <a:blip r:embed="rId9"/>
                          <a:stretch>
                            <a:fillRect/>
                          </a:stretch>
                        </pic:blipFill>
                        <pic:spPr>
                          <a:xfrm>
                            <a:off x="0" y="0"/>
                            <a:ext cx="4276725" cy="5702935"/>
                          </a:xfrm>
                          <a:prstGeom prst="rect">
                            <a:avLst/>
                          </a:prstGeom>
                        </pic:spPr>
                      </pic:pic>
                    </a:graphicData>
                  </a:graphic>
                </wp:inline>
              </w:drawing>
            </w:r>
          </w:p>
          <w:p>
            <w:pPr>
              <w:pStyle w:val="42"/>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b/>
                <w:bCs/>
                <w:color w:val="auto"/>
                <w:sz w:val="21"/>
                <w:szCs w:val="21"/>
                <w:highlight w:val="none"/>
                <w:lang w:val="en-US" w:eastAsia="zh-CN"/>
              </w:rPr>
              <w:t>图1-1双城经济开发区功能分区规划图</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）基础设施规划</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1）供水</w:t>
            </w:r>
            <w:r>
              <w:rPr>
                <w:rFonts w:hint="eastAsia" w:ascii="Times New Roman" w:hAnsi="Times New Roman" w:eastAsia="宋体" w:cs="Times New Roman"/>
                <w:color w:val="auto"/>
                <w:sz w:val="21"/>
                <w:szCs w:val="21"/>
                <w:highlight w:val="none"/>
                <w:lang w:val="en-US" w:eastAsia="zh-CN"/>
              </w:rPr>
              <w:t>工程</w:t>
            </w:r>
            <w:r>
              <w:rPr>
                <w:rFonts w:hint="default" w:ascii="Times New Roman" w:hAnsi="Times New Roman" w:eastAsia="宋体" w:cs="Times New Roman"/>
                <w:color w:val="auto"/>
                <w:sz w:val="21"/>
                <w:szCs w:val="21"/>
                <w:highlight w:val="none"/>
                <w:lang w:val="en-US" w:eastAsia="zh-CN"/>
              </w:rPr>
              <w:t xml:space="preserve"> </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①供水源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规划提出，“园区给水水源引自双城市供水管网”。园区水源依靠双城镇集中供水供给，集中供水能够有效地控制区域水资源分配、使用量，防止盲目无序地企业自打井，因此规划的供水源符合节约水资源的要求，环境合理。</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②供水量</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规划提出，园区规划总用水量为1.2万m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/d。双城镇供水厂供水量为3万m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/d，目前使用量约为2万m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/d，还有1万m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/d的余量，对现有自备水源的企业根据实际情况，逐渐实行集中供水，双城镇水厂现有供水能力能满足新入驻企业的用水需求，而且水厂将增加供水能力，供水达到6万m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/d，因此双城镇水厂可以满足规划提出的用水量需求。但本评价要求为了保护地下水资源，园区应在双城市统筹下开展开发区域地表水资源计划。</w:t>
            </w:r>
            <w:r>
              <w:rPr>
                <w:rFonts w:hint="default" w:ascii="Times New Roman" w:hAnsi="Times New Roman" w:eastAsia="宋体" w:cs="Times New Roman"/>
                <w:color w:val="auto"/>
                <w:sz w:val="21"/>
                <w:szCs w:val="21"/>
                <w:highlight w:val="none"/>
                <w:lang w:val="en-US" w:eastAsia="zh-CN"/>
              </w:rPr>
              <w:t xml:space="preserve"> </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2）排水</w:t>
            </w:r>
            <w:r>
              <w:rPr>
                <w:rFonts w:hint="eastAsia" w:ascii="Times New Roman" w:hAnsi="Times New Roman" w:eastAsia="宋体" w:cs="Times New Roman"/>
                <w:color w:val="auto"/>
                <w:kern w:val="0"/>
                <w:sz w:val="21"/>
                <w:szCs w:val="21"/>
                <w:highlight w:val="none"/>
                <w:lang w:val="en-US" w:eastAsia="zh-CN"/>
              </w:rPr>
              <w:t>工程</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①排水制度：</w:t>
            </w:r>
            <w:r>
              <w:rPr>
                <w:rFonts w:hint="default" w:ascii="Times New Roman" w:hAnsi="Times New Roman" w:eastAsia="宋体" w:cs="Times New Roman"/>
                <w:color w:val="auto"/>
                <w:sz w:val="21"/>
                <w:szCs w:val="21"/>
              </w:rPr>
              <w:t>规划排水制度为雨、污分流制；达到污水处理厂标准的污水通过园区排水管网系统进入城镇污水处理，达到一级B标准后外排。雨污分流制，并且污水经过城镇污水厂处理达标后排入这样的排水制度，环境合理。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rPr>
              <w:t>污水量和城镇污水处理厂</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园区规划总排水量为1.02万 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/d。城镇污水处理厂处理规模为3万m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/d，即将按设计处理能力扩大到6万m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/d，能满足规划污水量的处理需求。</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园区定位以食品产业为主，还有居住区、包装区等，产生的废水是有机废水，要求企业自行处理达到污水处理厂接纳标准，不会对污水处理厂产生冲击。</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综合以上分析，排水规划环境合理。</w:t>
            </w:r>
          </w:p>
          <w:p>
            <w:pPr>
              <w:pStyle w:val="1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3）供热</w:t>
            </w:r>
            <w:r>
              <w:rPr>
                <w:rFonts w:hint="eastAsia" w:ascii="Times New Roman" w:hAnsi="Times New Roman" w:eastAsia="宋体" w:cs="Times New Roman"/>
                <w:color w:val="auto"/>
                <w:kern w:val="0"/>
                <w:sz w:val="21"/>
                <w:szCs w:val="21"/>
                <w:highlight w:val="none"/>
                <w:lang w:val="en-US" w:eastAsia="zh-CN"/>
              </w:rPr>
              <w:t>工程</w:t>
            </w:r>
            <w:r>
              <w:rPr>
                <w:rFonts w:hint="default" w:ascii="Times New Roman" w:hAnsi="Times New Roman" w:eastAsia="宋体" w:cs="Times New Roman"/>
                <w:color w:val="auto"/>
                <w:kern w:val="0"/>
                <w:sz w:val="21"/>
                <w:szCs w:val="21"/>
                <w:highlight w:val="none"/>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rPr>
              <w:t>热源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规划提出，热源为城镇集中供热厂，园区来自城镇供热管线，根据城市总体规划，国发电力为园区供热（供汽）热源厂。</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rPr>
              <w:t>供热负荷</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规划提出，规划确定园区热负荷热负荷为150MW。园区的集中供热厂为国发热电厂</w:t>
            </w:r>
            <w:r>
              <w:rPr>
                <w:rFonts w:hint="eastAsia" w:ascii="Times New Roman" w:hAnsi="Times New Roman" w:eastAsia="宋体" w:cs="Times New Roman"/>
                <w:color w:val="auto"/>
                <w:sz w:val="21"/>
                <w:szCs w:val="21"/>
                <w:lang w:val="en-US" w:eastAsia="zh-CN"/>
              </w:rPr>
              <w:t>二期工程</w:t>
            </w:r>
            <w:r>
              <w:rPr>
                <w:rFonts w:hint="default" w:ascii="Times New Roman" w:hAnsi="Times New Roman" w:eastAsia="宋体" w:cs="Times New Roman"/>
                <w:color w:val="auto"/>
                <w:sz w:val="21"/>
                <w:szCs w:val="21"/>
              </w:rPr>
              <w:t>，设计规模为供热负荷为58MW，供汽负荷为225MW，如果国发热电厂按设计能力运行可以满足园区供热规划的。</w:t>
            </w:r>
            <w:r>
              <w:rPr>
                <w:rFonts w:hint="eastAsia" w:ascii="Times New Roman" w:hAnsi="Times New Roman" w:eastAsia="宋体" w:cs="Times New Roman"/>
                <w:color w:val="auto"/>
                <w:sz w:val="21"/>
                <w:szCs w:val="21"/>
                <w:lang w:val="en-US" w:eastAsia="zh-CN"/>
              </w:rPr>
              <w:t>并应同步建设脱硫脱硝设施，脱销效率不低于80%，脱硫效率不低于35%，根据哈尔滨市环境保护局对双城经济开发区污染物总量指标的意见，制定双城市国发热电厂并网后拆除园区内分散锅炉的方案。</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2013年将新建热源91MW锅炉安2台，热网工程15.73km，预计投资1.85亿元，能够满足入驻企业的供热需求，目前园区企业自备锅炉热负荷总计约有80MW，根据实际情况逐步解决集中供热问题。</w:t>
            </w:r>
          </w:p>
          <w:p>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lang w:val="en-US" w:eastAsia="zh-CN"/>
              </w:rPr>
            </w:pPr>
            <w:r>
              <w:rPr>
                <w:rFonts w:hint="eastAsia" w:cs="Times New Roman"/>
                <w:color w:val="auto"/>
                <w:kern w:val="0"/>
                <w:sz w:val="21"/>
                <w:szCs w:val="21"/>
                <w:highlight w:val="none"/>
                <w:lang w:val="en-US" w:eastAsia="zh-CN"/>
              </w:rPr>
              <w:t>符合性分析：</w:t>
            </w:r>
            <w:r>
              <w:rPr>
                <w:rFonts w:hint="default" w:ascii="Times New Roman" w:hAnsi="Times New Roman" w:cs="Times New Roman"/>
                <w:color w:val="auto"/>
                <w:kern w:val="0"/>
                <w:sz w:val="21"/>
                <w:szCs w:val="21"/>
                <w:highlight w:val="none"/>
                <w:lang w:eastAsia="zh-CN"/>
              </w:rPr>
              <w:t>本项目</w:t>
            </w:r>
            <w:r>
              <w:rPr>
                <w:rFonts w:hint="default" w:ascii="Times New Roman" w:hAnsi="Times New Roman" w:cs="Times New Roman"/>
                <w:color w:val="auto"/>
                <w:kern w:val="0"/>
                <w:sz w:val="21"/>
                <w:szCs w:val="21"/>
                <w:highlight w:val="none"/>
                <w:lang w:val="en-US" w:eastAsia="zh-CN"/>
              </w:rPr>
              <w:t>为</w:t>
            </w:r>
            <w:r>
              <w:rPr>
                <w:rFonts w:hint="default" w:ascii="Times New Roman" w:hAnsi="Times New Roman" w:cs="Times New Roman"/>
                <w:color w:val="auto"/>
                <w:kern w:val="21"/>
                <w:sz w:val="21"/>
                <w:szCs w:val="21"/>
                <w:highlight w:val="none"/>
                <w:lang w:val="en-US" w:eastAsia="zh-CN"/>
              </w:rPr>
              <w:t>黑龙江省哈松滨食品有限公司肉灌制品及卤肉制品生产建设项目，</w:t>
            </w:r>
            <w:r>
              <w:rPr>
                <w:rFonts w:hint="default" w:ascii="Times New Roman" w:hAnsi="Times New Roman" w:cs="Times New Roman"/>
                <w:color w:val="auto"/>
                <w:kern w:val="0"/>
                <w:sz w:val="21"/>
                <w:szCs w:val="21"/>
                <w:highlight w:val="none"/>
                <w:lang w:eastAsia="zh-CN"/>
              </w:rPr>
              <w:t>位于</w:t>
            </w:r>
            <w:r>
              <w:rPr>
                <w:rFonts w:hint="default" w:ascii="Times New Roman" w:hAnsi="Times New Roman" w:cs="Times New Roman" w:eastAsiaTheme="minorEastAsia"/>
                <w:color w:val="auto"/>
                <w:sz w:val="21"/>
                <w:szCs w:val="21"/>
                <w:highlight w:val="none"/>
                <w:lang w:val="en-US" w:eastAsia="zh-CN"/>
              </w:rPr>
              <w:t>黑龙江省</w:t>
            </w:r>
            <w:r>
              <w:rPr>
                <w:rFonts w:hint="default" w:ascii="Times New Roman" w:hAnsi="Times New Roman" w:cs="Times New Roman" w:eastAsiaTheme="minorEastAsia"/>
                <w:color w:val="auto"/>
                <w:sz w:val="21"/>
                <w:szCs w:val="21"/>
                <w:highlight w:val="none"/>
              </w:rPr>
              <w:t>哈尔滨市</w:t>
            </w:r>
            <w:r>
              <w:rPr>
                <w:rFonts w:hint="default" w:ascii="Times New Roman" w:hAnsi="Times New Roman" w:cs="Times New Roman" w:eastAsiaTheme="minorEastAsia"/>
                <w:color w:val="auto"/>
                <w:sz w:val="21"/>
                <w:szCs w:val="21"/>
                <w:highlight w:val="none"/>
                <w:lang w:val="en-US" w:eastAsia="zh-CN"/>
              </w:rPr>
              <w:t>双城经济开发区食品产业园区内。主要产品产能为红肠、儿童肠、松仁烤肠3200t/a，酱卤制品500t/a</w:t>
            </w:r>
            <w:r>
              <w:rPr>
                <w:rFonts w:hint="eastAsia" w:cs="Times New Roman" w:eastAsiaTheme="minorEastAsia"/>
                <w:color w:val="auto"/>
                <w:sz w:val="21"/>
                <w:szCs w:val="21"/>
                <w:highlight w:val="none"/>
                <w:lang w:val="en-US" w:eastAsia="zh-CN"/>
              </w:rPr>
              <w:t>。建设</w:t>
            </w:r>
            <w:r>
              <w:rPr>
                <w:rFonts w:hint="eastAsia" w:cs="Times New Roman" w:eastAsiaTheme="minorEastAsia"/>
                <w:color w:val="auto"/>
                <w:sz w:val="21"/>
                <w:szCs w:val="21"/>
                <w:highlight w:val="none"/>
                <w:u w:val="none"/>
                <w:lang w:val="en-US" w:eastAsia="zh-CN"/>
              </w:rPr>
              <w:t>燃气蒸汽锅炉用于生产及生活供热。项目建设</w:t>
            </w:r>
            <w:r>
              <w:rPr>
                <w:rFonts w:hint="eastAsia" w:cs="Times New Roman" w:eastAsiaTheme="minorEastAsia"/>
                <w:color w:val="auto"/>
                <w:sz w:val="21"/>
                <w:szCs w:val="21"/>
                <w:highlight w:val="none"/>
                <w:lang w:val="en-US" w:eastAsia="zh-CN"/>
              </w:rPr>
              <w:t>符合园区规划。</w:t>
            </w:r>
          </w:p>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pacing w:val="0"/>
                <w:w w:val="100"/>
                <w:position w:val="0"/>
                <w:sz w:val="21"/>
                <w:szCs w:val="21"/>
              </w:rPr>
            </w:pPr>
            <w:r>
              <w:rPr>
                <w:rFonts w:hint="eastAsia" w:ascii="Times New Roman Regular" w:hAnsi="Times New Roman Regular" w:cs="Times New Roman Regular"/>
                <w:color w:val="auto"/>
                <w:sz w:val="21"/>
                <w:szCs w:val="21"/>
                <w:highlight w:val="none"/>
                <w:lang w:val="en-US" w:eastAsia="zh-CN"/>
              </w:rPr>
              <w:t xml:space="preserve">  </w:t>
            </w:r>
            <w:r>
              <w:rPr>
                <w:rFonts w:hint="default" w:ascii="Times New Roman" w:hAnsi="Times New Roman" w:eastAsia="Times New Roman" w:cs="Times New Roman"/>
                <w:color w:val="auto"/>
                <w:spacing w:val="0"/>
                <w:w w:val="100"/>
                <w:position w:val="0"/>
                <w:sz w:val="21"/>
                <w:szCs w:val="21"/>
              </w:rPr>
              <w:t>2</w:t>
            </w:r>
            <w:r>
              <w:rPr>
                <w:rFonts w:hint="eastAsia" w:ascii="Times New Roman" w:hAnsi="Times New Roman" w:eastAsia="宋体" w:cs="Times New Roman"/>
                <w:color w:val="auto"/>
                <w:spacing w:val="0"/>
                <w:w w:val="100"/>
                <w:position w:val="0"/>
                <w:sz w:val="21"/>
                <w:szCs w:val="21"/>
                <w:lang w:eastAsia="zh-CN"/>
              </w:rPr>
              <w:t>、</w:t>
            </w:r>
            <w:r>
              <w:rPr>
                <w:rFonts w:hint="eastAsia" w:ascii="Times New Roman Regular" w:hAnsi="Times New Roman Regular" w:eastAsia="宋体" w:cs="Times New Roman Regular"/>
                <w:color w:val="auto"/>
                <w:kern w:val="0"/>
                <w:sz w:val="21"/>
                <w:szCs w:val="21"/>
                <w:highlight w:val="none"/>
                <w:lang w:val="en-US" w:eastAsia="zh-CN" w:bidi="ar-SA"/>
              </w:rPr>
              <w:t>《</w:t>
            </w:r>
            <w:r>
              <w:rPr>
                <w:rFonts w:hint="default" w:ascii="Times New Roman Regular" w:hAnsi="Times New Roman Regular" w:eastAsia="宋体" w:cs="Times New Roman Regular"/>
                <w:color w:val="auto"/>
                <w:kern w:val="0"/>
                <w:sz w:val="21"/>
                <w:szCs w:val="21"/>
                <w:highlight w:val="none"/>
                <w:lang w:val="en-US" w:eastAsia="zh-CN" w:bidi="ar-SA"/>
              </w:rPr>
              <w:t>双城经济开发区总体规划环境影响报告书》</w:t>
            </w:r>
            <w:r>
              <w:rPr>
                <w:rFonts w:hint="default"/>
                <w:color w:val="auto"/>
                <w:spacing w:val="0"/>
                <w:w w:val="100"/>
                <w:position w:val="0"/>
                <w:sz w:val="21"/>
                <w:szCs w:val="21"/>
              </w:rPr>
              <w:t>及审查意见的符合性分析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eastAsia" w:ascii="Times New Roman Regular" w:hAnsi="Times New Roman Regular" w:cs="Times New Roman Regular"/>
                <w:color w:val="auto"/>
                <w:kern w:val="0"/>
                <w:sz w:val="24"/>
                <w:szCs w:val="24"/>
                <w:highlight w:val="none"/>
                <w:lang w:val="en-US" w:eastAsia="zh-CN"/>
              </w:rPr>
            </w:pPr>
            <w:r>
              <w:rPr>
                <w:rFonts w:hint="default" w:ascii="Times New Roman Regular" w:hAnsi="Times New Roman Regular" w:cs="Times New Roman Regular"/>
                <w:color w:val="auto"/>
                <w:kern w:val="0"/>
                <w:sz w:val="21"/>
                <w:szCs w:val="21"/>
                <w:highlight w:val="none"/>
                <w:lang w:val="en-US" w:eastAsia="zh-CN"/>
              </w:rPr>
              <w:t>根据</w:t>
            </w:r>
            <w:r>
              <w:rPr>
                <w:rFonts w:hint="eastAsia" w:ascii="Times New Roman Regular" w:hAnsi="Times New Roman Regular" w:eastAsia="宋体" w:cs="Times New Roman Regular"/>
                <w:color w:val="auto"/>
                <w:kern w:val="0"/>
                <w:sz w:val="21"/>
                <w:szCs w:val="21"/>
                <w:highlight w:val="none"/>
                <w:lang w:val="en-US" w:eastAsia="zh-CN" w:bidi="ar-SA"/>
              </w:rPr>
              <w:t>《</w:t>
            </w:r>
            <w:r>
              <w:rPr>
                <w:rFonts w:hint="default" w:ascii="Times New Roman Regular" w:hAnsi="Times New Roman Regular" w:eastAsia="宋体" w:cs="Times New Roman Regular"/>
                <w:color w:val="auto"/>
                <w:kern w:val="0"/>
                <w:sz w:val="21"/>
                <w:szCs w:val="21"/>
                <w:highlight w:val="none"/>
                <w:lang w:val="en-US" w:eastAsia="zh-CN" w:bidi="ar-SA"/>
              </w:rPr>
              <w:t>双城经济开发区总体规划环境影响报告书》</w:t>
            </w:r>
            <w:r>
              <w:rPr>
                <w:rFonts w:hint="default"/>
                <w:color w:val="auto"/>
                <w:spacing w:val="0"/>
                <w:w w:val="100"/>
                <w:position w:val="0"/>
                <w:sz w:val="21"/>
                <w:szCs w:val="21"/>
              </w:rPr>
              <w:t>及审查意见</w:t>
            </w:r>
            <w:r>
              <w:rPr>
                <w:rFonts w:hint="eastAsia" w:ascii="Times New Roman Regular" w:hAnsi="Times New Roman Regular" w:cs="Times New Roman Regular"/>
                <w:color w:val="auto"/>
                <w:kern w:val="0"/>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olor w:val="auto"/>
                <w:sz w:val="21"/>
                <w:szCs w:val="21"/>
                <w:highlight w:val="none"/>
              </w:rPr>
            </w:pPr>
            <w:r>
              <w:rPr>
                <w:rFonts w:hint="eastAsia"/>
                <w:color w:val="auto"/>
                <w:sz w:val="21"/>
                <w:szCs w:val="21"/>
                <w:highlight w:val="none"/>
              </w:rPr>
              <w:t>（1</w:t>
            </w:r>
            <w:r>
              <w:rPr>
                <w:rFonts w:hint="eastAsia"/>
                <w:color w:val="auto"/>
                <w:sz w:val="21"/>
                <w:szCs w:val="21"/>
                <w:highlight w:val="none"/>
                <w:lang w:eastAsia="zh-CN"/>
              </w:rPr>
              <w:t>）</w:t>
            </w:r>
            <w:r>
              <w:rPr>
                <w:rFonts w:hint="eastAsia"/>
                <w:color w:val="auto"/>
                <w:sz w:val="21"/>
                <w:szCs w:val="21"/>
                <w:highlight w:val="none"/>
              </w:rPr>
              <w:t>双城经济开发区位置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olor w:val="auto"/>
                <w:sz w:val="21"/>
                <w:szCs w:val="21"/>
                <w:highlight w:val="none"/>
              </w:rPr>
            </w:pPr>
            <w:r>
              <w:rPr>
                <w:rFonts w:hint="eastAsia"/>
                <w:color w:val="auto"/>
                <w:sz w:val="21"/>
                <w:szCs w:val="21"/>
                <w:highlight w:val="none"/>
              </w:rPr>
              <w:t>双城经济开发区地处双城区东部，西起规划公园绿地，东至102国道，北起双城第一变电所，南至公路管理站。南北向有102国道从园区东部穿过，距离哈尔滨</w:t>
            </w:r>
            <w:r>
              <w:rPr>
                <w:rFonts w:hint="eastAsia"/>
                <w:color w:val="auto"/>
                <w:sz w:val="21"/>
                <w:szCs w:val="21"/>
                <w:highlight w:val="none"/>
                <w:lang w:val="en-US" w:eastAsia="zh-CN"/>
              </w:rPr>
              <w:t>主城区</w:t>
            </w:r>
            <w:r>
              <w:rPr>
                <w:rFonts w:hint="eastAsia"/>
                <w:color w:val="auto"/>
                <w:sz w:val="21"/>
                <w:szCs w:val="21"/>
                <w:highlight w:val="none"/>
              </w:rPr>
              <w:t>45km；距双城堡火车站8km，距离哈尔滨国际机场30km。</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olor w:val="auto"/>
                <w:sz w:val="21"/>
                <w:szCs w:val="21"/>
                <w:highlight w:val="none"/>
              </w:rPr>
            </w:pPr>
            <w:r>
              <w:rPr>
                <w:rFonts w:hint="eastAsia"/>
                <w:color w:val="auto"/>
                <w:sz w:val="21"/>
                <w:szCs w:val="21"/>
                <w:highlight w:val="none"/>
              </w:rPr>
              <w:t>（2）双城经济开发区分区划分</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color w:val="auto"/>
                <w:sz w:val="21"/>
                <w:szCs w:val="21"/>
                <w:highlight w:val="none"/>
              </w:rPr>
              <w:t>双城经济开发区是以食品加工业为主的综合性工业园区，规划建设用地为426.83hm</w:t>
            </w:r>
            <w:r>
              <w:rPr>
                <w:rFonts w:hint="eastAsia"/>
                <w:color w:val="auto"/>
                <w:sz w:val="21"/>
                <w:szCs w:val="21"/>
                <w:highlight w:val="none"/>
                <w:vertAlign w:val="superscript"/>
              </w:rPr>
              <w:t>2</w:t>
            </w:r>
            <w:r>
              <w:rPr>
                <w:rFonts w:hint="eastAsia"/>
                <w:color w:val="auto"/>
                <w:sz w:val="21"/>
                <w:szCs w:val="21"/>
                <w:highlight w:val="none"/>
              </w:rPr>
              <w:t>，近期工地规模为282 hm</w:t>
            </w:r>
            <w:r>
              <w:rPr>
                <w:rFonts w:hint="eastAsia"/>
                <w:color w:val="auto"/>
                <w:sz w:val="21"/>
                <w:szCs w:val="21"/>
                <w:highlight w:val="none"/>
                <w:vertAlign w:val="superscript"/>
              </w:rPr>
              <w:t>2</w:t>
            </w:r>
            <w:r>
              <w:rPr>
                <w:rFonts w:hint="eastAsia"/>
                <w:color w:val="auto"/>
                <w:sz w:val="21"/>
                <w:szCs w:val="21"/>
                <w:highlight w:val="none"/>
              </w:rPr>
              <w:t>；划分为4个功能分区，即生活居住区、食品产园区、产品包装园区、绿地休闲区。</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入驻企业必须符合本规划的行业定位</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eastAsia="黑体"/>
                <w:b w:val="0"/>
                <w:bCs w:val="0"/>
                <w:color w:val="auto"/>
                <w:sz w:val="21"/>
                <w:szCs w:val="21"/>
                <w:highlight w:val="none"/>
              </w:rPr>
            </w:pPr>
            <w:r>
              <w:rPr>
                <w:rFonts w:hint="default"/>
                <w:b w:val="0"/>
                <w:bCs w:val="0"/>
                <w:color w:val="auto"/>
                <w:sz w:val="21"/>
                <w:szCs w:val="21"/>
                <w:highlight w:val="none"/>
              </w:rPr>
              <w:t>按照国民经济行业分类，食品加工产业指食品制造业、农副食品加工业、酒、饮料和精制茶制造业等所包括的细分行业。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（4）</w:t>
            </w:r>
            <w:r>
              <w:rPr>
                <w:rFonts w:hint="eastAsia"/>
                <w:b w:val="0"/>
                <w:bCs w:val="0"/>
                <w:color w:val="auto"/>
                <w:sz w:val="21"/>
                <w:szCs w:val="21"/>
                <w:highlight w:val="none"/>
              </w:rPr>
              <w:t>食品园区禁止以下项目入驻</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b w:val="0"/>
                <w:bCs w:val="0"/>
                <w:color w:val="auto"/>
                <w:sz w:val="21"/>
                <w:szCs w:val="21"/>
                <w:highlight w:val="none"/>
              </w:rPr>
            </w:pPr>
            <w:r>
              <w:rPr>
                <w:rFonts w:hint="default" w:ascii="Times New Roman" w:hAnsi="Times New Roman" w:cs="Times New Roman"/>
                <w:b w:val="0"/>
                <w:bCs w:val="0"/>
                <w:color w:val="auto"/>
                <w:sz w:val="21"/>
                <w:szCs w:val="21"/>
                <w:highlight w:val="none"/>
              </w:rPr>
              <w:t>①</w:t>
            </w:r>
            <w:r>
              <w:rPr>
                <w:rFonts w:hint="eastAsia"/>
                <w:b w:val="0"/>
                <w:bCs w:val="0"/>
                <w:color w:val="auto"/>
                <w:sz w:val="21"/>
                <w:szCs w:val="21"/>
                <w:highlight w:val="none"/>
              </w:rPr>
              <w:t>生产能力150瓶/分钟以下（瓶容量在250毫升及以下）的碳酸饮料生产线。</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b w:val="0"/>
                <w:bCs w:val="0"/>
                <w:color w:val="auto"/>
                <w:sz w:val="21"/>
                <w:szCs w:val="21"/>
                <w:highlight w:val="none"/>
              </w:rPr>
            </w:pPr>
            <w:r>
              <w:rPr>
                <w:rFonts w:hint="default" w:ascii="Times New Roman" w:hAnsi="Times New Roman" w:cs="Times New Roman"/>
                <w:b w:val="0"/>
                <w:bCs w:val="0"/>
                <w:color w:val="auto"/>
                <w:sz w:val="21"/>
                <w:szCs w:val="21"/>
                <w:highlight w:val="none"/>
              </w:rPr>
              <w:t>②</w:t>
            </w:r>
            <w:r>
              <w:rPr>
                <w:rFonts w:hint="eastAsia"/>
                <w:b w:val="0"/>
                <w:bCs w:val="0"/>
                <w:color w:val="auto"/>
                <w:sz w:val="21"/>
                <w:szCs w:val="21"/>
                <w:highlight w:val="none"/>
              </w:rPr>
              <w:t>3万吨/年以下白酒生产线。</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b w:val="0"/>
                <w:bCs w:val="0"/>
                <w:color w:val="auto"/>
                <w:sz w:val="21"/>
                <w:szCs w:val="21"/>
                <w:highlight w:val="none"/>
              </w:rPr>
            </w:pPr>
            <w:r>
              <w:rPr>
                <w:rFonts w:hint="eastAsia" w:ascii="Times New Roman" w:hAnsi="Times New Roman" w:cs="Times New Roman"/>
                <w:b w:val="0"/>
                <w:bCs w:val="0"/>
                <w:color w:val="auto"/>
                <w:sz w:val="21"/>
                <w:szCs w:val="21"/>
                <w:highlight w:val="none"/>
                <w:lang w:eastAsia="zh-CN"/>
              </w:rPr>
              <w:t>（</w:t>
            </w:r>
            <w:r>
              <w:rPr>
                <w:rFonts w:hint="eastAsia" w:ascii="Times New Roman" w:hAnsi="Times New Roman" w:cs="Times New Roman"/>
                <w:b w:val="0"/>
                <w:bCs w:val="0"/>
                <w:color w:val="auto"/>
                <w:sz w:val="21"/>
                <w:szCs w:val="21"/>
                <w:highlight w:val="none"/>
                <w:lang w:val="en-US" w:eastAsia="zh-CN"/>
              </w:rPr>
              <w:t>5）</w:t>
            </w:r>
            <w:r>
              <w:rPr>
                <w:rFonts w:hint="eastAsia"/>
                <w:b w:val="0"/>
                <w:bCs w:val="0"/>
                <w:color w:val="auto"/>
                <w:sz w:val="21"/>
                <w:szCs w:val="21"/>
                <w:highlight w:val="none"/>
              </w:rPr>
              <w:t>食品园区限制入驻企业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olor w:val="auto"/>
                <w:sz w:val="21"/>
                <w:szCs w:val="21"/>
                <w:highlight w:val="none"/>
              </w:rPr>
            </w:pPr>
            <w:r>
              <w:rPr>
                <w:rFonts w:hint="default" w:ascii="Times New Roman" w:hAnsi="Times New Roman" w:cs="Times New Roman"/>
                <w:color w:val="auto"/>
                <w:sz w:val="21"/>
                <w:szCs w:val="21"/>
                <w:highlight w:val="none"/>
              </w:rPr>
              <w:t>①</w:t>
            </w:r>
            <w:r>
              <w:rPr>
                <w:rFonts w:hint="eastAsia"/>
                <w:color w:val="auto"/>
                <w:sz w:val="21"/>
                <w:szCs w:val="21"/>
                <w:highlight w:val="none"/>
              </w:rPr>
              <w:t>白酒生产企业。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color w:val="auto"/>
                <w:sz w:val="21"/>
                <w:szCs w:val="21"/>
                <w:highlight w:val="none"/>
              </w:rPr>
            </w:pPr>
            <w:r>
              <w:rPr>
                <w:rFonts w:hint="default" w:ascii="Times New Roman" w:hAnsi="Times New Roman" w:cs="Times New Roman"/>
                <w:color w:val="auto"/>
                <w:sz w:val="21"/>
                <w:szCs w:val="21"/>
                <w:highlight w:val="none"/>
              </w:rPr>
              <w:t>②</w:t>
            </w:r>
            <w:r>
              <w:rPr>
                <w:rFonts w:hint="eastAsia"/>
                <w:color w:val="auto"/>
                <w:sz w:val="21"/>
                <w:szCs w:val="21"/>
                <w:highlight w:val="none"/>
              </w:rPr>
              <w:t>味精生产企业。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Regular" w:hAnsi="Times New Roman Regular" w:cs="Times New Roman Regular"/>
                <w:color w:val="auto"/>
                <w:sz w:val="21"/>
                <w:szCs w:val="21"/>
                <w:highlight w:val="none"/>
              </w:rPr>
            </w:pPr>
            <w:r>
              <w:rPr>
                <w:rFonts w:hint="default" w:ascii="Times New Roman" w:hAnsi="Times New Roman" w:cs="Times New Roman"/>
                <w:color w:val="auto"/>
                <w:sz w:val="21"/>
                <w:szCs w:val="21"/>
                <w:highlight w:val="none"/>
              </w:rPr>
              <w:t>③</w:t>
            </w:r>
            <w:r>
              <w:rPr>
                <w:rFonts w:hint="eastAsia"/>
                <w:color w:val="auto"/>
                <w:sz w:val="21"/>
                <w:szCs w:val="21"/>
                <w:highlight w:val="none"/>
              </w:rPr>
              <w:t>3000吨/年及以下的西式肉制品加工项目。</w:t>
            </w:r>
          </w:p>
          <w:p>
            <w:pPr>
              <w:pStyle w:val="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）污染防治规划</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cs="Times New Roman"/>
                <w:color w:val="auto"/>
                <w:sz w:val="24"/>
              </w:rPr>
            </w:pPr>
            <w:r>
              <w:rPr>
                <w:rFonts w:hint="default" w:ascii="Times New Roman" w:hAnsi="Times New Roman" w:eastAsia="宋体" w:cs="Times New Roman"/>
                <w:color w:val="auto"/>
                <w:sz w:val="21"/>
                <w:szCs w:val="21"/>
              </w:rPr>
              <w:t>大气污染防治规划主要包括几方面，一是加快能源结构的调整和优化，积极调整能源结构。积极鼓励入区企业使用电、燃油或天然气作为主要能源，严禁煤炭等初级能源的使用。二是集中供热，对入园企业实施集中供热。三是加强对入园企业特征大气污染物排放的则采用除尘、脱味的技术。严格执行“三同时”制度</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食品园区的污水通过预处理工艺后，与其他污水统一排至污水管道后，排入双城市城市污水处理厂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园区声环境规划提出了噪声控制规划，一为加强对加工基地内各类噪声源的控制和管理，对于高噪设备必须进行隔声降噪，减少噪声污染。二为要求各区块必须进行合理布局，统一规划，严格按规划建设。三为要求在防护隔离带进行植树造林削减噪声。四是要求对入区企业必须实行“三同时”，通过规划中提出的噪声控制规划，可以减轻区内之间及各区对区外的影响。</w:t>
            </w:r>
          </w:p>
          <w:p>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符合性分析：</w:t>
            </w:r>
            <w:r>
              <w:rPr>
                <w:rFonts w:hint="default" w:ascii="Times New Roman" w:hAnsi="Times New Roman" w:cs="Times New Roman"/>
                <w:color w:val="auto"/>
                <w:kern w:val="0"/>
                <w:sz w:val="21"/>
                <w:szCs w:val="21"/>
                <w:highlight w:val="none"/>
                <w:lang w:eastAsia="zh-CN"/>
              </w:rPr>
              <w:t>本项目</w:t>
            </w:r>
            <w:r>
              <w:rPr>
                <w:rFonts w:hint="default" w:ascii="Times New Roman" w:hAnsi="Times New Roman" w:cs="Times New Roman"/>
                <w:color w:val="auto"/>
                <w:kern w:val="0"/>
                <w:sz w:val="21"/>
                <w:szCs w:val="21"/>
                <w:highlight w:val="none"/>
                <w:lang w:val="en-US" w:eastAsia="zh-CN"/>
              </w:rPr>
              <w:t>为</w:t>
            </w:r>
            <w:r>
              <w:rPr>
                <w:rFonts w:hint="default" w:ascii="Times New Roman" w:hAnsi="Times New Roman" w:cs="Times New Roman"/>
                <w:color w:val="auto"/>
                <w:kern w:val="21"/>
                <w:sz w:val="21"/>
                <w:szCs w:val="21"/>
                <w:highlight w:val="none"/>
                <w:lang w:val="en-US" w:eastAsia="zh-CN"/>
              </w:rPr>
              <w:t>黑龙江省哈松滨食品有限公司肉灌制品及卤肉制品生产建设项目，</w:t>
            </w:r>
            <w:r>
              <w:rPr>
                <w:rFonts w:hint="default" w:ascii="Times New Roman" w:hAnsi="Times New Roman" w:cs="Times New Roman"/>
                <w:color w:val="auto"/>
                <w:kern w:val="0"/>
                <w:sz w:val="21"/>
                <w:szCs w:val="21"/>
                <w:highlight w:val="none"/>
                <w:lang w:eastAsia="zh-CN"/>
              </w:rPr>
              <w:t>位于</w:t>
            </w:r>
            <w:r>
              <w:rPr>
                <w:rFonts w:hint="default" w:ascii="Times New Roman" w:hAnsi="Times New Roman" w:cs="Times New Roman" w:eastAsiaTheme="minorEastAsia"/>
                <w:color w:val="auto"/>
                <w:sz w:val="21"/>
                <w:szCs w:val="21"/>
                <w:highlight w:val="none"/>
                <w:lang w:val="en-US" w:eastAsia="zh-CN"/>
              </w:rPr>
              <w:t>黑龙江省</w:t>
            </w:r>
            <w:r>
              <w:rPr>
                <w:rFonts w:hint="default" w:ascii="Times New Roman" w:hAnsi="Times New Roman" w:cs="Times New Roman" w:eastAsiaTheme="minorEastAsia"/>
                <w:color w:val="auto"/>
                <w:sz w:val="21"/>
                <w:szCs w:val="21"/>
                <w:highlight w:val="none"/>
              </w:rPr>
              <w:t>哈尔滨市</w:t>
            </w:r>
            <w:r>
              <w:rPr>
                <w:rFonts w:hint="default" w:ascii="Times New Roman" w:hAnsi="Times New Roman" w:cs="Times New Roman" w:eastAsiaTheme="minorEastAsia"/>
                <w:color w:val="auto"/>
                <w:sz w:val="21"/>
                <w:szCs w:val="21"/>
                <w:highlight w:val="none"/>
                <w:lang w:val="en-US" w:eastAsia="zh-CN"/>
              </w:rPr>
              <w:t>双城经济开发区食品产业园区内。主要产品产能为红肠、儿童肠、松仁烤肠3200t/a，酱卤制品500t/a，本项目供水为市政供水管网，供电为市政供电，供气为市政天然气输送管道，</w:t>
            </w:r>
            <w:r>
              <w:rPr>
                <w:rFonts w:hint="eastAsia" w:cs="Times New Roman" w:eastAsiaTheme="minorEastAsia"/>
                <w:color w:val="auto"/>
                <w:sz w:val="21"/>
                <w:szCs w:val="21"/>
                <w:highlight w:val="none"/>
                <w:lang w:val="en-US" w:eastAsia="zh-CN"/>
              </w:rPr>
              <w:t>根据现场踏查，供热大网供热管线未铺设到本项目位置，故</w:t>
            </w:r>
            <w:r>
              <w:rPr>
                <w:rFonts w:hint="default" w:ascii="Times New Roman" w:hAnsi="Times New Roman" w:cs="Times New Roman" w:eastAsiaTheme="minorEastAsia"/>
                <w:color w:val="auto"/>
                <w:sz w:val="21"/>
                <w:szCs w:val="21"/>
                <w:highlight w:val="none"/>
                <w:lang w:val="en-US" w:eastAsia="zh-CN"/>
              </w:rPr>
              <w:t>厂区</w:t>
            </w:r>
            <w:r>
              <w:rPr>
                <w:rFonts w:hint="eastAsia" w:ascii="Times New Roman" w:hAnsi="Times New Roman" w:cs="Times New Roman" w:eastAsiaTheme="minorEastAsia"/>
                <w:color w:val="auto"/>
                <w:sz w:val="21"/>
                <w:szCs w:val="21"/>
                <w:highlight w:val="none"/>
                <w:lang w:val="en-US" w:eastAsia="zh-CN"/>
              </w:rPr>
              <w:t>全年</w:t>
            </w:r>
            <w:r>
              <w:rPr>
                <w:rFonts w:hint="eastAsia" w:cs="Times New Roman" w:eastAsiaTheme="minorEastAsia"/>
                <w:color w:val="auto"/>
                <w:sz w:val="21"/>
                <w:szCs w:val="21"/>
                <w:highlight w:val="none"/>
                <w:lang w:val="en-US" w:eastAsia="zh-CN"/>
              </w:rPr>
              <w:t>生产</w:t>
            </w:r>
            <w:r>
              <w:rPr>
                <w:rFonts w:hint="default" w:ascii="Times New Roman" w:hAnsi="Times New Roman" w:cs="Times New Roman" w:eastAsiaTheme="minorEastAsia"/>
                <w:color w:val="auto"/>
                <w:sz w:val="21"/>
                <w:szCs w:val="21"/>
                <w:highlight w:val="none"/>
                <w:lang w:val="en-US" w:eastAsia="zh-CN"/>
              </w:rPr>
              <w:t>供热</w:t>
            </w:r>
            <w:r>
              <w:rPr>
                <w:rFonts w:hint="eastAsia" w:cs="Times New Roman" w:eastAsiaTheme="minorEastAsia"/>
                <w:color w:val="auto"/>
                <w:sz w:val="21"/>
                <w:szCs w:val="21"/>
                <w:highlight w:val="none"/>
                <w:lang w:val="en-US" w:eastAsia="zh-CN"/>
              </w:rPr>
              <w:t>及冬季</w:t>
            </w:r>
            <w:r>
              <w:rPr>
                <w:rFonts w:hint="default" w:ascii="Times New Roman" w:hAnsi="Times New Roman" w:cs="Times New Roman" w:eastAsiaTheme="minorEastAsia"/>
                <w:color w:val="auto"/>
                <w:sz w:val="21"/>
                <w:szCs w:val="21"/>
                <w:highlight w:val="none"/>
                <w:lang w:val="en-US" w:eastAsia="zh-CN"/>
              </w:rPr>
              <w:t>供暖</w:t>
            </w:r>
            <w:r>
              <w:rPr>
                <w:rFonts w:hint="eastAsia" w:cs="Times New Roman" w:eastAsiaTheme="minorEastAsia"/>
                <w:color w:val="auto"/>
                <w:sz w:val="21"/>
                <w:szCs w:val="21"/>
                <w:highlight w:val="none"/>
                <w:lang w:val="en-US" w:eastAsia="zh-CN"/>
              </w:rPr>
              <w:t>设置</w:t>
            </w:r>
            <w:r>
              <w:rPr>
                <w:rFonts w:hint="default" w:ascii="Times New Roman" w:hAnsi="Times New Roman" w:cs="Times New Roman" w:eastAsiaTheme="minorEastAsia"/>
                <w:color w:val="auto"/>
                <w:sz w:val="21"/>
                <w:szCs w:val="21"/>
                <w:highlight w:val="none"/>
                <w:lang w:val="en-US" w:eastAsia="zh-CN"/>
              </w:rPr>
              <w:t>一台6t/h</w:t>
            </w:r>
            <w:r>
              <w:rPr>
                <w:rFonts w:hint="eastAsia" w:cs="Times New Roman" w:eastAsiaTheme="minorEastAsia"/>
                <w:color w:val="auto"/>
                <w:sz w:val="21"/>
                <w:szCs w:val="21"/>
                <w:highlight w:val="none"/>
                <w:lang w:val="en-US" w:eastAsia="zh-CN"/>
              </w:rPr>
              <w:t>燃气蒸汽锅炉</w:t>
            </w:r>
            <w:r>
              <w:rPr>
                <w:rFonts w:hint="default" w:ascii="Times New Roman" w:hAnsi="Times New Roman" w:cs="Times New Roman" w:eastAsiaTheme="minorEastAsia"/>
                <w:color w:val="auto"/>
                <w:sz w:val="21"/>
                <w:szCs w:val="21"/>
                <w:highlight w:val="none"/>
                <w:lang w:val="en-US" w:eastAsia="zh-CN"/>
              </w:rPr>
              <w:t>。本项目产生的综合污水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厂区污水处理站（气浮+AO+MBR+消毒）</w:t>
            </w:r>
            <w:r>
              <w:rPr>
                <w:rFonts w:hint="default" w:ascii="Times New Roman" w:hAnsi="Times New Roman" w:cs="Times New Roman"/>
                <w:color w:val="auto"/>
                <w:sz w:val="21"/>
                <w:szCs w:val="21"/>
                <w:highlight w:val="none"/>
              </w:rPr>
              <w:t>处理后，满足《肉类加工工业水污染物排放标准》（GB13457-92）表3中“肉制品加工”表3中三级标准，经</w:t>
            </w:r>
            <w:r>
              <w:rPr>
                <w:rFonts w:hint="default" w:ascii="Times New Roman" w:hAnsi="Times New Roman" w:cs="Times New Roman"/>
                <w:color w:val="auto"/>
                <w:sz w:val="21"/>
                <w:szCs w:val="21"/>
                <w:highlight w:val="none"/>
                <w:lang w:val="en-US" w:eastAsia="zh-CN"/>
              </w:rPr>
              <w:t>双城</w:t>
            </w:r>
            <w:r>
              <w:rPr>
                <w:rFonts w:hint="default" w:ascii="Times New Roman" w:hAnsi="Times New Roman" w:cs="Times New Roman"/>
                <w:color w:val="auto"/>
                <w:sz w:val="21"/>
                <w:szCs w:val="21"/>
                <w:highlight w:val="none"/>
              </w:rPr>
              <w:t>污水处理厂处理</w:t>
            </w:r>
            <w:r>
              <w:rPr>
                <w:rFonts w:hint="default" w:ascii="Times New Roman" w:hAnsi="Times New Roman" w:cs="Times New Roman"/>
                <w:color w:val="auto"/>
                <w:sz w:val="21"/>
                <w:szCs w:val="21"/>
                <w:highlight w:val="none"/>
                <w:lang w:val="en-US" w:eastAsia="zh-CN"/>
              </w:rPr>
              <w:t>达标</w:t>
            </w:r>
            <w:r>
              <w:rPr>
                <w:rFonts w:hint="default" w:ascii="Times New Roman" w:hAnsi="Times New Roman" w:cs="Times New Roman"/>
                <w:color w:val="auto"/>
                <w:sz w:val="21"/>
                <w:szCs w:val="21"/>
                <w:highlight w:val="none"/>
              </w:rPr>
              <w:t>后排入</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cs="Times New Roman"/>
                <w:color w:val="auto"/>
                <w:sz w:val="21"/>
                <w:szCs w:val="21"/>
                <w:highlight w:val="none"/>
              </w:rPr>
              <w:t>。</w:t>
            </w:r>
            <w:r>
              <w:rPr>
                <w:rFonts w:hint="eastAsia" w:cs="Times New Roman" w:eastAsiaTheme="minorEastAsia"/>
                <w:color w:val="auto"/>
                <w:sz w:val="21"/>
                <w:szCs w:val="21"/>
                <w:highlight w:val="none"/>
                <w:u w:val="none"/>
                <w:lang w:val="en-US" w:eastAsia="zh-CN"/>
              </w:rPr>
              <w:t>燃气蒸汽锅炉烟气采用低氮燃烧器，经一根27m高烟囱（DA001）排放；熏烤间蒸煮和熏烤肉制品产生的二氧化硫、烟尘和氮氧化物通过静电除尘器+低温等离子体净化装置处理后，通过一根27m高排气筒（DA002）排放；污水处理站恶臭气体统一收集，经活性炭吸附后通过15m排气筒（DA003）排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Regular" w:hAnsi="Times New Roman Regular" w:cs="Times New Roman Regular"/>
                <w:color w:val="auto"/>
                <w:sz w:val="21"/>
                <w:szCs w:val="21"/>
                <w:highlight w:val="none"/>
              </w:rPr>
            </w:pPr>
            <w:r>
              <w:rPr>
                <w:rFonts w:hint="default" w:ascii="Times New Roman" w:hAnsi="Times New Roman" w:eastAsia="宋体" w:cs="Times New Roman"/>
                <w:color w:val="auto"/>
                <w:sz w:val="21"/>
                <w:szCs w:val="21"/>
                <w:highlight w:val="none"/>
                <w:lang w:val="en-US" w:eastAsia="zh-CN"/>
              </w:rPr>
              <w:t>综上</w:t>
            </w:r>
            <w:r>
              <w:rPr>
                <w:rFonts w:hint="default" w:ascii="Times New Roman" w:hAnsi="Times New Roman" w:cs="Times New Roman"/>
                <w:color w:val="auto"/>
                <w:sz w:val="21"/>
                <w:szCs w:val="21"/>
                <w:highlight w:val="none"/>
              </w:rPr>
              <w:t>，</w:t>
            </w:r>
            <w:r>
              <w:rPr>
                <w:rFonts w:hint="eastAsia" w:ascii="Times New Roman Regular" w:hAnsi="Times New Roman Regular" w:cs="Times New Roman Regular"/>
                <w:color w:val="auto"/>
                <w:sz w:val="21"/>
                <w:szCs w:val="21"/>
                <w:highlight w:val="none"/>
              </w:rPr>
              <w:t>本项目建设</w:t>
            </w:r>
            <w:r>
              <w:rPr>
                <w:rFonts w:hint="default" w:ascii="Times New Roman Regular" w:hAnsi="Times New Roman Regular" w:cs="Times New Roman Regular"/>
                <w:color w:val="auto"/>
                <w:sz w:val="21"/>
                <w:szCs w:val="21"/>
                <w:highlight w:val="none"/>
              </w:rPr>
              <w:t>符合园区总体发展方向及产业定位，不属于规划中限制和禁止的产业。</w:t>
            </w:r>
            <w:r>
              <w:rPr>
                <w:rFonts w:hint="default"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rPr>
              <w:t>项目</w:t>
            </w:r>
            <w:r>
              <w:rPr>
                <w:rFonts w:hint="default" w:ascii="Times New Roman Regular" w:hAnsi="Times New Roman Regular" w:cs="Times New Roman Regular"/>
                <w:color w:val="auto"/>
                <w:sz w:val="21"/>
                <w:szCs w:val="21"/>
                <w:highlight w:val="none"/>
              </w:rPr>
              <w:t>建设符合园区规划、规划环评结论及规划环评审查意见要求。</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Regular" w:hAnsi="Times New Roman Regular" w:cs="Times New Roman Regular"/>
                <w:color w:val="auto"/>
                <w:sz w:val="21"/>
                <w:szCs w:val="21"/>
                <w:highlight w:val="none"/>
              </w:rPr>
            </w:pP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eastAsia="宋体"/>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b/>
                <w:bCs/>
                <w:color w:val="auto"/>
                <w:kern w:val="0"/>
                <w:szCs w:val="21"/>
                <w:highlight w:val="none"/>
              </w:rPr>
            </w:pPr>
            <w:r>
              <w:rPr>
                <w:rFonts w:hint="eastAsia"/>
                <w:b/>
                <w:bCs/>
                <w:color w:val="auto"/>
                <w:kern w:val="0"/>
                <w:szCs w:val="21"/>
                <w:highlight w:val="none"/>
                <w:lang w:val="en-US" w:eastAsia="zh-CN"/>
              </w:rPr>
              <w:t>1、</w:t>
            </w:r>
            <w:r>
              <w:rPr>
                <w:rFonts w:hint="eastAsia"/>
                <w:b/>
                <w:bCs/>
                <w:color w:val="auto"/>
                <w:kern w:val="0"/>
                <w:szCs w:val="21"/>
                <w:highlight w:val="none"/>
              </w:rPr>
              <w:t>三线一单符合性分析</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olor w:val="auto"/>
                <w:kern w:val="0"/>
                <w:szCs w:val="21"/>
                <w:highlight w:val="none"/>
              </w:rPr>
            </w:pPr>
            <w:r>
              <w:rPr>
                <w:rFonts w:hint="default"/>
                <w:color w:val="auto"/>
                <w:kern w:val="0"/>
                <w:szCs w:val="21"/>
                <w:highlight w:val="none"/>
              </w:rPr>
              <w:t>根据《</w:t>
            </w:r>
            <w:r>
              <w:rPr>
                <w:rFonts w:hint="eastAsia"/>
                <w:color w:val="auto"/>
                <w:kern w:val="0"/>
                <w:szCs w:val="21"/>
                <w:highlight w:val="none"/>
              </w:rPr>
              <w:t>哈尔滨市人民政府</w:t>
            </w:r>
            <w:r>
              <w:rPr>
                <w:rFonts w:hint="default"/>
                <w:color w:val="auto"/>
                <w:kern w:val="0"/>
                <w:szCs w:val="21"/>
                <w:highlight w:val="none"/>
              </w:rPr>
              <w:t>关于实施</w:t>
            </w:r>
            <w:r>
              <w:rPr>
                <w:rFonts w:hint="eastAsia"/>
                <w:color w:val="auto"/>
                <w:kern w:val="0"/>
                <w:szCs w:val="21"/>
                <w:highlight w:val="none"/>
                <w:lang w:eastAsia="zh-CN"/>
              </w:rPr>
              <w:t>“</w:t>
            </w:r>
            <w:r>
              <w:rPr>
                <w:rFonts w:hint="default"/>
                <w:color w:val="auto"/>
                <w:kern w:val="0"/>
                <w:szCs w:val="21"/>
                <w:highlight w:val="none"/>
              </w:rPr>
              <w:t>三线一单</w:t>
            </w:r>
            <w:r>
              <w:rPr>
                <w:rFonts w:hint="eastAsia"/>
                <w:color w:val="auto"/>
                <w:kern w:val="0"/>
                <w:szCs w:val="21"/>
                <w:highlight w:val="none"/>
                <w:lang w:eastAsia="zh-CN"/>
              </w:rPr>
              <w:t>”</w:t>
            </w:r>
            <w:r>
              <w:rPr>
                <w:rFonts w:hint="default"/>
                <w:color w:val="auto"/>
                <w:kern w:val="0"/>
                <w:szCs w:val="21"/>
                <w:highlight w:val="none"/>
              </w:rPr>
              <w:t>生态环境分区管控的意见（</w:t>
            </w:r>
            <w:r>
              <w:rPr>
                <w:rFonts w:hint="eastAsia"/>
                <w:color w:val="auto"/>
                <w:kern w:val="0"/>
                <w:szCs w:val="21"/>
                <w:highlight w:val="none"/>
              </w:rPr>
              <w:t>哈政规〔2021〕7号</w:t>
            </w:r>
            <w:r>
              <w:rPr>
                <w:rFonts w:hint="default"/>
                <w:color w:val="auto"/>
                <w:kern w:val="0"/>
                <w:szCs w:val="21"/>
                <w:highlight w:val="none"/>
              </w:rPr>
              <w:t>）》规定，环境管控单元包括优先保护单元、重点管控单元和一般管控单元三类。本项目位于</w:t>
            </w:r>
            <w:r>
              <w:rPr>
                <w:rFonts w:hint="eastAsia"/>
                <w:color w:val="auto"/>
                <w:kern w:val="0"/>
                <w:szCs w:val="21"/>
                <w:highlight w:val="none"/>
                <w:lang w:eastAsia="zh-CN"/>
              </w:rPr>
              <w:t>哈尔滨市双城经济开发区</w:t>
            </w:r>
            <w:r>
              <w:rPr>
                <w:rFonts w:hint="eastAsia"/>
                <w:color w:val="auto"/>
                <w:kern w:val="0"/>
                <w:szCs w:val="21"/>
                <w:highlight w:val="none"/>
                <w:lang w:val="en-US" w:eastAsia="zh-CN"/>
              </w:rPr>
              <w:t>食品园区内</w:t>
            </w:r>
            <w:r>
              <w:rPr>
                <w:rFonts w:hint="default"/>
                <w:color w:val="auto"/>
                <w:kern w:val="0"/>
                <w:szCs w:val="21"/>
                <w:highlight w:val="none"/>
              </w:rPr>
              <w:t>，</w:t>
            </w:r>
            <w:r>
              <w:rPr>
                <w:rFonts w:hint="eastAsia"/>
                <w:color w:val="auto"/>
                <w:kern w:val="0"/>
                <w:szCs w:val="21"/>
                <w:highlight w:val="none"/>
                <w:lang w:val="en-US" w:eastAsia="zh-CN"/>
              </w:rPr>
              <w:t>本项目所在</w:t>
            </w:r>
            <w:r>
              <w:rPr>
                <w:rFonts w:hint="default"/>
                <w:color w:val="auto"/>
                <w:kern w:val="0"/>
                <w:szCs w:val="21"/>
                <w:highlight w:val="none"/>
              </w:rPr>
              <w:t>区域属于</w:t>
            </w:r>
            <w:r>
              <w:rPr>
                <w:rFonts w:hint="eastAsia"/>
                <w:color w:val="auto"/>
                <w:kern w:val="0"/>
                <w:szCs w:val="21"/>
                <w:highlight w:val="none"/>
                <w:lang w:eastAsia="zh-CN"/>
              </w:rPr>
              <w:t>重点</w:t>
            </w:r>
            <w:r>
              <w:rPr>
                <w:rFonts w:hint="default"/>
                <w:color w:val="auto"/>
                <w:kern w:val="0"/>
                <w:szCs w:val="21"/>
                <w:highlight w:val="none"/>
              </w:rPr>
              <w:t>管控单元。</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textAlignment w:val="auto"/>
              <w:rPr>
                <w:rFonts w:hint="default"/>
                <w:color w:val="auto"/>
                <w:kern w:val="0"/>
                <w:szCs w:val="21"/>
                <w:highlight w:val="none"/>
              </w:rPr>
            </w:pPr>
            <w:r>
              <w:rPr>
                <w:rFonts w:hint="default"/>
                <w:color w:val="auto"/>
                <w:kern w:val="0"/>
                <w:szCs w:val="21"/>
                <w:highlight w:val="none"/>
              </w:rPr>
              <w:t>生态保护红线</w:t>
            </w:r>
            <w:r>
              <w:rPr>
                <w:rFonts w:hint="default"/>
                <w:color w:val="auto"/>
                <w:kern w:val="0"/>
                <w:sz w:val="21"/>
                <w:szCs w:val="21"/>
                <w:highlight w:val="none"/>
              </w:rPr>
              <w:t>：</w:t>
            </w:r>
            <w:r>
              <w:rPr>
                <w:rFonts w:hint="eastAsia"/>
                <w:color w:val="auto"/>
                <w:kern w:val="0"/>
                <w:sz w:val="21"/>
                <w:szCs w:val="21"/>
                <w:highlight w:val="none"/>
                <w:lang w:val="en-US" w:eastAsia="zh-CN"/>
              </w:rPr>
              <w:t>根据</w:t>
            </w:r>
            <w:r>
              <w:rPr>
                <w:rFonts w:hint="default"/>
                <w:color w:val="auto"/>
                <w:sz w:val="21"/>
                <w:szCs w:val="21"/>
                <w:highlight w:val="none"/>
                <w:lang w:bidi="ar"/>
              </w:rPr>
              <w:t>《黑龙江省区域空间生态环境评价报告（哈尔滨市部分）》中附图2哈尔滨市生态保护红线分布图</w:t>
            </w:r>
            <w:r>
              <w:rPr>
                <w:rFonts w:hint="eastAsia"/>
                <w:color w:val="auto"/>
                <w:sz w:val="21"/>
                <w:szCs w:val="21"/>
                <w:highlight w:val="none"/>
                <w:lang w:eastAsia="zh-CN" w:bidi="ar"/>
              </w:rPr>
              <w:t>，</w:t>
            </w:r>
            <w:r>
              <w:rPr>
                <w:rFonts w:hint="default"/>
                <w:color w:val="auto"/>
                <w:kern w:val="0"/>
                <w:szCs w:val="21"/>
                <w:highlight w:val="none"/>
              </w:rPr>
              <w:t>本项目</w:t>
            </w:r>
            <w:r>
              <w:rPr>
                <w:rFonts w:hint="eastAsia"/>
                <w:color w:val="auto"/>
                <w:kern w:val="0"/>
                <w:szCs w:val="21"/>
                <w:highlight w:val="none"/>
              </w:rPr>
              <w:t>位于</w:t>
            </w:r>
            <w:r>
              <w:rPr>
                <w:rFonts w:hint="eastAsia"/>
                <w:color w:val="auto"/>
                <w:kern w:val="0"/>
                <w:szCs w:val="21"/>
                <w:highlight w:val="none"/>
                <w:lang w:eastAsia="zh-CN"/>
              </w:rPr>
              <w:t>哈尔滨市双城经济开发区</w:t>
            </w:r>
            <w:r>
              <w:rPr>
                <w:rFonts w:hint="eastAsia"/>
                <w:color w:val="auto"/>
                <w:kern w:val="0"/>
                <w:szCs w:val="21"/>
                <w:highlight w:val="none"/>
                <w:lang w:val="en-US" w:eastAsia="zh-CN"/>
              </w:rPr>
              <w:t>食品园区</w:t>
            </w:r>
            <w:r>
              <w:rPr>
                <w:rFonts w:hint="default"/>
                <w:color w:val="auto"/>
                <w:kern w:val="0"/>
                <w:szCs w:val="21"/>
                <w:highlight w:val="none"/>
              </w:rPr>
              <w:t>，本项目选址不在生态保护红线内。</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olor w:val="auto"/>
                <w:kern w:val="0"/>
                <w:szCs w:val="21"/>
                <w:highlight w:val="none"/>
              </w:rPr>
            </w:pPr>
            <w:r>
              <w:rPr>
                <w:rFonts w:hint="default"/>
                <w:color w:val="auto"/>
                <w:kern w:val="0"/>
                <w:szCs w:val="21"/>
                <w:highlight w:val="none"/>
              </w:rPr>
              <w:t>环境质量底线：</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textAlignment w:val="auto"/>
              <w:rPr>
                <w:rFonts w:hint="default"/>
                <w:color w:val="auto"/>
                <w:kern w:val="0"/>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1）大气：</w:t>
            </w:r>
            <w:r>
              <w:rPr>
                <w:rFonts w:hint="default" w:ascii="Times New Roman" w:hAnsi="Times New Roman" w:cs="Times New Roman"/>
                <w:color w:val="auto"/>
                <w:kern w:val="0"/>
                <w:szCs w:val="21"/>
                <w:highlight w:val="none"/>
              </w:rPr>
              <w:t>本项目位于</w:t>
            </w:r>
            <w:r>
              <w:rPr>
                <w:rFonts w:hint="eastAsia" w:cs="Times New Roman"/>
                <w:color w:val="auto"/>
                <w:kern w:val="0"/>
                <w:szCs w:val="21"/>
                <w:highlight w:val="none"/>
                <w:lang w:eastAsia="zh-CN"/>
              </w:rPr>
              <w:t>哈尔滨市双城经济开发区</w:t>
            </w:r>
            <w:r>
              <w:rPr>
                <w:rFonts w:hint="eastAsia" w:cs="Times New Roman"/>
                <w:color w:val="auto"/>
                <w:kern w:val="0"/>
                <w:szCs w:val="21"/>
                <w:highlight w:val="none"/>
                <w:lang w:val="en-US" w:eastAsia="zh-CN"/>
              </w:rPr>
              <w:t>食品园区内，</w:t>
            </w:r>
            <w:r>
              <w:rPr>
                <w:rFonts w:hint="eastAsia"/>
                <w:color w:val="auto"/>
                <w:kern w:val="0"/>
                <w:sz w:val="21"/>
                <w:szCs w:val="21"/>
                <w:highlight w:val="none"/>
              </w:rPr>
              <w:t>根据</w:t>
            </w:r>
            <w:r>
              <w:rPr>
                <w:rFonts w:hint="default"/>
                <w:color w:val="auto"/>
                <w:sz w:val="21"/>
                <w:highlight w:val="none"/>
              </w:rPr>
              <w:t>《</w:t>
            </w:r>
            <w:r>
              <w:rPr>
                <w:rFonts w:hint="eastAsia"/>
                <w:color w:val="auto"/>
                <w:sz w:val="21"/>
                <w:highlight w:val="none"/>
                <w:lang w:val="en-US" w:eastAsia="zh-CN"/>
              </w:rPr>
              <w:t>哈尔滨市生态环境质量报告书（2022年）</w:t>
            </w:r>
            <w:r>
              <w:rPr>
                <w:rFonts w:hint="default"/>
                <w:color w:val="auto"/>
                <w:sz w:val="21"/>
                <w:highlight w:val="none"/>
              </w:rPr>
              <w:t>》</w:t>
            </w:r>
            <w:r>
              <w:rPr>
                <w:rFonts w:hint="eastAsia"/>
                <w:color w:val="auto"/>
                <w:sz w:val="21"/>
                <w:highlight w:val="none"/>
                <w:lang w:eastAsia="zh-CN"/>
              </w:rPr>
              <w:t>，</w:t>
            </w:r>
            <w:r>
              <w:rPr>
                <w:rFonts w:hint="eastAsia"/>
                <w:color w:val="auto"/>
                <w:kern w:val="0"/>
                <w:sz w:val="21"/>
                <w:szCs w:val="21"/>
                <w:highlight w:val="none"/>
                <w:lang w:val="en-US" w:eastAsia="zh-CN"/>
              </w:rPr>
              <w:t>哈尔滨</w:t>
            </w:r>
            <w:r>
              <w:rPr>
                <w:rFonts w:hint="eastAsia"/>
                <w:color w:val="auto"/>
                <w:kern w:val="0"/>
                <w:sz w:val="21"/>
                <w:szCs w:val="21"/>
                <w:highlight w:val="none"/>
              </w:rPr>
              <w:t>市202</w:t>
            </w:r>
            <w:r>
              <w:rPr>
                <w:rFonts w:hint="eastAsia"/>
                <w:color w:val="auto"/>
                <w:kern w:val="0"/>
                <w:sz w:val="21"/>
                <w:szCs w:val="21"/>
                <w:highlight w:val="none"/>
                <w:lang w:val="en-US" w:eastAsia="zh-CN"/>
              </w:rPr>
              <w:t>2</w:t>
            </w:r>
            <w:r>
              <w:rPr>
                <w:rFonts w:hint="eastAsia"/>
                <w:color w:val="auto"/>
                <w:kern w:val="0"/>
                <w:sz w:val="21"/>
                <w:szCs w:val="21"/>
                <w:highlight w:val="none"/>
              </w:rPr>
              <w:t>年SO</w:t>
            </w:r>
            <w:r>
              <w:rPr>
                <w:rFonts w:hint="eastAsia"/>
                <w:color w:val="auto"/>
                <w:kern w:val="0"/>
                <w:sz w:val="21"/>
                <w:szCs w:val="21"/>
                <w:highlight w:val="none"/>
                <w:vertAlign w:val="subscript"/>
              </w:rPr>
              <w:t>2</w:t>
            </w:r>
            <w:r>
              <w:rPr>
                <w:rFonts w:hint="eastAsia"/>
                <w:color w:val="auto"/>
                <w:kern w:val="0"/>
                <w:sz w:val="21"/>
                <w:szCs w:val="21"/>
                <w:highlight w:val="none"/>
              </w:rPr>
              <w:t>、NO</w:t>
            </w:r>
            <w:r>
              <w:rPr>
                <w:rFonts w:hint="eastAsia"/>
                <w:color w:val="auto"/>
                <w:kern w:val="0"/>
                <w:sz w:val="21"/>
                <w:szCs w:val="21"/>
                <w:highlight w:val="none"/>
                <w:vertAlign w:val="subscript"/>
              </w:rPr>
              <w:t>2</w:t>
            </w:r>
            <w:r>
              <w:rPr>
                <w:rFonts w:hint="eastAsia"/>
                <w:color w:val="auto"/>
                <w:kern w:val="0"/>
                <w:sz w:val="21"/>
                <w:szCs w:val="21"/>
                <w:highlight w:val="none"/>
              </w:rPr>
              <w:t>、PM</w:t>
            </w:r>
            <w:r>
              <w:rPr>
                <w:rFonts w:hint="eastAsia"/>
                <w:color w:val="auto"/>
                <w:kern w:val="0"/>
                <w:sz w:val="21"/>
                <w:szCs w:val="21"/>
                <w:highlight w:val="none"/>
                <w:vertAlign w:val="subscript"/>
              </w:rPr>
              <w:t>10</w:t>
            </w:r>
            <w:r>
              <w:rPr>
                <w:rFonts w:hint="eastAsia"/>
                <w:color w:val="auto"/>
                <w:kern w:val="0"/>
                <w:sz w:val="21"/>
                <w:szCs w:val="21"/>
                <w:highlight w:val="none"/>
              </w:rPr>
              <w:t>、CO24小时平均第95百分位</w:t>
            </w:r>
            <w:r>
              <w:rPr>
                <w:rFonts w:hint="eastAsia"/>
                <w:color w:val="auto"/>
                <w:kern w:val="0"/>
                <w:sz w:val="21"/>
                <w:szCs w:val="21"/>
                <w:highlight w:val="none"/>
                <w:lang w:eastAsia="zh-CN"/>
              </w:rPr>
              <w:t>、</w:t>
            </w:r>
            <w:r>
              <w:rPr>
                <w:rFonts w:hint="eastAsia"/>
                <w:color w:val="auto"/>
                <w:kern w:val="0"/>
                <w:sz w:val="21"/>
                <w:szCs w:val="21"/>
                <w:highlight w:val="none"/>
              </w:rPr>
              <w:t>O</w:t>
            </w:r>
            <w:r>
              <w:rPr>
                <w:rFonts w:hint="eastAsia"/>
                <w:color w:val="auto"/>
                <w:kern w:val="0"/>
                <w:sz w:val="21"/>
                <w:szCs w:val="21"/>
                <w:highlight w:val="none"/>
                <w:vertAlign w:val="subscript"/>
              </w:rPr>
              <w:t>3</w:t>
            </w:r>
            <w:r>
              <w:rPr>
                <w:rFonts w:hint="eastAsia"/>
                <w:color w:val="auto"/>
                <w:kern w:val="0"/>
                <w:sz w:val="21"/>
                <w:szCs w:val="21"/>
                <w:highlight w:val="none"/>
              </w:rPr>
              <w:t>日最大8小时平均第90百分位</w:t>
            </w:r>
            <w:r>
              <w:rPr>
                <w:rFonts w:hint="eastAsia" w:ascii="Times New Roman" w:hAnsi="Times New Roman" w:eastAsia="宋体" w:cs="Times New Roman"/>
                <w:color w:val="auto"/>
                <w:sz w:val="21"/>
                <w:szCs w:val="21"/>
                <w:highlight w:val="none"/>
                <w:vertAlign w:val="baseline"/>
                <w:lang w:val="en-US" w:eastAsia="zh-CN"/>
              </w:rPr>
              <w:t>平均质量浓度</w:t>
            </w:r>
            <w:r>
              <w:rPr>
                <w:rFonts w:hint="eastAsia" w:cs="Times New Roman"/>
                <w:color w:val="auto"/>
                <w:sz w:val="21"/>
                <w:szCs w:val="21"/>
                <w:highlight w:val="none"/>
                <w:vertAlign w:val="baseli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eastAsia"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eastAsia="宋体" w:cs="Times New Roman"/>
                <w:color w:val="auto"/>
                <w:sz w:val="21"/>
                <w:szCs w:val="21"/>
                <w:highlight w:val="none"/>
                <w:vertAlign w:val="baseline"/>
                <w:lang w:val="en-US" w:eastAsia="zh-CN"/>
              </w:rPr>
              <w:t>未达到二级标准</w:t>
            </w:r>
            <w:r>
              <w:rPr>
                <w:rFonts w:hint="eastAsia" w:cs="Times New Roman"/>
                <w:color w:val="auto"/>
                <w:sz w:val="21"/>
                <w:szCs w:val="21"/>
                <w:highlight w:val="none"/>
                <w:vertAlign w:val="baseline"/>
                <w:lang w:val="en-US" w:eastAsia="zh-CN"/>
              </w:rPr>
              <w:t>，</w:t>
            </w:r>
            <w:r>
              <w:rPr>
                <w:rFonts w:hint="eastAsia" w:ascii="Times New Roman" w:hAnsi="Times New Roman" w:cs="Times New Roman"/>
                <w:color w:val="auto"/>
                <w:kern w:val="0"/>
                <w:sz w:val="21"/>
                <w:szCs w:val="21"/>
                <w:highlight w:val="none"/>
                <w:lang w:val="en-US" w:eastAsia="zh-CN"/>
              </w:rPr>
              <w:t>因此判定本项目区域环境空气质量为未达标区。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2）水环境：</w:t>
            </w:r>
            <w:r>
              <w:rPr>
                <w:rFonts w:hint="default" w:ascii="Times New Roman" w:hAnsi="Times New Roman" w:cs="Times New Roman"/>
                <w:color w:val="auto"/>
                <w:kern w:val="0"/>
                <w:szCs w:val="21"/>
                <w:highlight w:val="none"/>
              </w:rPr>
              <w:t>本项目位于</w:t>
            </w:r>
            <w:r>
              <w:rPr>
                <w:rFonts w:hint="eastAsia" w:cs="Times New Roman"/>
                <w:color w:val="auto"/>
                <w:kern w:val="0"/>
                <w:szCs w:val="21"/>
                <w:highlight w:val="none"/>
                <w:lang w:eastAsia="zh-CN"/>
              </w:rPr>
              <w:t>哈尔滨市双城经济开发区</w:t>
            </w:r>
            <w:r>
              <w:rPr>
                <w:rFonts w:hint="eastAsia" w:cs="Times New Roman"/>
                <w:color w:val="auto"/>
                <w:kern w:val="0"/>
                <w:szCs w:val="21"/>
                <w:highlight w:val="none"/>
                <w:lang w:val="en-US" w:eastAsia="zh-CN"/>
              </w:rPr>
              <w:t>食品园区内，</w:t>
            </w:r>
            <w:r>
              <w:rPr>
                <w:rFonts w:hint="default" w:ascii="Times New Roman" w:hAnsi="Times New Roman" w:eastAsia="宋体" w:cs="Times New Roman"/>
                <w:color w:val="auto"/>
                <w:sz w:val="21"/>
                <w:szCs w:val="21"/>
                <w:highlight w:val="none"/>
              </w:rPr>
              <w:t>所在区域水体为</w:t>
            </w:r>
            <w:r>
              <w:rPr>
                <w:rFonts w:hint="eastAsia" w:cs="Times New Roman"/>
                <w:color w:val="auto"/>
                <w:sz w:val="21"/>
                <w:szCs w:val="21"/>
                <w:highlight w:val="none"/>
                <w:lang w:val="en-US" w:eastAsia="zh-CN"/>
              </w:rPr>
              <w:t>拉林河，</w:t>
            </w:r>
            <w:r>
              <w:rPr>
                <w:rFonts w:hint="default" w:ascii="Times New Roman" w:hAnsi="Times New Roman" w:eastAsia="宋体" w:cs="Times New Roman"/>
                <w:color w:val="auto"/>
                <w:sz w:val="21"/>
                <w:szCs w:val="21"/>
                <w:highlight w:val="none"/>
              </w:rPr>
              <w:t>根据</w:t>
            </w:r>
            <w:r>
              <w:rPr>
                <w:rFonts w:hint="default"/>
                <w:color w:val="auto"/>
                <w:sz w:val="21"/>
                <w:highlight w:val="none"/>
              </w:rPr>
              <w:t>《</w:t>
            </w:r>
            <w:r>
              <w:rPr>
                <w:rFonts w:hint="eastAsia"/>
                <w:color w:val="auto"/>
                <w:sz w:val="21"/>
                <w:highlight w:val="none"/>
                <w:lang w:val="en-US" w:eastAsia="zh-CN"/>
              </w:rPr>
              <w:t>哈尔滨市生态环境质量报告书（2022年）</w:t>
            </w:r>
            <w:r>
              <w:rPr>
                <w:rFonts w:hint="default"/>
                <w:color w:val="auto"/>
                <w:sz w:val="21"/>
                <w:highlight w:val="none"/>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2022年，松花江</w:t>
            </w:r>
            <w:r>
              <w:rPr>
                <w:rFonts w:hint="eastAsia" w:cs="Times New Roman"/>
                <w:color w:val="auto"/>
                <w:kern w:val="0"/>
                <w:sz w:val="21"/>
                <w:szCs w:val="21"/>
                <w:highlight w:val="none"/>
                <w:lang w:val="en-US" w:eastAsia="zh-CN" w:bidi="ar"/>
              </w:rPr>
              <w:t>哈尔滨段12条主要一级支流总体状况为良，按12条河流进行评价，水质状况总体好转</w:t>
            </w:r>
            <w:r>
              <w:rPr>
                <w:rFonts w:hint="default" w:ascii="Times New Roman" w:hAnsi="Times New Roman" w:eastAsia="宋体" w:cs="Times New Roman"/>
                <w:color w:val="auto"/>
                <w:kern w:val="0"/>
                <w:sz w:val="21"/>
                <w:szCs w:val="21"/>
                <w:highlight w:val="none"/>
                <w:lang w:val="en-US" w:eastAsia="zh-CN" w:bidi="ar"/>
              </w:rPr>
              <w:t>。</w:t>
            </w:r>
            <w:r>
              <w:rPr>
                <w:rFonts w:hint="eastAsia" w:cs="Times New Roman"/>
                <w:color w:val="auto"/>
                <w:sz w:val="21"/>
                <w:szCs w:val="21"/>
                <w:highlight w:val="none"/>
                <w:lang w:val="en-US" w:eastAsia="zh-CN"/>
              </w:rPr>
              <w:t>拉林河水质状况为</w:t>
            </w:r>
            <w:r>
              <w:rPr>
                <w:rFonts w:hint="eastAsia" w:cs="Times New Roman"/>
                <w:color w:val="auto"/>
                <w:kern w:val="0"/>
                <w:sz w:val="21"/>
                <w:szCs w:val="21"/>
                <w:highlight w:val="none"/>
                <w:lang w:val="en-US" w:eastAsia="zh-CN" w:bidi="ar"/>
              </w:rPr>
              <w:t>Ⅲ类</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 xml:space="preserve"> </w:t>
            </w:r>
          </w:p>
          <w:p>
            <w:pPr>
              <w:keepNext w:val="0"/>
              <w:keepLines w:val="0"/>
              <w:numPr>
                <w:ilvl w:val="0"/>
                <w:numId w:val="4"/>
              </w:numPr>
              <w:suppressLineNumbers w:val="0"/>
              <w:autoSpaceDE w:val="0"/>
              <w:autoSpaceDN w:val="0"/>
              <w:adjustRightInd w:val="0"/>
              <w:snapToGrid w:val="0"/>
              <w:spacing w:before="0" w:beforeAutospacing="0" w:after="0" w:afterAutospacing="0" w:line="360" w:lineRule="auto"/>
              <w:ind w:left="0" w:right="0" w:firstLine="420" w:firstLineChars="200"/>
              <w:rPr>
                <w:rFonts w:hint="eastAsia" w:asciiTheme="minorEastAsia" w:hAnsiTheme="minorEastAsia" w:eastAsiaTheme="minorEastAsia" w:cstheme="minorEastAsia"/>
                <w:color w:val="auto"/>
                <w:kern w:val="0"/>
                <w:sz w:val="21"/>
                <w:szCs w:val="21"/>
                <w:highlight w:val="none"/>
                <w:lang w:val="en-US" w:eastAsia="zh-CN" w:bidi="ar"/>
              </w:rPr>
            </w:pPr>
            <w:r>
              <w:rPr>
                <w:rFonts w:hint="eastAsia"/>
                <w:color w:val="auto"/>
                <w:kern w:val="0"/>
                <w:szCs w:val="21"/>
                <w:highlight w:val="none"/>
                <w:lang w:val="en-US" w:eastAsia="zh-CN"/>
              </w:rPr>
              <w:t>声环境：</w:t>
            </w:r>
            <w:r>
              <w:rPr>
                <w:rFonts w:hint="default" w:ascii="Times New Roman" w:hAnsi="Times New Roman" w:cs="Times New Roman"/>
                <w:color w:val="auto"/>
                <w:kern w:val="0"/>
                <w:szCs w:val="21"/>
                <w:highlight w:val="none"/>
              </w:rPr>
              <w:t>本项目位于</w:t>
            </w:r>
            <w:r>
              <w:rPr>
                <w:rFonts w:hint="eastAsia" w:cs="Times New Roman"/>
                <w:color w:val="auto"/>
                <w:kern w:val="0"/>
                <w:szCs w:val="21"/>
                <w:highlight w:val="none"/>
                <w:lang w:eastAsia="zh-CN"/>
              </w:rPr>
              <w:t>哈尔滨市双城经济开发区</w:t>
            </w:r>
            <w:r>
              <w:rPr>
                <w:rFonts w:hint="eastAsia" w:cs="Times New Roman"/>
                <w:color w:val="auto"/>
                <w:kern w:val="0"/>
                <w:szCs w:val="21"/>
                <w:highlight w:val="none"/>
                <w:lang w:val="en-US" w:eastAsia="zh-CN"/>
              </w:rPr>
              <w:t>食品园区内，</w:t>
            </w:r>
            <w:r>
              <w:rPr>
                <w:rFonts w:hint="default" w:ascii="Times New Roman" w:hAnsi="Times New Roman" w:eastAsia="宋体" w:cs="Times New Roman"/>
                <w:color w:val="auto"/>
                <w:sz w:val="21"/>
                <w:highlight w:val="none"/>
              </w:rPr>
              <w:t>根据《</w:t>
            </w:r>
            <w:r>
              <w:rPr>
                <w:rFonts w:hint="default" w:ascii="Times New Roman" w:hAnsi="Times New Roman" w:eastAsia="宋体" w:cs="Times New Roman"/>
                <w:color w:val="auto"/>
                <w:sz w:val="21"/>
                <w:highlight w:val="none"/>
                <w:lang w:val="en-US" w:eastAsia="zh-CN"/>
              </w:rPr>
              <w:t>哈尔滨市生态环境质量报告书（2022年）</w:t>
            </w:r>
            <w:r>
              <w:rPr>
                <w:rFonts w:hint="default" w:ascii="Times New Roman" w:hAnsi="Times New Roman" w:eastAsia="宋体" w:cs="Times New Roman"/>
                <w:color w:val="auto"/>
                <w:sz w:val="21"/>
                <w:highlight w:val="none"/>
              </w:rPr>
              <w:t>》数据可知，</w:t>
            </w: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kern w:val="0"/>
                <w:sz w:val="21"/>
                <w:szCs w:val="21"/>
                <w:highlight w:val="none"/>
                <w:lang w:val="en-US" w:eastAsia="zh-CN" w:bidi="ar"/>
              </w:rPr>
              <w:t>哈尔滨市城区区域声环境质量为较好（二级），平均等效声级为52.5分贝；2022年哈尔滨市城区道路交通声环境昼间平均等效声级为67.5分贝，总体评价为好（一级）；</w:t>
            </w: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厂界外周边50米范围内无声环境保护目标。</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eastAsia" w:asciiTheme="minorEastAsia" w:hAnsiTheme="minorEastAsia" w:eastAsiaTheme="minorEastAsia" w:cstheme="minorEastAsia"/>
                <w:color w:val="auto"/>
                <w:kern w:val="0"/>
                <w:sz w:val="21"/>
                <w:szCs w:val="21"/>
                <w:highlight w:val="none"/>
                <w:lang w:val="en-US" w:eastAsia="zh-CN" w:bidi="ar"/>
              </w:rPr>
            </w:pPr>
            <w:r>
              <w:rPr>
                <w:rFonts w:hint="default"/>
                <w:color w:val="auto"/>
                <w:kern w:val="0"/>
                <w:szCs w:val="21"/>
                <w:highlight w:val="none"/>
              </w:rPr>
              <w:t>本项目运营期各类污染物经环境保护措施治理后均可达标排放，对区域环境造成的不利影响较小，不会改变区域环境质量现状，因此，</w:t>
            </w:r>
            <w:r>
              <w:rPr>
                <w:rFonts w:hint="eastAsia"/>
                <w:color w:val="auto"/>
                <w:kern w:val="0"/>
                <w:szCs w:val="21"/>
                <w:highlight w:val="none"/>
                <w:lang w:val="en-US" w:eastAsia="zh-CN"/>
              </w:rPr>
              <w:t>本项目</w:t>
            </w:r>
            <w:r>
              <w:rPr>
                <w:rFonts w:hint="default"/>
                <w:color w:val="auto"/>
                <w:kern w:val="0"/>
                <w:szCs w:val="21"/>
                <w:highlight w:val="none"/>
              </w:rPr>
              <w:t>符合环境质量底线要求。</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20" w:firstLineChars="200"/>
              <w:textAlignment w:val="auto"/>
              <w:rPr>
                <w:rFonts w:hint="default"/>
                <w:color w:val="auto"/>
                <w:kern w:val="0"/>
                <w:szCs w:val="21"/>
                <w:highlight w:val="none"/>
              </w:rPr>
            </w:pPr>
            <w:r>
              <w:rPr>
                <w:rFonts w:hint="default"/>
                <w:color w:val="auto"/>
                <w:kern w:val="0"/>
                <w:szCs w:val="21"/>
                <w:highlight w:val="none"/>
              </w:rPr>
              <w:t>资源利用上线：本项目供水水源为</w:t>
            </w:r>
            <w:r>
              <w:rPr>
                <w:rFonts w:hint="eastAsia"/>
                <w:color w:val="auto"/>
                <w:kern w:val="0"/>
                <w:szCs w:val="21"/>
                <w:highlight w:val="none"/>
                <w:lang w:val="en-US" w:eastAsia="zh-CN"/>
              </w:rPr>
              <w:t>市政供水管网</w:t>
            </w:r>
            <w:r>
              <w:rPr>
                <w:rFonts w:hint="default"/>
                <w:color w:val="auto"/>
                <w:kern w:val="0"/>
                <w:szCs w:val="21"/>
                <w:highlight w:val="none"/>
              </w:rPr>
              <w:t>、供电电源为当地供电电网，用水水源及供电电源可靠，资源消耗量相对于区域资源利用总量较小，</w:t>
            </w:r>
            <w:r>
              <w:rPr>
                <w:rFonts w:hint="eastAsia"/>
                <w:color w:val="auto"/>
                <w:kern w:val="0"/>
                <w:szCs w:val="21"/>
                <w:highlight w:val="none"/>
                <w:lang w:val="en-US" w:eastAsia="zh-CN"/>
              </w:rPr>
              <w:t>本项目</w:t>
            </w:r>
            <w:r>
              <w:rPr>
                <w:rFonts w:hint="default"/>
                <w:color w:val="auto"/>
                <w:kern w:val="0"/>
                <w:szCs w:val="21"/>
                <w:highlight w:val="none"/>
              </w:rPr>
              <w:t>符合资源利用上线要求。</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kern w:val="0"/>
                <w:szCs w:val="21"/>
                <w:highlight w:val="none"/>
              </w:rPr>
            </w:pPr>
            <w:r>
              <w:rPr>
                <w:rFonts w:hint="default"/>
                <w:color w:val="auto"/>
                <w:kern w:val="0"/>
                <w:szCs w:val="21"/>
                <w:highlight w:val="none"/>
              </w:rPr>
              <w:t>环境准入清单：</w:t>
            </w:r>
            <w:r>
              <w:rPr>
                <w:rFonts w:hint="default" w:ascii="Times New Roman" w:hAnsi="Times New Roman" w:cs="Times New Roman"/>
                <w:color w:val="auto"/>
                <w:kern w:val="0"/>
                <w:szCs w:val="21"/>
                <w:highlight w:val="none"/>
              </w:rPr>
              <w:t>本项目位于</w:t>
            </w:r>
            <w:r>
              <w:rPr>
                <w:rFonts w:hint="eastAsia" w:cs="Times New Roman"/>
                <w:color w:val="auto"/>
                <w:kern w:val="0"/>
                <w:szCs w:val="21"/>
                <w:highlight w:val="none"/>
                <w:lang w:eastAsia="zh-CN"/>
              </w:rPr>
              <w:t>哈尔滨市双城经济开发区</w:t>
            </w:r>
            <w:r>
              <w:rPr>
                <w:rFonts w:hint="eastAsia" w:cs="Times New Roman"/>
                <w:color w:val="auto"/>
                <w:kern w:val="0"/>
                <w:szCs w:val="21"/>
                <w:highlight w:val="none"/>
                <w:lang w:val="en-US" w:eastAsia="zh-CN"/>
              </w:rPr>
              <w:t>食品园区内</w:t>
            </w:r>
            <w:r>
              <w:rPr>
                <w:rFonts w:hint="default" w:ascii="Times New Roman" w:hAnsi="Times New Roman" w:cs="Times New Roman"/>
                <w:color w:val="auto"/>
                <w:kern w:val="0"/>
                <w:szCs w:val="21"/>
                <w:highlight w:val="none"/>
              </w:rPr>
              <w:t>，根据《哈尔滨市人民政府关于实施</w:t>
            </w:r>
            <w:r>
              <w:rPr>
                <w:rFonts w:hint="eastAsia" w:cs="Times New Roman"/>
                <w:color w:val="auto"/>
                <w:kern w:val="0"/>
                <w:szCs w:val="21"/>
                <w:highlight w:val="none"/>
                <w:lang w:eastAsia="zh-CN"/>
              </w:rPr>
              <w:t>“</w:t>
            </w:r>
            <w:r>
              <w:rPr>
                <w:rFonts w:hint="default" w:ascii="Times New Roman" w:hAnsi="Times New Roman" w:cs="Times New Roman"/>
                <w:color w:val="auto"/>
                <w:kern w:val="0"/>
                <w:szCs w:val="21"/>
                <w:highlight w:val="none"/>
              </w:rPr>
              <w:t>三线一单</w:t>
            </w:r>
            <w:r>
              <w:rPr>
                <w:rFonts w:hint="eastAsia" w:cs="Times New Roman"/>
                <w:color w:val="auto"/>
                <w:kern w:val="0"/>
                <w:szCs w:val="21"/>
                <w:highlight w:val="none"/>
                <w:lang w:eastAsia="zh-CN"/>
              </w:rPr>
              <w:t>”</w:t>
            </w:r>
            <w:r>
              <w:rPr>
                <w:rFonts w:hint="default" w:ascii="Times New Roman" w:hAnsi="Times New Roman" w:cs="Times New Roman"/>
                <w:color w:val="auto"/>
                <w:kern w:val="0"/>
                <w:szCs w:val="21"/>
                <w:highlight w:val="none"/>
              </w:rPr>
              <w:t>生态环境分区控制的意见</w:t>
            </w:r>
            <w:r>
              <w:rPr>
                <w:rFonts w:hint="default" w:ascii="Times New Roman" w:hAnsi="Times New Roman" w:cs="Times New Roman"/>
                <w:color w:val="auto"/>
                <w:kern w:val="0"/>
                <w:sz w:val="21"/>
                <w:szCs w:val="21"/>
                <w:highlight w:val="none"/>
              </w:rPr>
              <w:t>》哈</w:t>
            </w:r>
            <w:r>
              <w:rPr>
                <w:rFonts w:hint="default" w:ascii="Times New Roman" w:hAnsi="Times New Roman" w:cs="Times New Roman"/>
                <w:color w:val="auto"/>
                <w:kern w:val="0"/>
                <w:szCs w:val="21"/>
                <w:highlight w:val="none"/>
              </w:rPr>
              <w:t>政规[2021]7号</w:t>
            </w:r>
            <w:r>
              <w:rPr>
                <w:rFonts w:hint="eastAsia" w:cs="Times New Roman"/>
                <w:color w:val="auto"/>
                <w:kern w:val="0"/>
                <w:szCs w:val="21"/>
                <w:highlight w:val="none"/>
                <w:lang w:eastAsia="zh-CN"/>
              </w:rPr>
              <w:t>中相关要求</w:t>
            </w:r>
            <w:r>
              <w:rPr>
                <w:rFonts w:hint="default" w:ascii="Times New Roman" w:hAnsi="Times New Roman" w:cs="Times New Roman"/>
                <w:color w:val="auto"/>
                <w:kern w:val="0"/>
                <w:szCs w:val="21"/>
                <w:highlight w:val="none"/>
              </w:rPr>
              <w:t>，</w:t>
            </w:r>
            <w:r>
              <w:rPr>
                <w:rFonts w:hint="eastAsia" w:cs="Times New Roman"/>
                <w:color w:val="auto"/>
                <w:kern w:val="0"/>
                <w:szCs w:val="21"/>
                <w:highlight w:val="none"/>
                <w:lang w:eastAsia="zh-CN"/>
              </w:rPr>
              <w:t>本项目属于重点管控单元，</w:t>
            </w:r>
            <w:r>
              <w:rPr>
                <w:rFonts w:hint="default" w:ascii="Times New Roman" w:hAnsi="Times New Roman" w:cs="Times New Roman"/>
                <w:color w:val="auto"/>
                <w:kern w:val="0"/>
                <w:szCs w:val="21"/>
                <w:highlight w:val="none"/>
              </w:rPr>
              <w:t>与《哈尔滨市</w:t>
            </w:r>
            <w:r>
              <w:rPr>
                <w:rFonts w:hint="eastAsia" w:ascii="Times New Roman" w:hAnsi="Times New Roman" w:cs="Times New Roman"/>
                <w:color w:val="auto"/>
                <w:kern w:val="0"/>
                <w:szCs w:val="21"/>
                <w:highlight w:val="none"/>
                <w:lang w:val="en-US" w:eastAsia="zh-CN"/>
              </w:rPr>
              <w:t>生态环境准入清单</w:t>
            </w:r>
            <w:r>
              <w:rPr>
                <w:rFonts w:hint="default" w:ascii="Times New Roman" w:hAnsi="Times New Roman" w:cs="Times New Roman"/>
                <w:color w:val="auto"/>
                <w:kern w:val="0"/>
                <w:szCs w:val="21"/>
                <w:highlight w:val="none"/>
              </w:rPr>
              <w:t>》</w:t>
            </w:r>
            <w:r>
              <w:rPr>
                <w:rFonts w:hint="eastAsia" w:ascii="Times New Roman" w:hAnsi="Times New Roman" w:cs="Times New Roman"/>
                <w:color w:val="auto"/>
                <w:kern w:val="0"/>
                <w:szCs w:val="21"/>
                <w:highlight w:val="none"/>
                <w:lang w:eastAsia="zh-CN"/>
              </w:rPr>
              <w:t>（</w:t>
            </w:r>
            <w:r>
              <w:rPr>
                <w:rFonts w:hint="eastAsia" w:ascii="Times New Roman" w:hAnsi="Times New Roman" w:cs="Times New Roman"/>
                <w:color w:val="auto"/>
                <w:kern w:val="0"/>
                <w:szCs w:val="21"/>
                <w:highlight w:val="none"/>
                <w:lang w:val="en-US" w:eastAsia="zh-CN"/>
              </w:rPr>
              <w:t>2022年更新版）</w:t>
            </w:r>
            <w:r>
              <w:rPr>
                <w:rFonts w:hint="default" w:ascii="Times New Roman" w:hAnsi="Times New Roman" w:cs="Times New Roman"/>
                <w:color w:val="auto"/>
                <w:kern w:val="0"/>
                <w:szCs w:val="21"/>
                <w:highlight w:val="none"/>
              </w:rPr>
              <w:t>对照情况见下表。</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表1-</w:t>
            </w:r>
            <w:r>
              <w:rPr>
                <w:rFonts w:hint="eastAsia"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哈尔滨市</w:t>
            </w:r>
            <w:r>
              <w:rPr>
                <w:rFonts w:hint="eastAsia" w:ascii="Times New Roman" w:hAnsi="Times New Roman" w:cs="Times New Roman"/>
                <w:b/>
                <w:bCs/>
                <w:color w:val="auto"/>
                <w:kern w:val="0"/>
                <w:szCs w:val="21"/>
                <w:highlight w:val="none"/>
                <w:lang w:val="en-US" w:eastAsia="zh-CN"/>
              </w:rPr>
              <w:t>道里</w:t>
            </w:r>
            <w:r>
              <w:rPr>
                <w:rFonts w:hint="eastAsia" w:ascii="Times New Roman" w:hAnsi="Times New Roman" w:cs="Times New Roman"/>
                <w:b/>
                <w:bCs/>
                <w:color w:val="auto"/>
                <w:kern w:val="0"/>
                <w:szCs w:val="21"/>
                <w:highlight w:val="none"/>
                <w:lang w:eastAsia="zh-CN"/>
              </w:rPr>
              <w:t>区</w:t>
            </w:r>
            <w:r>
              <w:rPr>
                <w:rFonts w:hint="default" w:ascii="Times New Roman" w:hAnsi="Times New Roman" w:cs="Times New Roman"/>
                <w:b/>
                <w:bCs/>
                <w:color w:val="auto"/>
                <w:kern w:val="0"/>
                <w:szCs w:val="21"/>
                <w:highlight w:val="none"/>
              </w:rPr>
              <w:t>生态环境准入清单符合性分析</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29"/>
              <w:gridCol w:w="652"/>
              <w:gridCol w:w="583"/>
              <w:gridCol w:w="384"/>
              <w:gridCol w:w="3491"/>
              <w:gridCol w:w="168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管控单元编码</w:t>
                  </w:r>
                </w:p>
              </w:tc>
              <w:tc>
                <w:tcPr>
                  <w:tcW w:w="60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环境管控单元名称</w:t>
                  </w:r>
                </w:p>
              </w:tc>
              <w:tc>
                <w:tcPr>
                  <w:tcW w:w="53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管控单元类别</w:t>
                  </w:r>
                </w:p>
              </w:tc>
              <w:tc>
                <w:tcPr>
                  <w:tcW w:w="3572" w:type="dxa"/>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管控要求</w:t>
                  </w:r>
                </w:p>
              </w:tc>
              <w:tc>
                <w:tcPr>
                  <w:tcW w:w="15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符合性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dxa"/>
                  <w:vMerge w:val="restart"/>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bidi="ar"/>
                    </w:rPr>
                    <w:t>ZH23011320001</w:t>
                  </w:r>
                </w:p>
              </w:tc>
              <w:tc>
                <w:tcPr>
                  <w:tcW w:w="601" w:type="dxa"/>
                  <w:vMerge w:val="restart"/>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snapToGrid w:val="0"/>
                      <w:color w:val="auto"/>
                      <w:kern w:val="0"/>
                      <w:sz w:val="18"/>
                      <w:szCs w:val="18"/>
                      <w:highlight w:val="none"/>
                      <w:lang w:val="en-US" w:eastAsia="zh-CN"/>
                    </w:rPr>
                  </w:pPr>
                  <w:r>
                    <w:rPr>
                      <w:rFonts w:hint="eastAsia" w:ascii="宋体" w:hAnsi="宋体" w:eastAsia="宋体" w:cs="宋体"/>
                      <w:color w:val="auto"/>
                      <w:kern w:val="0"/>
                      <w:sz w:val="18"/>
                      <w:szCs w:val="18"/>
                      <w:highlight w:val="none"/>
                      <w:lang w:val="en-US" w:eastAsia="zh-CN" w:bidi="ar"/>
                    </w:rPr>
                    <w:t>黑龙江双城经济开发区</w:t>
                  </w:r>
                </w:p>
              </w:tc>
              <w:tc>
                <w:tcPr>
                  <w:tcW w:w="538"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r>
                    <w:rPr>
                      <w:rFonts w:hint="default" w:ascii="Times New Roman" w:hAnsi="Times New Roman" w:eastAsia="宋体" w:cs="Times New Roman"/>
                      <w:b w:val="0"/>
                      <w:bCs w:val="0"/>
                      <w:snapToGrid w:val="0"/>
                      <w:color w:val="auto"/>
                      <w:kern w:val="0"/>
                      <w:sz w:val="18"/>
                      <w:szCs w:val="18"/>
                      <w:highlight w:val="none"/>
                    </w:rPr>
                    <w:t>重点管控单元</w:t>
                  </w:r>
                </w:p>
              </w:tc>
              <w:tc>
                <w:tcPr>
                  <w:tcW w:w="3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b w:val="0"/>
                      <w:bCs w:val="0"/>
                      <w:color w:val="auto"/>
                      <w:kern w:val="0"/>
                      <w:sz w:val="18"/>
                      <w:szCs w:val="18"/>
                      <w:highlight w:val="none"/>
                    </w:rPr>
                    <w:t>空间布局约束</w:t>
                  </w:r>
                </w:p>
              </w:tc>
              <w:tc>
                <w:tcPr>
                  <w:tcW w:w="321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食品行业禁止以下项目入驻：生产能力150瓶/分钟以下（瓶容在250毫升及以下）的碳酸饮料生产线；3万吨/年以下白酒生产线；直接接触饮料和食品的聚氯乙烯（PVC）包装制品的包装业企业；使用含苯类溶剂型的油墨的生产企业；印铁制罐行业中应用焊锡工艺的企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2.食品行业限制入驻项目：白酒、味精生产企业；3000吨/年及以下的西式肉制品加工项目。</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val="0"/>
                      <w:bCs w:val="0"/>
                      <w:color w:val="auto"/>
                      <w:kern w:val="0"/>
                      <w:sz w:val="18"/>
                      <w:szCs w:val="18"/>
                      <w:highlight w:val="none"/>
                      <w:lang w:val="en-US" w:eastAsia="zh-CN" w:bidi="ar-SA"/>
                    </w:rPr>
                    <w:t>3.“</w:t>
                  </w:r>
                  <w:r>
                    <w:rPr>
                      <w:rFonts w:hint="default" w:ascii="Times New Roman" w:hAnsi="Times New Roman" w:eastAsia="宋体" w:cs="Times New Roman"/>
                      <w:color w:val="auto"/>
                      <w:kern w:val="0"/>
                      <w:sz w:val="18"/>
                      <w:szCs w:val="18"/>
                      <w:highlight w:val="none"/>
                      <w:lang w:val="en-US" w:eastAsia="zh-CN" w:bidi="ar"/>
                    </w:rPr>
                    <w:t>5.1产业集聚类重点管控单元”：1</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不得引进不符合规划环评结论及审查意见的入园建设项目。2</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新、改、扩建钢铁、石化、化工、焦化、建材、有色等项目的环境影响评价，应满足区域、规划环评要求。3</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新建、扩建石化、化工、焦化、有色金属冶炼、平板玻璃项目应布设在依法合规设立并经规划环评的产业园区。4</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重大制造业项目，依托能源和矿产资源的资源加工业项目原则上布置在重点开发区。5</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新建化工项目须进入合规设立的化工园区。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4.“5.5水环境农业污染重点管控区”：1</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科学划定畜禽养殖禁养区。2</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15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r>
                    <w:rPr>
                      <w:rFonts w:hint="eastAsia"/>
                      <w:color w:val="auto"/>
                      <w:sz w:val="18"/>
                      <w:szCs w:val="18"/>
                      <w:highlight w:val="none"/>
                    </w:rPr>
                    <w:t>本项目</w:t>
                  </w:r>
                  <w:r>
                    <w:rPr>
                      <w:rFonts w:hint="eastAsia"/>
                      <w:color w:val="auto"/>
                      <w:sz w:val="18"/>
                      <w:szCs w:val="18"/>
                      <w:highlight w:val="none"/>
                      <w:lang w:val="en-US" w:eastAsia="zh-CN"/>
                    </w:rPr>
                    <w:t>为</w:t>
                  </w:r>
                  <w:r>
                    <w:rPr>
                      <w:rFonts w:hint="eastAsia" w:cs="Times New Roman"/>
                      <w:color w:val="auto"/>
                      <w:kern w:val="21"/>
                      <w:sz w:val="18"/>
                      <w:szCs w:val="18"/>
                      <w:highlight w:val="none"/>
                      <w:lang w:val="en-US" w:eastAsia="zh-CN"/>
                    </w:rPr>
                    <w:t>黑龙江省哈松滨食品有限公司肉灌制品及卤肉制品生产建设项目，</w:t>
                  </w:r>
                  <w:r>
                    <w:rPr>
                      <w:rFonts w:hint="default"/>
                      <w:color w:val="auto"/>
                      <w:sz w:val="18"/>
                      <w:szCs w:val="18"/>
                      <w:highlight w:val="none"/>
                    </w:rPr>
                    <w:t>本项目产品</w:t>
                  </w:r>
                  <w:r>
                    <w:rPr>
                      <w:rFonts w:hint="eastAsia"/>
                      <w:color w:val="auto"/>
                      <w:sz w:val="18"/>
                      <w:szCs w:val="18"/>
                      <w:highlight w:val="none"/>
                      <w:lang w:val="en-US" w:eastAsia="zh-CN"/>
                    </w:rPr>
                    <w:t>红肠、儿童肠、松仁烤肠</w:t>
                  </w:r>
                  <w:r>
                    <w:rPr>
                      <w:rFonts w:hint="default"/>
                      <w:color w:val="auto"/>
                      <w:sz w:val="18"/>
                      <w:szCs w:val="18"/>
                      <w:highlight w:val="none"/>
                    </w:rPr>
                    <w:t>属于西式肉制品，产能</w:t>
                  </w:r>
                  <w:r>
                    <w:rPr>
                      <w:rFonts w:hint="eastAsia"/>
                      <w:color w:val="auto"/>
                      <w:sz w:val="18"/>
                      <w:szCs w:val="18"/>
                      <w:highlight w:val="none"/>
                      <w:lang w:val="en-US" w:eastAsia="zh-CN"/>
                    </w:rPr>
                    <w:t>320</w:t>
                  </w:r>
                  <w:r>
                    <w:rPr>
                      <w:rFonts w:hint="eastAsia"/>
                      <w:color w:val="auto"/>
                      <w:sz w:val="18"/>
                      <w:szCs w:val="18"/>
                      <w:highlight w:val="none"/>
                    </w:rPr>
                    <w:t>0</w:t>
                  </w:r>
                  <w:r>
                    <w:rPr>
                      <w:rFonts w:hint="default"/>
                      <w:color w:val="auto"/>
                      <w:sz w:val="18"/>
                      <w:szCs w:val="18"/>
                      <w:highlight w:val="none"/>
                    </w:rPr>
                    <w:t>t/a</w:t>
                  </w:r>
                  <w:r>
                    <w:rPr>
                      <w:rFonts w:hint="eastAsia" w:cs="Times New Roman"/>
                      <w:color w:val="auto"/>
                      <w:kern w:val="21"/>
                      <w:sz w:val="18"/>
                      <w:szCs w:val="18"/>
                      <w:highlight w:val="none"/>
                      <w:lang w:val="en-US" w:eastAsia="zh-CN"/>
                    </w:rPr>
                    <w:t>，酱卤制品产能</w:t>
                  </w:r>
                  <w:r>
                    <w:rPr>
                      <w:rFonts w:hint="eastAsia"/>
                      <w:color w:val="auto"/>
                      <w:sz w:val="18"/>
                      <w:szCs w:val="18"/>
                      <w:highlight w:val="none"/>
                      <w:lang w:val="en-US" w:eastAsia="zh-CN"/>
                    </w:rPr>
                    <w:t>50</w:t>
                  </w:r>
                  <w:r>
                    <w:rPr>
                      <w:rFonts w:hint="eastAsia"/>
                      <w:color w:val="auto"/>
                      <w:sz w:val="18"/>
                      <w:szCs w:val="18"/>
                      <w:highlight w:val="none"/>
                    </w:rPr>
                    <w:t>0</w:t>
                  </w:r>
                  <w:r>
                    <w:rPr>
                      <w:rFonts w:hint="default"/>
                      <w:color w:val="auto"/>
                      <w:sz w:val="18"/>
                      <w:szCs w:val="18"/>
                      <w:highlight w:val="none"/>
                    </w:rPr>
                    <w:t>t/a</w:t>
                  </w:r>
                  <w:r>
                    <w:rPr>
                      <w:rFonts w:hint="eastAsia"/>
                      <w:color w:val="auto"/>
                      <w:sz w:val="18"/>
                      <w:szCs w:val="18"/>
                      <w:highlight w:val="none"/>
                      <w:lang w:eastAsia="zh-CN"/>
                    </w:rPr>
                    <w:t>。</w:t>
                  </w:r>
                  <w:r>
                    <w:rPr>
                      <w:rFonts w:hint="eastAsia" w:cs="Times New Roman"/>
                      <w:color w:val="auto"/>
                      <w:kern w:val="21"/>
                      <w:sz w:val="18"/>
                      <w:szCs w:val="18"/>
                      <w:highlight w:val="none"/>
                      <w:lang w:val="en-US" w:eastAsia="zh-CN"/>
                    </w:rPr>
                    <w:t>本项目</w:t>
                  </w:r>
                  <w:r>
                    <w:rPr>
                      <w:rFonts w:hint="eastAsia"/>
                      <w:color w:val="auto"/>
                      <w:sz w:val="18"/>
                      <w:szCs w:val="18"/>
                      <w:highlight w:val="none"/>
                    </w:rPr>
                    <w:t>位于</w:t>
                  </w:r>
                  <w:r>
                    <w:rPr>
                      <w:rFonts w:hint="eastAsia"/>
                      <w:color w:val="auto"/>
                      <w:sz w:val="18"/>
                      <w:szCs w:val="18"/>
                      <w:highlight w:val="none"/>
                      <w:lang w:val="en-US" w:eastAsia="zh-CN"/>
                    </w:rPr>
                    <w:t>双城经济开发区</w:t>
                  </w:r>
                  <w:r>
                    <w:rPr>
                      <w:rFonts w:hint="eastAsia"/>
                      <w:color w:val="auto"/>
                      <w:sz w:val="18"/>
                      <w:szCs w:val="18"/>
                      <w:highlight w:val="none"/>
                    </w:rPr>
                    <w:t>食品园区内，</w:t>
                  </w:r>
                  <w:r>
                    <w:rPr>
                      <w:rFonts w:hint="eastAsia" w:ascii="Times New Roman Regular" w:hAnsi="Times New Roman Regular" w:cs="Times New Roman Regular"/>
                      <w:color w:val="auto"/>
                      <w:sz w:val="18"/>
                      <w:szCs w:val="18"/>
                      <w:highlight w:val="none"/>
                    </w:rPr>
                    <w:t>项目建设</w:t>
                  </w:r>
                  <w:r>
                    <w:rPr>
                      <w:rFonts w:hint="default" w:ascii="Times New Roman Regular" w:hAnsi="Times New Roman Regular" w:cs="Times New Roman Regular"/>
                      <w:color w:val="auto"/>
                      <w:sz w:val="18"/>
                      <w:szCs w:val="18"/>
                      <w:highlight w:val="none"/>
                    </w:rPr>
                    <w:t>符合园区总体发展方向及产业定位，不属于规划环评中限制和禁止的产业，项目建设符合园区规划、规划环评结论及规划环评审查意见要求</w:t>
                  </w:r>
                  <w:r>
                    <w:rPr>
                      <w:rFonts w:hint="eastAsia" w:ascii="Times New Roman Regular" w:hAnsi="Times New Roman Regular" w:cs="Times New Roman Regular"/>
                      <w:color w:val="auto"/>
                      <w:sz w:val="18"/>
                      <w:szCs w:val="18"/>
                      <w:highlight w:val="none"/>
                      <w:lang w:eastAsia="zh-CN"/>
                    </w:rPr>
                    <w:t>；</w:t>
                  </w:r>
                  <w:r>
                    <w:rPr>
                      <w:rFonts w:hint="eastAsia" w:ascii="Times New Roman Regular" w:hAnsi="Times New Roman Regular" w:cs="Times New Roman Regular"/>
                      <w:color w:val="auto"/>
                      <w:sz w:val="18"/>
                      <w:szCs w:val="18"/>
                      <w:highlight w:val="none"/>
                      <w:lang w:val="en-US" w:eastAsia="zh-CN"/>
                    </w:rPr>
                    <w:t>本项目</w:t>
                  </w:r>
                  <w:r>
                    <w:rPr>
                      <w:rFonts w:hint="default" w:hAnsi="宋体"/>
                      <w:color w:val="auto"/>
                      <w:sz w:val="18"/>
                      <w:szCs w:val="18"/>
                      <w:highlight w:val="none"/>
                    </w:rPr>
                    <w:t>不属于</w:t>
                  </w:r>
                  <w:r>
                    <w:rPr>
                      <w:rFonts w:hint="default" w:hAnsi="宋体"/>
                      <w:color w:val="auto"/>
                      <w:kern w:val="0"/>
                      <w:sz w:val="18"/>
                      <w:szCs w:val="18"/>
                      <w:highlight w:val="none"/>
                      <w:lang w:val="zh-CN" w:bidi="ar"/>
                    </w:rPr>
                    <w:t>钢铁、石化、化工、焦化、建材、有色等项目</w:t>
                  </w:r>
                  <w:r>
                    <w:rPr>
                      <w:rFonts w:hint="eastAsia" w:hAnsi="宋体"/>
                      <w:color w:val="auto"/>
                      <w:kern w:val="0"/>
                      <w:sz w:val="18"/>
                      <w:szCs w:val="18"/>
                      <w:highlight w:val="none"/>
                      <w:lang w:val="zh-CN" w:bidi="ar"/>
                    </w:rPr>
                    <w:t>；</w:t>
                  </w:r>
                  <w:r>
                    <w:rPr>
                      <w:rFonts w:hint="default" w:hAnsi="宋体"/>
                      <w:color w:val="auto"/>
                      <w:sz w:val="18"/>
                      <w:szCs w:val="18"/>
                      <w:highlight w:val="none"/>
                    </w:rPr>
                    <w:t>不涉及畜禽养殖区；项目区域用地为工业用地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p>
              </w:tc>
              <w:tc>
                <w:tcPr>
                  <w:tcW w:w="601"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p>
              </w:tc>
              <w:tc>
                <w:tcPr>
                  <w:tcW w:w="538"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p>
              </w:tc>
              <w:tc>
                <w:tcPr>
                  <w:tcW w:w="3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b w:val="0"/>
                      <w:bCs w:val="0"/>
                      <w:color w:val="auto"/>
                      <w:kern w:val="0"/>
                      <w:sz w:val="18"/>
                      <w:szCs w:val="18"/>
                      <w:highlight w:val="none"/>
                      <w:lang w:val="en-US" w:eastAsia="zh-CN" w:bidi="ar-SA"/>
                    </w:rPr>
                    <w:t>污</w:t>
                  </w:r>
                  <w:r>
                    <w:rPr>
                      <w:rFonts w:hint="default" w:ascii="Times New Roman" w:hAnsi="Times New Roman" w:eastAsia="宋体" w:cs="Times New Roman"/>
                      <w:b w:val="0"/>
                      <w:bCs w:val="0"/>
                      <w:color w:val="auto"/>
                      <w:kern w:val="0"/>
                      <w:sz w:val="18"/>
                      <w:szCs w:val="18"/>
                      <w:highlight w:val="none"/>
                      <w:lang w:val="en-US" w:eastAsia="zh-CN"/>
                    </w:rPr>
                    <w:t>染物排放管控</w:t>
                  </w:r>
                </w:p>
              </w:tc>
              <w:tc>
                <w:tcPr>
                  <w:tcW w:w="321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1.区域内新建、改扩建项目废气污染物二氧化硫、氮氧化物和细颗粒物排放总量应等量置换。</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2.新上耗煤项目实施煤炭减量替代，单位产品（产值）能耗要达到国内先进水平。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val="0"/>
                      <w:bCs w:val="0"/>
                      <w:color w:val="auto"/>
                      <w:kern w:val="0"/>
                      <w:sz w:val="18"/>
                      <w:szCs w:val="18"/>
                      <w:highlight w:val="none"/>
                      <w:lang w:val="en-US" w:eastAsia="zh-CN" w:bidi="ar-SA"/>
                    </w:rPr>
                    <w:t>3.“</w:t>
                  </w:r>
                  <w:r>
                    <w:rPr>
                      <w:rFonts w:hint="default" w:ascii="Times New Roman" w:hAnsi="Times New Roman" w:eastAsia="宋体" w:cs="Times New Roman"/>
                      <w:color w:val="auto"/>
                      <w:kern w:val="0"/>
                      <w:sz w:val="18"/>
                      <w:szCs w:val="18"/>
                      <w:highlight w:val="none"/>
                      <w:lang w:val="en-US" w:eastAsia="zh-CN" w:bidi="ar"/>
                    </w:rPr>
                    <w:t>5.1产业集聚类重点管控单元”：1</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应按规定建设污水集中处理设施，并安装自动在线监控装置。2</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支持企业开展能效提升、清洁生产、工业节水等绿色化升级改造，实施重点行业和企业循环化改造，推动资源循环再生利用，降低能源消耗和污染物排放量。3</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新建、扩建“两高”项目应采用先进适用的工艺技术和装备，单位产品物耗、能耗、水耗等达到清洁生产先进水平，依法制定并严格落实防治土壤与地下水污染的措施。4</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鼓励化工等产业园区配套建设危险废物集中贮存、预处理和处置设施。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kern w:val="0"/>
                      <w:sz w:val="18"/>
                      <w:szCs w:val="18"/>
                      <w:highlight w:val="none"/>
                      <w:lang w:val="en-US" w:eastAsia="zh-CN" w:bidi="ar"/>
                    </w:rPr>
                    <w:t>5.5水环境农业污染重点管控区”：1</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支持规模化畜禽养殖场（小区）开展标准化改造和建设，提高畜禽粪污收集和处理机械化水平，实施雨污分流、粪污资源化利用，控制畜禽养殖污染排放。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2</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全面加强农业面源污染防控，科学合理使用农业投入品，提高使用效率，减少农业内源性污染。</w:t>
                  </w:r>
                </w:p>
              </w:tc>
              <w:tc>
                <w:tcPr>
                  <w:tcW w:w="15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 w:val="0"/>
                      <w:bCs w:val="0"/>
                      <w:snapToGrid w:val="0"/>
                      <w:color w:val="auto"/>
                      <w:kern w:val="0"/>
                      <w:sz w:val="18"/>
                      <w:szCs w:val="18"/>
                      <w:highlight w:val="none"/>
                      <w:lang w:val="en-US" w:eastAsia="zh-CN"/>
                    </w:rPr>
                  </w:pPr>
                  <w:r>
                    <w:rPr>
                      <w:rFonts w:hint="eastAsia"/>
                      <w:color w:val="auto"/>
                      <w:sz w:val="18"/>
                      <w:szCs w:val="18"/>
                      <w:highlight w:val="none"/>
                    </w:rPr>
                    <w:t>本项目</w:t>
                  </w:r>
                  <w:r>
                    <w:rPr>
                      <w:rFonts w:hint="eastAsia"/>
                      <w:color w:val="auto"/>
                      <w:sz w:val="18"/>
                      <w:szCs w:val="18"/>
                      <w:highlight w:val="none"/>
                      <w:lang w:val="en-US" w:eastAsia="zh-CN"/>
                    </w:rPr>
                    <w:t>为</w:t>
                  </w:r>
                  <w:r>
                    <w:rPr>
                      <w:rFonts w:hint="eastAsia" w:cs="Times New Roman"/>
                      <w:color w:val="auto"/>
                      <w:kern w:val="21"/>
                      <w:sz w:val="18"/>
                      <w:szCs w:val="18"/>
                      <w:highlight w:val="none"/>
                      <w:lang w:val="en-US" w:eastAsia="zh-CN"/>
                    </w:rPr>
                    <w:t>黑龙江省哈松滨食品有限公司肉灌制品及卤肉制品生产建设项目，</w:t>
                  </w:r>
                  <w:r>
                    <w:rPr>
                      <w:rFonts w:hint="eastAsia" w:cs="Times New Roman"/>
                      <w:b w:val="0"/>
                      <w:bCs w:val="0"/>
                      <w:snapToGrid w:val="0"/>
                      <w:color w:val="auto"/>
                      <w:kern w:val="0"/>
                      <w:sz w:val="18"/>
                      <w:szCs w:val="18"/>
                      <w:highlight w:val="none"/>
                      <w:lang w:val="en-US" w:eastAsia="zh-CN"/>
                    </w:rPr>
                    <w:t>为新建项目</w:t>
                  </w:r>
                  <w:r>
                    <w:rPr>
                      <w:rFonts w:hint="default" w:ascii="Times New Roman" w:hAnsi="Times New Roman" w:eastAsia="宋体" w:cs="Times New Roman"/>
                      <w:b w:val="0"/>
                      <w:bCs w:val="0"/>
                      <w:snapToGrid w:val="0"/>
                      <w:color w:val="auto"/>
                      <w:kern w:val="0"/>
                      <w:sz w:val="18"/>
                      <w:szCs w:val="18"/>
                      <w:highlight w:val="none"/>
                      <w:lang w:val="en-US" w:eastAsia="zh-CN"/>
                    </w:rPr>
                    <w:t>，</w:t>
                  </w:r>
                  <w:r>
                    <w:rPr>
                      <w:rFonts w:hint="default" w:ascii="Times New Roman Regular" w:hAnsi="Times New Roman Regular" w:eastAsia="宋体" w:cs="Times New Roman Regular"/>
                      <w:color w:val="auto"/>
                      <w:kern w:val="2"/>
                      <w:sz w:val="18"/>
                      <w:szCs w:val="18"/>
                      <w:highlight w:val="none"/>
                      <w:lang w:val="en-US" w:eastAsia="zh-CN" w:bidi="ar-SA"/>
                    </w:rPr>
                    <w:t>二氧化硫、氮氧化物和细颗粒物排放总量</w:t>
                  </w:r>
                  <w:r>
                    <w:rPr>
                      <w:rFonts w:hint="eastAsia" w:ascii="Times New Roman Regular" w:hAnsi="Times New Roman Regular" w:eastAsia="宋体" w:cs="Times New Roman Regular"/>
                      <w:color w:val="auto"/>
                      <w:kern w:val="2"/>
                      <w:sz w:val="18"/>
                      <w:szCs w:val="18"/>
                      <w:highlight w:val="none"/>
                      <w:lang w:val="en-US" w:eastAsia="zh-CN" w:bidi="ar-SA"/>
                    </w:rPr>
                    <w:t>通过哈尔滨市区域污染物削减量等量置换</w:t>
                  </w:r>
                  <w:r>
                    <w:rPr>
                      <w:rFonts w:hint="eastAsia" w:ascii="Times New Roman Regular" w:hAnsi="Times New Roman Regular" w:cs="Times New Roman Regular"/>
                      <w:color w:val="auto"/>
                      <w:kern w:val="2"/>
                      <w:sz w:val="18"/>
                      <w:szCs w:val="18"/>
                      <w:highlight w:val="none"/>
                      <w:lang w:val="en-US" w:eastAsia="zh-CN" w:bidi="ar-SA"/>
                    </w:rPr>
                    <w:t>；</w:t>
                  </w:r>
                  <w:r>
                    <w:rPr>
                      <w:rFonts w:hint="default" w:ascii="Times New Roman" w:hAnsi="Times New Roman" w:eastAsia="宋体" w:cs="Times New Roman"/>
                      <w:b w:val="0"/>
                      <w:bCs w:val="0"/>
                      <w:snapToGrid w:val="0"/>
                      <w:color w:val="auto"/>
                      <w:kern w:val="0"/>
                      <w:sz w:val="18"/>
                      <w:szCs w:val="18"/>
                      <w:highlight w:val="none"/>
                      <w:lang w:val="en-US" w:eastAsia="zh-CN"/>
                    </w:rPr>
                    <w:t>本项目</w:t>
                  </w:r>
                  <w:r>
                    <w:rPr>
                      <w:rFonts w:hint="eastAsia" w:cs="Times New Roman"/>
                      <w:b w:val="0"/>
                      <w:bCs w:val="0"/>
                      <w:snapToGrid w:val="0"/>
                      <w:color w:val="auto"/>
                      <w:kern w:val="0"/>
                      <w:sz w:val="18"/>
                      <w:szCs w:val="18"/>
                      <w:highlight w:val="none"/>
                      <w:lang w:val="en-US" w:eastAsia="zh-CN"/>
                    </w:rPr>
                    <w:t>设有</w:t>
                  </w:r>
                  <w:r>
                    <w:rPr>
                      <w:rFonts w:hint="default" w:ascii="Times New Roman" w:hAnsi="Times New Roman" w:eastAsia="宋体" w:cs="Times New Roman"/>
                      <w:b w:val="0"/>
                      <w:bCs w:val="0"/>
                      <w:snapToGrid w:val="0"/>
                      <w:color w:val="auto"/>
                      <w:kern w:val="0"/>
                      <w:sz w:val="18"/>
                      <w:szCs w:val="18"/>
                      <w:highlight w:val="none"/>
                      <w:lang w:val="en-US" w:eastAsia="zh-CN"/>
                    </w:rPr>
                    <w:t>1台</w:t>
                  </w:r>
                  <w:r>
                    <w:rPr>
                      <w:rFonts w:hint="eastAsia" w:cs="Times New Roman"/>
                      <w:b w:val="0"/>
                      <w:bCs w:val="0"/>
                      <w:snapToGrid w:val="0"/>
                      <w:color w:val="auto"/>
                      <w:kern w:val="0"/>
                      <w:sz w:val="18"/>
                      <w:szCs w:val="18"/>
                      <w:highlight w:val="none"/>
                      <w:lang w:val="en-US" w:eastAsia="zh-CN"/>
                    </w:rPr>
                    <w:t>6t/h燃气</w:t>
                  </w:r>
                  <w:r>
                    <w:rPr>
                      <w:rFonts w:hint="default" w:ascii="Times New Roman" w:hAnsi="Times New Roman" w:eastAsia="宋体" w:cs="Times New Roman"/>
                      <w:color w:val="auto"/>
                      <w:sz w:val="18"/>
                      <w:szCs w:val="18"/>
                      <w:highlight w:val="none"/>
                    </w:rPr>
                    <w:t>锅炉</w:t>
                  </w:r>
                  <w:r>
                    <w:rPr>
                      <w:rFonts w:hint="eastAsia" w:cs="Times New Roman"/>
                      <w:color w:val="auto"/>
                      <w:sz w:val="18"/>
                      <w:szCs w:val="18"/>
                      <w:highlight w:val="none"/>
                      <w:lang w:val="en-US" w:eastAsia="zh-CN"/>
                    </w:rPr>
                    <w:t>为</w:t>
                  </w:r>
                  <w:r>
                    <w:rPr>
                      <w:rFonts w:hint="default" w:ascii="Times New Roman" w:hAnsi="Times New Roman" w:cs="Times New Roman"/>
                      <w:color w:val="auto"/>
                      <w:sz w:val="18"/>
                      <w:szCs w:val="18"/>
                      <w:highlight w:val="none"/>
                      <w:lang w:val="en-US" w:eastAsia="zh-CN"/>
                    </w:rPr>
                    <w:t>厂区</w:t>
                  </w:r>
                  <w:r>
                    <w:rPr>
                      <w:rFonts w:hint="eastAsia" w:cs="Times New Roman"/>
                      <w:color w:val="auto"/>
                      <w:sz w:val="18"/>
                      <w:szCs w:val="18"/>
                      <w:highlight w:val="none"/>
                      <w:lang w:val="en-US" w:eastAsia="zh-CN"/>
                    </w:rPr>
                    <w:t>常年生产用热及</w:t>
                  </w:r>
                  <w:r>
                    <w:rPr>
                      <w:rFonts w:hint="default" w:ascii="Times New Roman" w:hAnsi="Times New Roman" w:cs="Times New Roman"/>
                      <w:color w:val="auto"/>
                      <w:sz w:val="18"/>
                      <w:szCs w:val="18"/>
                      <w:highlight w:val="none"/>
                      <w:lang w:val="en-US" w:eastAsia="zh-CN"/>
                    </w:rPr>
                    <w:t>冬季供暖</w:t>
                  </w:r>
                  <w:r>
                    <w:rPr>
                      <w:rFonts w:hint="eastAsia" w:cs="Times New Roman"/>
                      <w:color w:val="auto"/>
                      <w:sz w:val="18"/>
                      <w:szCs w:val="18"/>
                      <w:highlight w:val="none"/>
                      <w:lang w:eastAsia="zh-CN"/>
                    </w:rPr>
                    <w:t>；</w:t>
                  </w:r>
                  <w:r>
                    <w:rPr>
                      <w:rFonts w:hint="default" w:ascii="Times New Roman" w:hAnsi="Times New Roman" w:eastAsia="宋体" w:cs="Times New Roman"/>
                      <w:b w:val="0"/>
                      <w:bCs w:val="0"/>
                      <w:snapToGrid w:val="0"/>
                      <w:color w:val="auto"/>
                      <w:kern w:val="0"/>
                      <w:sz w:val="18"/>
                      <w:szCs w:val="18"/>
                      <w:highlight w:val="none"/>
                      <w:lang w:val="en-US" w:eastAsia="zh-CN"/>
                    </w:rPr>
                    <w:t>本项</w:t>
                  </w:r>
                  <w:r>
                    <w:rPr>
                      <w:rFonts w:hint="default"/>
                      <w:color w:val="auto"/>
                      <w:sz w:val="18"/>
                      <w:szCs w:val="18"/>
                      <w:highlight w:val="none"/>
                    </w:rPr>
                    <w:t>生活污水</w:t>
                  </w:r>
                  <w:r>
                    <w:rPr>
                      <w:rFonts w:hint="eastAsia"/>
                      <w:color w:val="auto"/>
                      <w:sz w:val="18"/>
                      <w:szCs w:val="18"/>
                      <w:highlight w:val="none"/>
                      <w:lang w:val="en-US" w:eastAsia="zh-CN"/>
                    </w:rPr>
                    <w:t>和锅炉排污水及软化处理废水和生产废水</w:t>
                  </w:r>
                  <w:r>
                    <w:rPr>
                      <w:rFonts w:hint="default" w:ascii="Times New Roman" w:hAnsi="Times New Roman" w:cs="Times New Roman"/>
                      <w:color w:val="auto"/>
                      <w:sz w:val="18"/>
                      <w:szCs w:val="18"/>
                      <w:highlight w:val="none"/>
                    </w:rPr>
                    <w:t>经过</w:t>
                  </w:r>
                  <w:r>
                    <w:rPr>
                      <w:rFonts w:hint="default" w:ascii="Times New Roman" w:hAnsi="Times New Roman" w:cs="Times New Roman"/>
                      <w:color w:val="auto"/>
                      <w:sz w:val="18"/>
                      <w:szCs w:val="18"/>
                      <w:highlight w:val="none"/>
                      <w:lang w:val="en-US" w:eastAsia="zh-CN"/>
                    </w:rPr>
                    <w:t>厂区污水处理站（气浮+AO+MBR+消毒）</w:t>
                  </w:r>
                  <w:r>
                    <w:rPr>
                      <w:rFonts w:hint="default" w:ascii="Times New Roman" w:hAnsi="Times New Roman" w:cs="Times New Roman"/>
                      <w:color w:val="auto"/>
                      <w:sz w:val="18"/>
                      <w:szCs w:val="18"/>
                      <w:highlight w:val="none"/>
                    </w:rPr>
                    <w:t>处理后，经</w:t>
                  </w:r>
                  <w:r>
                    <w:rPr>
                      <w:rFonts w:hint="default" w:ascii="Times New Roman" w:hAnsi="Times New Roman" w:cs="Times New Roman"/>
                      <w:color w:val="auto"/>
                      <w:sz w:val="18"/>
                      <w:szCs w:val="18"/>
                      <w:highlight w:val="none"/>
                      <w:lang w:val="en-US" w:eastAsia="zh-CN"/>
                    </w:rPr>
                    <w:t>双城</w:t>
                  </w:r>
                  <w:r>
                    <w:rPr>
                      <w:rFonts w:hint="default" w:ascii="Times New Roman" w:hAnsi="Times New Roman" w:cs="Times New Roman"/>
                      <w:color w:val="auto"/>
                      <w:sz w:val="18"/>
                      <w:szCs w:val="18"/>
                      <w:highlight w:val="none"/>
                    </w:rPr>
                    <w:t>污水处理厂处理</w:t>
                  </w:r>
                  <w:r>
                    <w:rPr>
                      <w:rFonts w:hint="default" w:ascii="Times New Roman" w:hAnsi="Times New Roman" w:cs="Times New Roman"/>
                      <w:color w:val="auto"/>
                      <w:sz w:val="18"/>
                      <w:szCs w:val="18"/>
                      <w:highlight w:val="none"/>
                      <w:lang w:val="en-US" w:eastAsia="zh-CN"/>
                    </w:rPr>
                    <w:t>达标</w:t>
                  </w:r>
                  <w:r>
                    <w:rPr>
                      <w:rFonts w:hint="default" w:ascii="Times New Roman" w:hAnsi="Times New Roman" w:cs="Times New Roman"/>
                      <w:color w:val="auto"/>
                      <w:sz w:val="18"/>
                      <w:szCs w:val="18"/>
                      <w:highlight w:val="none"/>
                    </w:rPr>
                    <w:t>后排入</w:t>
                  </w:r>
                  <w:r>
                    <w:rPr>
                      <w:rFonts w:hint="default" w:ascii="Times New Roman" w:hAnsi="Times New Roman" w:cs="Times New Roman"/>
                      <w:color w:val="auto"/>
                      <w:sz w:val="18"/>
                      <w:szCs w:val="18"/>
                      <w:highlight w:val="none"/>
                      <w:lang w:val="en-US" w:eastAsia="zh-CN"/>
                    </w:rPr>
                    <w:t>拉林河</w:t>
                  </w:r>
                  <w:r>
                    <w:rPr>
                      <w:rFonts w:hint="eastAsia" w:hAnsi="宋体"/>
                      <w:color w:val="auto"/>
                      <w:kern w:val="0"/>
                      <w:sz w:val="18"/>
                      <w:szCs w:val="18"/>
                      <w:highlight w:val="none"/>
                      <w:lang w:val="zh-CN" w:bidi="ar"/>
                    </w:rPr>
                    <w:t>；</w:t>
                  </w:r>
                  <w:r>
                    <w:rPr>
                      <w:rFonts w:hint="default" w:hAnsi="宋体"/>
                      <w:color w:val="auto"/>
                      <w:sz w:val="18"/>
                      <w:szCs w:val="18"/>
                      <w:highlight w:val="none"/>
                    </w:rPr>
                    <w:t>不涉及畜禽养殖区</w:t>
                  </w:r>
                  <w:r>
                    <w:rPr>
                      <w:rFonts w:hint="eastAsia" w:hAnsi="宋体"/>
                      <w:color w:val="auto"/>
                      <w:sz w:val="18"/>
                      <w:szCs w:val="18"/>
                      <w:highlight w:val="none"/>
                      <w:lang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p>
              </w:tc>
              <w:tc>
                <w:tcPr>
                  <w:tcW w:w="60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p>
              </w:tc>
              <w:tc>
                <w:tcPr>
                  <w:tcW w:w="53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p>
              </w:tc>
              <w:tc>
                <w:tcPr>
                  <w:tcW w:w="0" w:type="auto"/>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b w:val="0"/>
                      <w:bCs w:val="0"/>
                      <w:color w:val="auto"/>
                      <w:kern w:val="0"/>
                      <w:sz w:val="18"/>
                      <w:szCs w:val="18"/>
                      <w:highlight w:val="none"/>
                    </w:rPr>
                    <w:t>环境风险防控</w:t>
                  </w:r>
                </w:p>
              </w:tc>
              <w:tc>
                <w:tcPr>
                  <w:tcW w:w="321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1.开发区环境风险主要是危险化学品的使用、储运和运输。</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2.园区应当在选址、总图布置和建筑安全，危险化学品贮存安全，自动控制设计安全，电气、电讯安全，消防及火灾报警系统，人员培训等方面构建企业环境风险防范体系及具体措施。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3.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4.在居住和工业企业混住区域，应加强环境风险防控。</w:t>
                  </w:r>
                </w:p>
              </w:tc>
              <w:tc>
                <w:tcPr>
                  <w:tcW w:w="155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r>
                    <w:rPr>
                      <w:rFonts w:hint="eastAsia" w:hAnsi="宋体"/>
                      <w:color w:val="auto"/>
                      <w:sz w:val="18"/>
                      <w:szCs w:val="18"/>
                      <w:highlight w:val="none"/>
                      <w:lang w:val="en-US" w:eastAsia="zh-CN"/>
                    </w:rPr>
                    <w:t>本</w:t>
                  </w:r>
                  <w:r>
                    <w:rPr>
                      <w:rFonts w:hint="default" w:ascii="Times New Roman" w:hAnsi="Times New Roman" w:eastAsia="宋体" w:cs="Times New Roman"/>
                      <w:color w:val="auto"/>
                      <w:sz w:val="18"/>
                      <w:szCs w:val="18"/>
                      <w:highlight w:val="none"/>
                    </w:rPr>
                    <w:t>项目涉及的主要危险物质为天然气，厂区天然气输出管线上设置手动紧急截断阀，严格落实风险管理及防范措施</w:t>
                  </w:r>
                  <w:r>
                    <w:rPr>
                      <w:rFonts w:hint="default" w:hAnsi="宋体"/>
                      <w:color w:val="auto"/>
                      <w:sz w:val="18"/>
                      <w:szCs w:val="18"/>
                      <w:highlight w:val="none"/>
                    </w:rPr>
                    <w:t>；加强风险防控要求积极与园区风险防控相衔接。</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p>
              </w:tc>
              <w:tc>
                <w:tcPr>
                  <w:tcW w:w="60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p>
              </w:tc>
              <w:tc>
                <w:tcPr>
                  <w:tcW w:w="53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rPr>
                  </w:pPr>
                </w:p>
              </w:tc>
              <w:tc>
                <w:tcPr>
                  <w:tcW w:w="0" w:type="auto"/>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rPr>
                    <w:t>资源利用效率要求</w:t>
                  </w:r>
                </w:p>
              </w:tc>
              <w:tc>
                <w:tcPr>
                  <w:tcW w:w="321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1.实施清洁化改造，加强节水管理，提高中水回用率，延长产业链，优化布局。</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default" w:ascii="Times New Roman" w:hAnsi="Times New Roman" w:eastAsia="宋体" w:cs="Times New Roman"/>
                      <w:b w:val="0"/>
                      <w:bCs w:val="0"/>
                      <w:color w:val="auto"/>
                      <w:kern w:val="0"/>
                      <w:sz w:val="18"/>
                      <w:szCs w:val="18"/>
                      <w:highlight w:val="none"/>
                      <w:lang w:val="en-US" w:eastAsia="zh-CN"/>
                    </w:rPr>
                    <w:t>2.“</w:t>
                  </w:r>
                  <w:r>
                    <w:rPr>
                      <w:rFonts w:hint="default" w:ascii="Times New Roman" w:hAnsi="Times New Roman" w:eastAsia="宋体" w:cs="Times New Roman"/>
                      <w:color w:val="auto"/>
                      <w:kern w:val="0"/>
                      <w:sz w:val="18"/>
                      <w:szCs w:val="18"/>
                      <w:highlight w:val="none"/>
                      <w:lang w:val="en-US" w:eastAsia="zh-CN" w:bidi="ar"/>
                    </w:rPr>
                    <w:t>5.8高污染燃料禁燃区”：1</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在禁燃区内禁止销售、燃用高污染燃料；禁止新建、改建、扩建任何燃用高污染燃料的设施，已建成使用高污染燃料的各类设备应当拆除或者改用管道天然气、页岩气、液化石油气、电或者其他清洁能源。2</w:t>
                  </w:r>
                  <w:r>
                    <w:rPr>
                      <w:rFonts w:hint="eastAsia"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城市建设应当统筹规划，在燃煤供热地区，推进热电联产和集中供热。在集中供热管网覆盖地区，禁止新建、扩建分散燃煤供热锅炉；已建成的不达标的燃煤供热锅炉，应当在城市人民政府规定的期限内拆除。</w:t>
                  </w:r>
                </w:p>
              </w:tc>
              <w:tc>
                <w:tcPr>
                  <w:tcW w:w="155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color w:val="auto"/>
                      <w:kern w:val="0"/>
                      <w:sz w:val="18"/>
                      <w:szCs w:val="18"/>
                      <w:highlight w:val="none"/>
                      <w:lang w:val="en-US" w:eastAsia="zh-CN"/>
                    </w:rPr>
                  </w:pPr>
                  <w:r>
                    <w:rPr>
                      <w:rFonts w:hint="default" w:ascii="Times New Roman" w:hAnsi="Times New Roman" w:eastAsia="宋体" w:cs="Times New Roman"/>
                      <w:b w:val="0"/>
                      <w:bCs w:val="0"/>
                      <w:snapToGrid w:val="0"/>
                      <w:color w:val="auto"/>
                      <w:kern w:val="0"/>
                      <w:sz w:val="18"/>
                      <w:szCs w:val="18"/>
                      <w:highlight w:val="none"/>
                      <w:lang w:val="en-US" w:eastAsia="zh-CN"/>
                    </w:rPr>
                    <w:t>本项目</w:t>
                  </w:r>
                  <w:r>
                    <w:rPr>
                      <w:rFonts w:hint="eastAsia" w:cs="Times New Roman"/>
                      <w:b w:val="0"/>
                      <w:bCs w:val="0"/>
                      <w:snapToGrid w:val="0"/>
                      <w:color w:val="auto"/>
                      <w:kern w:val="0"/>
                      <w:sz w:val="18"/>
                      <w:szCs w:val="18"/>
                      <w:highlight w:val="none"/>
                      <w:lang w:val="en-US" w:eastAsia="zh-CN"/>
                    </w:rPr>
                    <w:t>设有</w:t>
                  </w:r>
                  <w:r>
                    <w:rPr>
                      <w:rFonts w:hint="default" w:ascii="Times New Roman" w:hAnsi="Times New Roman" w:eastAsia="宋体" w:cs="Times New Roman"/>
                      <w:b w:val="0"/>
                      <w:bCs w:val="0"/>
                      <w:snapToGrid w:val="0"/>
                      <w:color w:val="auto"/>
                      <w:kern w:val="0"/>
                      <w:sz w:val="18"/>
                      <w:szCs w:val="18"/>
                      <w:highlight w:val="none"/>
                      <w:lang w:val="en-US" w:eastAsia="zh-CN"/>
                    </w:rPr>
                    <w:t>1台</w:t>
                  </w:r>
                  <w:r>
                    <w:rPr>
                      <w:rFonts w:hint="eastAsia" w:cs="Times New Roman"/>
                      <w:b w:val="0"/>
                      <w:bCs w:val="0"/>
                      <w:snapToGrid w:val="0"/>
                      <w:color w:val="auto"/>
                      <w:kern w:val="0"/>
                      <w:sz w:val="18"/>
                      <w:szCs w:val="18"/>
                      <w:highlight w:val="none"/>
                      <w:lang w:val="en-US" w:eastAsia="zh-CN"/>
                    </w:rPr>
                    <w:t>6t/h燃气</w:t>
                  </w:r>
                  <w:r>
                    <w:rPr>
                      <w:rFonts w:hint="default" w:ascii="Times New Roman" w:hAnsi="Times New Roman" w:eastAsia="宋体" w:cs="Times New Roman"/>
                      <w:color w:val="auto"/>
                      <w:sz w:val="18"/>
                      <w:szCs w:val="18"/>
                      <w:highlight w:val="none"/>
                    </w:rPr>
                    <w:t>锅炉</w:t>
                  </w:r>
                  <w:r>
                    <w:rPr>
                      <w:rFonts w:hint="eastAsia" w:cs="Times New Roman"/>
                      <w:color w:val="auto"/>
                      <w:sz w:val="18"/>
                      <w:szCs w:val="18"/>
                      <w:highlight w:val="none"/>
                      <w:lang w:val="en-US" w:eastAsia="zh-CN"/>
                    </w:rPr>
                    <w:t>为</w:t>
                  </w:r>
                  <w:r>
                    <w:rPr>
                      <w:rFonts w:hint="default" w:ascii="Times New Roman" w:hAnsi="Times New Roman" w:cs="Times New Roman"/>
                      <w:color w:val="auto"/>
                      <w:sz w:val="18"/>
                      <w:szCs w:val="18"/>
                      <w:highlight w:val="none"/>
                      <w:lang w:val="en-US" w:eastAsia="zh-CN"/>
                    </w:rPr>
                    <w:t>厂区</w:t>
                  </w:r>
                  <w:r>
                    <w:rPr>
                      <w:rFonts w:hint="eastAsia" w:cs="Times New Roman"/>
                      <w:color w:val="auto"/>
                      <w:sz w:val="18"/>
                      <w:szCs w:val="18"/>
                      <w:highlight w:val="none"/>
                      <w:lang w:val="en-US" w:eastAsia="zh-CN"/>
                    </w:rPr>
                    <w:t>常年生产用热及</w:t>
                  </w:r>
                  <w:r>
                    <w:rPr>
                      <w:rFonts w:hint="default" w:ascii="Times New Roman" w:hAnsi="Times New Roman" w:cs="Times New Roman"/>
                      <w:color w:val="auto"/>
                      <w:sz w:val="18"/>
                      <w:szCs w:val="18"/>
                      <w:highlight w:val="none"/>
                      <w:lang w:val="en-US" w:eastAsia="zh-CN"/>
                    </w:rPr>
                    <w:t>冬季供暖</w:t>
                  </w:r>
                  <w:r>
                    <w:rPr>
                      <w:rFonts w:hint="default" w:ascii="Times New Roman" w:hAnsi="Times New Roman" w:eastAsia="宋体" w:cs="Times New Roman"/>
                      <w:b w:val="0"/>
                      <w:bCs w:val="0"/>
                      <w:snapToGrid w:val="0"/>
                      <w:color w:val="auto"/>
                      <w:kern w:val="0"/>
                      <w:sz w:val="18"/>
                      <w:szCs w:val="18"/>
                      <w:highlight w:val="none"/>
                      <w:lang w:eastAsia="zh-CN"/>
                    </w:rPr>
                    <w:t>。</w:t>
                  </w: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420" w:firstLineChars="200"/>
              <w:textAlignment w:val="auto"/>
              <w:rPr>
                <w:rFonts w:hint="default"/>
                <w:color w:val="auto"/>
                <w:kern w:val="0"/>
                <w:szCs w:val="21"/>
                <w:highlight w:val="none"/>
              </w:rPr>
            </w:pP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olor w:val="auto"/>
                <w:kern w:val="0"/>
                <w:szCs w:val="21"/>
                <w:highlight w:val="none"/>
              </w:rPr>
            </w:pPr>
            <w:r>
              <w:rPr>
                <w:rFonts w:hint="default"/>
                <w:color w:val="auto"/>
                <w:kern w:val="0"/>
                <w:szCs w:val="21"/>
                <w:highlight w:val="none"/>
              </w:rPr>
              <w:t>因此，本项目符合</w:t>
            </w:r>
            <w:r>
              <w:rPr>
                <w:rFonts w:hint="eastAsia"/>
                <w:color w:val="auto"/>
                <w:kern w:val="0"/>
                <w:szCs w:val="21"/>
                <w:highlight w:val="none"/>
                <w:lang w:eastAsia="zh-CN"/>
              </w:rPr>
              <w:t>“</w:t>
            </w:r>
            <w:r>
              <w:rPr>
                <w:rFonts w:hint="default"/>
                <w:color w:val="auto"/>
                <w:kern w:val="0"/>
                <w:szCs w:val="21"/>
                <w:highlight w:val="none"/>
              </w:rPr>
              <w:t>三线一单</w:t>
            </w:r>
            <w:r>
              <w:rPr>
                <w:rFonts w:hint="eastAsia"/>
                <w:color w:val="auto"/>
                <w:kern w:val="0"/>
                <w:szCs w:val="21"/>
                <w:highlight w:val="none"/>
                <w:lang w:eastAsia="zh-CN"/>
              </w:rPr>
              <w:t>”</w:t>
            </w:r>
            <w:r>
              <w:rPr>
                <w:rFonts w:hint="default"/>
                <w:color w:val="auto"/>
                <w:kern w:val="0"/>
                <w:szCs w:val="21"/>
                <w:highlight w:val="none"/>
              </w:rPr>
              <w:t>相关要求。</w:t>
            </w:r>
          </w:p>
          <w:p>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eastAsia"/>
                <w:b/>
                <w:bCs/>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eastAsia" w:cs="Times New Roman" w:eastAsiaTheme="minorEastAsia"/>
                <w:color w:val="auto"/>
                <w:szCs w:val="21"/>
                <w:highlight w:val="none"/>
                <w:u w:val="none"/>
                <w:lang w:val="en-US" w:eastAsia="zh-CN"/>
              </w:rPr>
            </w:pPr>
            <w:r>
              <w:rPr>
                <w:rFonts w:hint="eastAsia"/>
                <w:color w:val="auto"/>
                <w:kern w:val="0"/>
                <w:szCs w:val="21"/>
                <w:highlight w:val="none"/>
              </w:rPr>
              <w:t>项目</w:t>
            </w:r>
            <w:r>
              <w:rPr>
                <w:rFonts w:hint="default"/>
                <w:color w:val="auto"/>
                <w:kern w:val="0"/>
                <w:szCs w:val="21"/>
                <w:highlight w:val="none"/>
              </w:rPr>
              <w:t>位于</w:t>
            </w:r>
            <w:r>
              <w:rPr>
                <w:rFonts w:hint="default" w:ascii="Times New Roman" w:hAnsi="Times New Roman" w:cs="Times New Roman" w:eastAsiaTheme="minorEastAsia"/>
                <w:color w:val="auto"/>
                <w:szCs w:val="21"/>
                <w:highlight w:val="none"/>
              </w:rPr>
              <w:t>哈尔滨市</w:t>
            </w:r>
            <w:r>
              <w:rPr>
                <w:rFonts w:hint="eastAsia" w:cs="Times New Roman" w:eastAsiaTheme="minorEastAsia"/>
                <w:color w:val="auto"/>
                <w:szCs w:val="21"/>
                <w:highlight w:val="none"/>
                <w:lang w:val="en-US" w:eastAsia="zh-CN"/>
              </w:rPr>
              <w:t>双城区，双城经济开发区食品园区内</w:t>
            </w:r>
            <w:r>
              <w:rPr>
                <w:rFonts w:hint="default"/>
                <w:color w:val="auto"/>
                <w:kern w:val="0"/>
                <w:szCs w:val="21"/>
                <w:highlight w:val="none"/>
              </w:rPr>
              <w:t>，</w:t>
            </w:r>
            <w:r>
              <w:rPr>
                <w:rFonts w:hint="eastAsia"/>
                <w:color w:val="auto"/>
                <w:kern w:val="0"/>
                <w:szCs w:val="21"/>
                <w:highlight w:val="none"/>
                <w:lang w:val="en-US" w:eastAsia="zh-CN"/>
              </w:rPr>
              <w:t>厂区北</w:t>
            </w:r>
            <w:r>
              <w:rPr>
                <w:rFonts w:hint="default"/>
                <w:color w:val="auto"/>
                <w:kern w:val="0"/>
                <w:szCs w:val="21"/>
                <w:highlight w:val="none"/>
              </w:rPr>
              <w:t>侧</w:t>
            </w:r>
            <w:r>
              <w:rPr>
                <w:rFonts w:hint="eastAsia"/>
                <w:color w:val="auto"/>
                <w:kern w:val="0"/>
                <w:szCs w:val="21"/>
                <w:highlight w:val="none"/>
                <w:lang w:val="en-US" w:eastAsia="zh-CN"/>
              </w:rPr>
              <w:t>为堡旭大道（城市主干路），隔道为哈尔滨对鹿饮品有限公司及哈尔滨麦莎亚麻纺织有限公司，南侧及东侧为哈尔滨双城哇哈哈工业园，西侧为旺旺路（次干路），隔路为双城瑞麦食品公司。</w:t>
            </w:r>
            <w:r>
              <w:rPr>
                <w:rFonts w:hint="default"/>
                <w:b w:val="0"/>
                <w:bCs w:val="0"/>
                <w:color w:val="auto"/>
                <w:sz w:val="21"/>
                <w:szCs w:val="21"/>
                <w:highlight w:val="none"/>
              </w:rPr>
              <w:t>厂</w:t>
            </w:r>
            <w:r>
              <w:rPr>
                <w:rFonts w:hint="eastAsia"/>
                <w:b w:val="0"/>
                <w:bCs w:val="0"/>
                <w:color w:val="auto"/>
                <w:sz w:val="21"/>
                <w:szCs w:val="21"/>
                <w:highlight w:val="none"/>
                <w:lang w:val="en-US" w:eastAsia="zh-CN"/>
              </w:rPr>
              <w:t>址</w:t>
            </w:r>
            <w:r>
              <w:rPr>
                <w:rFonts w:hint="default"/>
                <w:b w:val="0"/>
                <w:bCs w:val="0"/>
                <w:color w:val="auto"/>
                <w:sz w:val="21"/>
                <w:szCs w:val="21"/>
                <w:highlight w:val="none"/>
              </w:rPr>
              <w:t>不</w:t>
            </w:r>
            <w:r>
              <w:rPr>
                <w:rFonts w:hint="eastAsia"/>
                <w:b w:val="0"/>
                <w:bCs w:val="0"/>
                <w:color w:val="auto"/>
                <w:sz w:val="21"/>
                <w:szCs w:val="21"/>
                <w:highlight w:val="none"/>
                <w:lang w:val="en-US" w:eastAsia="zh-CN"/>
              </w:rPr>
              <w:t>位于</w:t>
            </w:r>
            <w:r>
              <w:rPr>
                <w:rFonts w:hint="default"/>
                <w:b w:val="0"/>
                <w:bCs w:val="0"/>
                <w:color w:val="auto"/>
                <w:sz w:val="21"/>
                <w:szCs w:val="21"/>
                <w:highlight w:val="none"/>
              </w:rPr>
              <w:t>对食品有显著污染的区域内</w:t>
            </w:r>
            <w:r>
              <w:rPr>
                <w:rFonts w:hint="eastAsia"/>
                <w:color w:val="auto"/>
                <w:kern w:val="0"/>
                <w:sz w:val="21"/>
                <w:szCs w:val="21"/>
                <w:highlight w:val="none"/>
                <w:lang w:val="en-US" w:eastAsia="zh-CN"/>
              </w:rPr>
              <w:t>，</w:t>
            </w:r>
            <w:r>
              <w:rPr>
                <w:rFonts w:hint="default"/>
                <w:b w:val="0"/>
                <w:bCs w:val="0"/>
                <w:color w:val="auto"/>
                <w:sz w:val="21"/>
                <w:szCs w:val="21"/>
                <w:highlight w:val="none"/>
              </w:rPr>
              <w:t>本项目厂区周围企业产生的粉尘、有害气体等</w:t>
            </w:r>
            <w:r>
              <w:rPr>
                <w:rFonts w:hint="eastAsia"/>
                <w:b w:val="0"/>
                <w:bCs w:val="0"/>
                <w:color w:val="auto"/>
                <w:sz w:val="21"/>
                <w:szCs w:val="21"/>
                <w:highlight w:val="none"/>
                <w:lang w:val="en-US" w:eastAsia="zh-CN"/>
              </w:rPr>
              <w:t>污染物均达标排放，</w:t>
            </w:r>
            <w:r>
              <w:rPr>
                <w:rFonts w:hint="default"/>
                <w:b w:val="0"/>
                <w:bCs w:val="0"/>
                <w:color w:val="auto"/>
                <w:sz w:val="21"/>
                <w:szCs w:val="21"/>
                <w:highlight w:val="none"/>
              </w:rPr>
              <w:t>均能得到有效</w:t>
            </w:r>
            <w:r>
              <w:rPr>
                <w:rFonts w:hint="eastAsia"/>
                <w:b w:val="0"/>
                <w:bCs w:val="0"/>
                <w:color w:val="auto"/>
                <w:sz w:val="21"/>
                <w:szCs w:val="21"/>
                <w:highlight w:val="none"/>
              </w:rPr>
              <w:t>控制</w:t>
            </w:r>
            <w:r>
              <w:rPr>
                <w:rFonts w:hint="default"/>
                <w:b w:val="0"/>
                <w:bCs w:val="0"/>
                <w:color w:val="auto"/>
                <w:sz w:val="21"/>
                <w:szCs w:val="21"/>
                <w:highlight w:val="none"/>
              </w:rPr>
              <w:t>，对本项目影响较小</w:t>
            </w:r>
            <w:r>
              <w:rPr>
                <w:rFonts w:hint="eastAsia"/>
                <w:b w:val="0"/>
                <w:bCs w:val="0"/>
                <w:color w:val="auto"/>
                <w:sz w:val="21"/>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50米范围内无声环境保护目标</w:t>
            </w:r>
            <w:r>
              <w:rPr>
                <w:rFonts w:hint="eastAsia"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本项目500米范围内</w:t>
            </w:r>
            <w:r>
              <w:rPr>
                <w:rFonts w:hint="eastAsia" w:cs="Times New Roman"/>
                <w:bCs/>
                <w:color w:val="auto"/>
                <w:szCs w:val="21"/>
                <w:highlight w:val="none"/>
                <w:lang w:val="en-US" w:eastAsia="zh-CN"/>
              </w:rPr>
              <w:t>无</w:t>
            </w:r>
            <w:r>
              <w:rPr>
                <w:rFonts w:hint="default" w:ascii="Times New Roman" w:hAnsi="Times New Roman" w:eastAsia="宋体" w:cs="Times New Roman"/>
                <w:bCs/>
                <w:color w:val="auto"/>
                <w:szCs w:val="21"/>
                <w:highlight w:val="none"/>
              </w:rPr>
              <w:t>大气环境保护目标</w:t>
            </w:r>
            <w:r>
              <w:rPr>
                <w:rFonts w:hint="eastAsia" w:cs="Times New Roman"/>
                <w:bCs/>
                <w:color w:val="auto"/>
                <w:szCs w:val="21"/>
                <w:highlight w:val="none"/>
                <w:lang w:eastAsia="zh-CN"/>
              </w:rPr>
              <w:t>。</w:t>
            </w:r>
            <w:r>
              <w:rPr>
                <w:rFonts w:hint="eastAsia" w:cs="Times New Roman" w:eastAsiaTheme="minorEastAsia"/>
                <w:color w:val="auto"/>
                <w:szCs w:val="21"/>
                <w:highlight w:val="none"/>
                <w:u w:val="none"/>
                <w:lang w:val="en-US" w:eastAsia="zh-CN"/>
              </w:rPr>
              <w:t>距离厂区最近的环境敏感目标为东南侧730米的长勇村。</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eastAsia"/>
                <w:color w:val="auto"/>
                <w:lang w:val="en-US" w:eastAsia="zh-CN"/>
              </w:rPr>
            </w:pPr>
            <w:r>
              <w:rPr>
                <w:rFonts w:hint="eastAsia" w:cs="Times New Roman" w:eastAsiaTheme="minorEastAsia"/>
                <w:color w:val="auto"/>
                <w:szCs w:val="21"/>
                <w:highlight w:val="none"/>
                <w:u w:val="none"/>
                <w:lang w:val="en-US" w:eastAsia="zh-CN"/>
              </w:rPr>
              <w:t>项目生活污水和锅炉排污水及软化处理废水和生产废水经过厂区污水处理站处理后，满足《肉类加工工业水污染物排放标准》（GB13457-92）表3中“肉制品加工”表3中三级标准，经双城污水处理厂处理达标后排入拉林河。燃气蒸汽锅炉烟气采用低氮燃烧器，经一根27m高烟囱（DA001）排放，锅炉烟气排放浓度满足《锅炉大气污染物排放标准》（GB13271-2014）中表2燃气标准限值要求；熏烤间蒸煮和熏烤肉制品产生的二氧化硫、烟尘和氮氧化物通过静电除尘器+低温等离子体净化装置处理后，通过一根27m高排气筒（DA002）排放；污水处理站恶臭气体统一收集，经活性炭吸附后通过15m排气筒（DA003）排放，氨和硫化氢排放满足《恶臭污染物排放标准》(GB14554-93）表2标准要求；食堂油烟经油烟净化器处理后，经专用烟道排出，满足《饮食业油烟排放标准（试行）》（GB18483-2001）“中型”规模限值。选用低噪设备，并采取减振、降噪、安装消声器等措施。厂界噪声能够达到《工业企业厂界环境噪声排放标准》（GB12348-2008）中的2类及4类标准。固体废物合理处置。</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b/>
                <w:bCs/>
                <w:color w:val="auto"/>
                <w:kern w:val="0"/>
                <w:szCs w:val="21"/>
                <w:highlight w:val="none"/>
                <w:lang w:val="en-US" w:eastAsia="zh-CN"/>
              </w:rPr>
            </w:pPr>
            <w:r>
              <w:rPr>
                <w:rFonts w:hint="eastAsia"/>
                <w:color w:val="auto"/>
                <w:kern w:val="0"/>
                <w:szCs w:val="21"/>
                <w:highlight w:val="none"/>
                <w:lang w:val="en-US" w:eastAsia="zh-CN"/>
              </w:rPr>
              <w:t>本项目位于</w:t>
            </w:r>
            <w:r>
              <w:rPr>
                <w:rFonts w:hint="default" w:ascii="Times New Roman" w:hAnsi="Times New Roman" w:cs="Times New Roman" w:eastAsiaTheme="minorEastAsia"/>
                <w:color w:val="auto"/>
                <w:szCs w:val="21"/>
                <w:highlight w:val="none"/>
              </w:rPr>
              <w:t>哈尔滨市</w:t>
            </w:r>
            <w:r>
              <w:rPr>
                <w:rFonts w:hint="eastAsia" w:cs="Times New Roman" w:eastAsiaTheme="minorEastAsia"/>
                <w:color w:val="auto"/>
                <w:szCs w:val="21"/>
                <w:highlight w:val="none"/>
                <w:lang w:val="en-US" w:eastAsia="zh-CN"/>
              </w:rPr>
              <w:t>双城区，双城经济开发区食品园区内，地理坐标为东经</w:t>
            </w:r>
            <w:r>
              <w:rPr>
                <w:rFonts w:hint="default" w:ascii="Times New Roman" w:hAnsi="Times New Roman" w:cs="Times New Roman" w:eastAsiaTheme="minorEastAsia"/>
                <w:color w:val="auto"/>
                <w:szCs w:val="21"/>
                <w:highlight w:val="none"/>
                <w:u w:val="none"/>
              </w:rPr>
              <w:t>12</w:t>
            </w:r>
            <w:r>
              <w:rPr>
                <w:rFonts w:hint="eastAsia" w:cs="Times New Roman" w:eastAsiaTheme="minorEastAsia"/>
                <w:color w:val="auto"/>
                <w:szCs w:val="21"/>
                <w:highlight w:val="none"/>
                <w:u w:val="none"/>
                <w:lang w:val="en-US" w:eastAsia="zh-CN"/>
              </w:rPr>
              <w:t>6</w:t>
            </w:r>
            <w:r>
              <w:rPr>
                <w:rFonts w:hint="default" w:ascii="Times New Roman" w:hAnsi="Times New Roman" w:cs="Times New Roman" w:eastAsiaTheme="minorEastAsia"/>
                <w:color w:val="auto"/>
                <w:szCs w:val="21"/>
                <w:highlight w:val="none"/>
                <w:u w:val="none"/>
              </w:rPr>
              <w:t>度</w:t>
            </w:r>
            <w:r>
              <w:rPr>
                <w:rFonts w:hint="eastAsia" w:cs="Times New Roman" w:eastAsiaTheme="minorEastAsia"/>
                <w:color w:val="auto"/>
                <w:szCs w:val="21"/>
                <w:highlight w:val="none"/>
                <w:u w:val="none"/>
                <w:lang w:val="en-US" w:eastAsia="zh-CN"/>
              </w:rPr>
              <w:t>21</w:t>
            </w:r>
            <w:r>
              <w:rPr>
                <w:rFonts w:hint="default" w:ascii="Times New Roman" w:hAnsi="Times New Roman" w:cs="Times New Roman" w:eastAsiaTheme="minorEastAsia"/>
                <w:color w:val="auto"/>
                <w:szCs w:val="21"/>
                <w:highlight w:val="none"/>
                <w:u w:val="none"/>
              </w:rPr>
              <w:t>分</w:t>
            </w:r>
            <w:r>
              <w:rPr>
                <w:rFonts w:hint="eastAsia" w:cs="Times New Roman" w:eastAsiaTheme="minorEastAsia"/>
                <w:color w:val="auto"/>
                <w:szCs w:val="21"/>
                <w:highlight w:val="none"/>
                <w:u w:val="none"/>
                <w:lang w:val="en-US" w:eastAsia="zh-CN"/>
              </w:rPr>
              <w:t>33.000</w:t>
            </w:r>
            <w:r>
              <w:rPr>
                <w:rFonts w:hint="default" w:ascii="Times New Roman" w:hAnsi="Times New Roman" w:cs="Times New Roman" w:eastAsiaTheme="minorEastAsia"/>
                <w:color w:val="auto"/>
                <w:szCs w:val="21"/>
                <w:highlight w:val="none"/>
                <w:u w:val="none"/>
              </w:rPr>
              <w:t>秒，</w:t>
            </w:r>
            <w:r>
              <w:rPr>
                <w:rFonts w:hint="eastAsia" w:ascii="Times New Roman" w:hAnsi="Times New Roman" w:cs="Times New Roman" w:eastAsiaTheme="minorEastAsia"/>
                <w:color w:val="auto"/>
                <w:szCs w:val="21"/>
                <w:highlight w:val="none"/>
                <w:u w:val="none"/>
                <w:lang w:val="en-US" w:eastAsia="zh-CN"/>
              </w:rPr>
              <w:t>北纬</w:t>
            </w:r>
            <w:r>
              <w:rPr>
                <w:rFonts w:hint="default" w:ascii="Times New Roman" w:hAnsi="Times New Roman" w:cs="Times New Roman" w:eastAsiaTheme="minorEastAsia"/>
                <w:color w:val="auto"/>
                <w:szCs w:val="21"/>
                <w:highlight w:val="none"/>
                <w:u w:val="none"/>
              </w:rPr>
              <w:t>4</w:t>
            </w:r>
            <w:r>
              <w:rPr>
                <w:rFonts w:hint="eastAsia" w:cs="Times New Roman" w:eastAsiaTheme="minorEastAsia"/>
                <w:color w:val="auto"/>
                <w:szCs w:val="21"/>
                <w:highlight w:val="none"/>
                <w:u w:val="none"/>
                <w:lang w:val="en-US" w:eastAsia="zh-CN"/>
              </w:rPr>
              <w:t>5</w:t>
            </w:r>
            <w:r>
              <w:rPr>
                <w:rFonts w:hint="default" w:ascii="Times New Roman" w:hAnsi="Times New Roman" w:cs="Times New Roman" w:eastAsiaTheme="minorEastAsia"/>
                <w:color w:val="auto"/>
                <w:szCs w:val="21"/>
                <w:highlight w:val="none"/>
                <w:u w:val="none"/>
              </w:rPr>
              <w:t>度</w:t>
            </w:r>
            <w:r>
              <w:rPr>
                <w:rFonts w:hint="eastAsia" w:cs="Times New Roman" w:eastAsiaTheme="minorEastAsia"/>
                <w:color w:val="auto"/>
                <w:szCs w:val="21"/>
                <w:highlight w:val="none"/>
                <w:u w:val="none"/>
                <w:lang w:val="en-US" w:eastAsia="zh-CN"/>
              </w:rPr>
              <w:t>23</w:t>
            </w:r>
            <w:r>
              <w:rPr>
                <w:rFonts w:hint="default" w:ascii="Times New Roman" w:hAnsi="Times New Roman" w:cs="Times New Roman" w:eastAsiaTheme="minorEastAsia"/>
                <w:color w:val="auto"/>
                <w:szCs w:val="21"/>
                <w:highlight w:val="none"/>
                <w:u w:val="none"/>
              </w:rPr>
              <w:t>分</w:t>
            </w:r>
            <w:r>
              <w:rPr>
                <w:rFonts w:hint="eastAsia" w:cs="Times New Roman" w:eastAsiaTheme="minorEastAsia"/>
                <w:color w:val="auto"/>
                <w:szCs w:val="21"/>
                <w:highlight w:val="none"/>
                <w:u w:val="none"/>
                <w:lang w:val="en-US" w:eastAsia="zh-CN"/>
              </w:rPr>
              <w:t>24.690</w:t>
            </w:r>
            <w:r>
              <w:rPr>
                <w:rFonts w:hint="default" w:ascii="Times New Roman" w:hAnsi="Times New Roman" w:cs="Times New Roman" w:eastAsiaTheme="minorEastAsia"/>
                <w:color w:val="auto"/>
                <w:szCs w:val="21"/>
                <w:highlight w:val="none"/>
                <w:u w:val="none"/>
              </w:rPr>
              <w:t>秒</w:t>
            </w:r>
            <w:r>
              <w:rPr>
                <w:rFonts w:hint="eastAsia" w:ascii="Times New Roman" w:hAnsi="Times New Roman" w:cs="Times New Roman" w:eastAsiaTheme="minorEastAsia"/>
                <w:color w:val="auto"/>
                <w:szCs w:val="21"/>
                <w:highlight w:val="none"/>
                <w:u w:val="none"/>
                <w:lang w:eastAsia="zh-CN"/>
              </w:rPr>
              <w:t>。</w:t>
            </w:r>
            <w:r>
              <w:rPr>
                <w:rFonts w:hint="eastAsia"/>
                <w:color w:val="auto"/>
                <w:kern w:val="0"/>
                <w:szCs w:val="21"/>
                <w:highlight w:val="none"/>
              </w:rPr>
              <w:t>本项目所在地地势平坦，</w:t>
            </w:r>
            <w:r>
              <w:rPr>
                <w:rFonts w:hint="eastAsia"/>
                <w:color w:val="auto"/>
                <w:kern w:val="0"/>
                <w:sz w:val="21"/>
                <w:szCs w:val="21"/>
                <w:highlight w:val="none"/>
                <w:lang w:val="en-US" w:eastAsia="zh-CN"/>
              </w:rPr>
              <w:t>根据</w:t>
            </w:r>
            <w:r>
              <w:rPr>
                <w:rFonts w:hint="eastAsia" w:ascii="Times New Roman Regular" w:hAnsi="Times New Roman Regular" w:eastAsia="宋体" w:cs="Times New Roman Regular"/>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关于双城经济开发区总体规划环境影响报告书的审查意见</w:t>
            </w:r>
            <w:r>
              <w:rPr>
                <w:rFonts w:hint="default"/>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SA"/>
              </w:rPr>
              <w:t>，黑环函【2013】271号</w:t>
            </w:r>
            <w:r>
              <w:rPr>
                <w:rFonts w:hint="default" w:ascii="Times New Roman" w:hAnsi="Times New Roman" w:cs="Times New Roman"/>
                <w:color w:val="auto"/>
                <w:sz w:val="21"/>
                <w:szCs w:val="21"/>
                <w:highlight w:val="none"/>
              </w:rPr>
              <w:t>，项目用地性质为</w:t>
            </w:r>
            <w:r>
              <w:rPr>
                <w:rFonts w:hint="default" w:ascii="Times New Roman" w:hAnsi="Times New Roman" w:cs="Times New Roman"/>
                <w:color w:val="auto"/>
                <w:sz w:val="21"/>
                <w:szCs w:val="21"/>
                <w:highlight w:val="none"/>
                <w:lang w:val="en-US" w:eastAsia="zh-CN"/>
              </w:rPr>
              <w:t>工业</w:t>
            </w:r>
            <w:r>
              <w:rPr>
                <w:rFonts w:hint="default" w:ascii="Times New Roman" w:hAnsi="Times New Roman" w:cs="Times New Roman"/>
                <w:color w:val="auto"/>
                <w:sz w:val="21"/>
                <w:szCs w:val="21"/>
                <w:highlight w:val="none"/>
              </w:rPr>
              <w:t>用地，符合</w:t>
            </w:r>
            <w:r>
              <w:rPr>
                <w:rFonts w:hint="eastAsia" w:ascii="Times New Roman Regular" w:hAnsi="Times New Roman Regular" w:eastAsia="宋体" w:cs="Times New Roman Regular"/>
                <w:color w:val="auto"/>
                <w:kern w:val="0"/>
                <w:sz w:val="21"/>
                <w:szCs w:val="21"/>
                <w:highlight w:val="none"/>
                <w:lang w:val="en-US" w:eastAsia="zh-CN" w:bidi="ar-SA"/>
              </w:rPr>
              <w:t>《双城经济开发区总体规划</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12</w:t>
            </w:r>
            <w:r>
              <w:rPr>
                <w:rFonts w:hint="default" w:ascii="Times New Roman Regular" w:hAnsi="Times New Roman Regular" w:eastAsia="宋体" w:cs="Times New Roman Regular"/>
                <w:color w:val="auto"/>
                <w:kern w:val="0"/>
                <w:sz w:val="21"/>
                <w:szCs w:val="21"/>
                <w:highlight w:val="none"/>
                <w:lang w:val="en-US" w:eastAsia="zh-CN" w:bidi="ar-SA"/>
              </w:rPr>
              <w:t>-20</w:t>
            </w:r>
            <w:r>
              <w:rPr>
                <w:rFonts w:hint="eastAsia" w:ascii="Times New Roman Regular" w:hAnsi="Times New Roman Regular" w:eastAsia="宋体" w:cs="Times New Roman Regular"/>
                <w:color w:val="auto"/>
                <w:kern w:val="0"/>
                <w:sz w:val="21"/>
                <w:szCs w:val="21"/>
                <w:highlight w:val="none"/>
                <w:lang w:val="en-US" w:eastAsia="zh-CN" w:bidi="ar-SA"/>
              </w:rPr>
              <w:t>20》</w:t>
            </w:r>
            <w:r>
              <w:rPr>
                <w:rFonts w:hint="eastAsia"/>
                <w:color w:val="auto"/>
                <w:kern w:val="0"/>
                <w:sz w:val="21"/>
                <w:szCs w:val="21"/>
                <w:highlight w:val="none"/>
              </w:rPr>
              <w:t>。</w:t>
            </w:r>
            <w:r>
              <w:rPr>
                <w:rFonts w:hint="eastAsia"/>
                <w:color w:val="auto"/>
                <w:kern w:val="0"/>
                <w:szCs w:val="21"/>
                <w:highlight w:val="none"/>
              </w:rPr>
              <w:t>厂区地理位置交通便利，基础设施齐全，与周边环境协调。项目不在风景名胜区、自然保护区、水源保护区及其他需要特别保护的区域内，没有明显的环境制约因素，项目选址合理。</w:t>
            </w:r>
          </w:p>
          <w:p>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eastAsia" w:eastAsia="宋体"/>
                <w:color w:val="auto"/>
                <w:kern w:val="0"/>
                <w:sz w:val="21"/>
                <w:szCs w:val="21"/>
                <w:highlight w:val="none"/>
                <w:lang w:eastAsia="zh-CN"/>
              </w:rPr>
            </w:pPr>
            <w:r>
              <w:rPr>
                <w:rFonts w:hint="default"/>
                <w:color w:val="auto"/>
                <w:sz w:val="21"/>
                <w:szCs w:val="21"/>
                <w:highlight w:val="none"/>
              </w:rPr>
              <w:t>根据</w:t>
            </w:r>
            <w:r>
              <w:rPr>
                <w:rFonts w:hint="default" w:ascii="Times New Roman" w:hAnsi="Times New Roman" w:eastAsia="宋体" w:cs="Times New Roman"/>
                <w:color w:val="auto"/>
                <w:kern w:val="0"/>
                <w:sz w:val="21"/>
                <w:szCs w:val="21"/>
                <w:highlight w:val="none"/>
              </w:rPr>
              <w:t>《产业结构调整指导目录（</w:t>
            </w:r>
            <w:r>
              <w:rPr>
                <w:rFonts w:hint="eastAsia" w:cs="Times New Roman"/>
                <w:color w:val="auto"/>
                <w:kern w:val="0"/>
                <w:sz w:val="21"/>
                <w:szCs w:val="21"/>
                <w:highlight w:val="none"/>
                <w:lang w:val="en-US" w:eastAsia="zh-CN"/>
              </w:rPr>
              <w:t>2019年本</w:t>
            </w: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val="en-US" w:eastAsia="zh-CN"/>
              </w:rPr>
              <w:t>2021年修订本</w:t>
            </w:r>
            <w:r>
              <w:rPr>
                <w:rFonts w:hint="default" w:ascii="Times New Roman" w:hAnsi="Times New Roman" w:eastAsia="宋体" w:cs="Times New Roman"/>
                <w:color w:val="auto"/>
                <w:kern w:val="0"/>
                <w:sz w:val="21"/>
                <w:szCs w:val="21"/>
                <w:highlight w:val="none"/>
              </w:rPr>
              <w:t>）</w:t>
            </w:r>
            <w:r>
              <w:rPr>
                <w:rFonts w:hint="default"/>
                <w:color w:val="auto"/>
                <w:sz w:val="21"/>
                <w:szCs w:val="21"/>
                <w:highlight w:val="none"/>
              </w:rPr>
              <w:t>中第二类“限制类”——十二、轻工——25、3000吨/年及以下的西式肉制品加工项目，本项目产品</w:t>
            </w:r>
            <w:r>
              <w:rPr>
                <w:rFonts w:hint="eastAsia"/>
                <w:color w:val="auto"/>
                <w:sz w:val="21"/>
                <w:szCs w:val="21"/>
                <w:highlight w:val="none"/>
                <w:lang w:val="en-US" w:eastAsia="zh-CN"/>
              </w:rPr>
              <w:t>中红肠、儿童肠、松仁烤肠</w:t>
            </w:r>
            <w:r>
              <w:rPr>
                <w:rFonts w:hint="default"/>
                <w:color w:val="auto"/>
                <w:sz w:val="21"/>
                <w:szCs w:val="21"/>
                <w:highlight w:val="none"/>
              </w:rPr>
              <w:t>属于西式肉制品，产能</w:t>
            </w:r>
            <w:r>
              <w:rPr>
                <w:rFonts w:hint="eastAsia"/>
                <w:color w:val="auto"/>
                <w:sz w:val="21"/>
                <w:szCs w:val="21"/>
                <w:highlight w:val="none"/>
                <w:lang w:val="en-US" w:eastAsia="zh-CN"/>
              </w:rPr>
              <w:t>320</w:t>
            </w:r>
            <w:r>
              <w:rPr>
                <w:rFonts w:hint="eastAsia"/>
                <w:color w:val="auto"/>
                <w:sz w:val="21"/>
                <w:szCs w:val="21"/>
                <w:highlight w:val="none"/>
              </w:rPr>
              <w:t>0</w:t>
            </w:r>
            <w:r>
              <w:rPr>
                <w:rFonts w:hint="default"/>
                <w:color w:val="auto"/>
                <w:sz w:val="21"/>
                <w:szCs w:val="21"/>
                <w:highlight w:val="none"/>
              </w:rPr>
              <w:t>t/a</w:t>
            </w:r>
            <w:r>
              <w:rPr>
                <w:rFonts w:hint="eastAsia"/>
                <w:color w:val="auto"/>
                <w:sz w:val="21"/>
                <w:szCs w:val="21"/>
                <w:highlight w:val="none"/>
                <w:lang w:eastAsia="zh-CN"/>
              </w:rPr>
              <w:t>，</w:t>
            </w:r>
            <w:r>
              <w:rPr>
                <w:rFonts w:hint="default"/>
                <w:color w:val="auto"/>
                <w:sz w:val="21"/>
                <w:szCs w:val="21"/>
                <w:highlight w:val="none"/>
              </w:rPr>
              <w:t>满足</w:t>
            </w:r>
            <w:r>
              <w:rPr>
                <w:rFonts w:hint="default" w:ascii="Times New Roman" w:hAnsi="Times New Roman" w:eastAsia="宋体" w:cs="Times New Roman"/>
                <w:color w:val="auto"/>
                <w:kern w:val="0"/>
                <w:sz w:val="21"/>
                <w:szCs w:val="21"/>
                <w:highlight w:val="none"/>
              </w:rPr>
              <w:t>《产业结构调整指导目录（</w:t>
            </w:r>
            <w:r>
              <w:rPr>
                <w:rFonts w:hint="eastAsia" w:cs="Times New Roman"/>
                <w:color w:val="auto"/>
                <w:kern w:val="0"/>
                <w:sz w:val="21"/>
                <w:szCs w:val="21"/>
                <w:highlight w:val="none"/>
                <w:lang w:val="en-US" w:eastAsia="zh-CN"/>
              </w:rPr>
              <w:t>2019年本</w:t>
            </w: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val="en-US" w:eastAsia="zh-CN"/>
              </w:rPr>
              <w:t>2021年修订本</w:t>
            </w:r>
            <w:r>
              <w:rPr>
                <w:rFonts w:hint="default" w:ascii="Times New Roman" w:hAnsi="Times New Roman" w:eastAsia="宋体" w:cs="Times New Roman"/>
                <w:color w:val="auto"/>
                <w:kern w:val="0"/>
                <w:sz w:val="21"/>
                <w:szCs w:val="21"/>
                <w:highlight w:val="none"/>
              </w:rPr>
              <w:t>）</w:t>
            </w:r>
            <w:r>
              <w:rPr>
                <w:rFonts w:hint="default"/>
                <w:color w:val="auto"/>
                <w:sz w:val="21"/>
                <w:szCs w:val="21"/>
                <w:highlight w:val="none"/>
              </w:rPr>
              <w:t>的要求</w:t>
            </w:r>
            <w:r>
              <w:rPr>
                <w:rFonts w:hint="eastAsia"/>
                <w:color w:val="auto"/>
                <w:sz w:val="21"/>
                <w:szCs w:val="21"/>
                <w:highlight w:val="none"/>
              </w:rPr>
              <w:t>，</w:t>
            </w:r>
            <w:r>
              <w:rPr>
                <w:rFonts w:hint="eastAsia"/>
                <w:color w:val="auto"/>
                <w:sz w:val="21"/>
                <w:szCs w:val="21"/>
                <w:highlight w:val="none"/>
                <w:lang w:val="en-US" w:eastAsia="zh-CN"/>
              </w:rPr>
              <w:t>不属于限制、淘汰类项目，</w:t>
            </w:r>
            <w:r>
              <w:rPr>
                <w:rFonts w:hint="eastAsia"/>
                <w:color w:val="auto"/>
                <w:sz w:val="21"/>
                <w:szCs w:val="21"/>
                <w:highlight w:val="none"/>
              </w:rPr>
              <w:t>符合</w:t>
            </w:r>
            <w:r>
              <w:rPr>
                <w:rFonts w:hint="eastAsia"/>
                <w:color w:val="auto"/>
                <w:sz w:val="21"/>
                <w:szCs w:val="21"/>
                <w:highlight w:val="none"/>
                <w:lang w:val="en-US" w:eastAsia="zh-CN"/>
              </w:rPr>
              <w:t>我国</w:t>
            </w:r>
            <w:r>
              <w:rPr>
                <w:rFonts w:hint="default" w:hAnsi="宋体"/>
                <w:color w:val="auto"/>
                <w:kern w:val="0"/>
                <w:sz w:val="21"/>
                <w:szCs w:val="21"/>
                <w:highlight w:val="none"/>
              </w:rPr>
              <w:t>当前产业政策的要求</w:t>
            </w:r>
            <w:r>
              <w:rPr>
                <w:rFonts w:hint="eastAsia" w:hAnsi="宋体"/>
                <w:color w:val="auto"/>
                <w:kern w:val="0"/>
                <w:sz w:val="21"/>
                <w:szCs w:val="21"/>
                <w:highlight w:val="none"/>
                <w:lang w:eastAsia="zh-CN"/>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2" w:firstLineChars="200"/>
              <w:jc w:val="both"/>
              <w:textAlignment w:val="auto"/>
              <w:rPr>
                <w:rFonts w:hint="eastAsia" w:eastAsia="宋体"/>
                <w:b/>
                <w:bCs/>
                <w:color w:val="auto"/>
                <w:kern w:val="0"/>
                <w:sz w:val="21"/>
                <w:szCs w:val="21"/>
                <w:highlight w:val="none"/>
                <w:lang w:val="en-US" w:eastAsia="zh-CN"/>
              </w:rPr>
            </w:pPr>
            <w:r>
              <w:rPr>
                <w:rFonts w:hint="eastAsia"/>
                <w:b/>
                <w:bCs/>
                <w:color w:val="auto"/>
                <w:kern w:val="0"/>
                <w:szCs w:val="21"/>
                <w:highlight w:val="none"/>
                <w:lang w:val="en-US" w:eastAsia="zh-CN"/>
              </w:rPr>
              <w:t>4</w:t>
            </w:r>
            <w:r>
              <w:rPr>
                <w:rFonts w:hint="eastAsia" w:eastAsia="宋体"/>
                <w:b/>
                <w:bCs/>
                <w:color w:val="auto"/>
                <w:kern w:val="0"/>
                <w:szCs w:val="21"/>
                <w:highlight w:val="none"/>
                <w:lang w:val="en-US" w:eastAsia="zh-CN"/>
              </w:rPr>
              <w:t>、</w:t>
            </w:r>
            <w:r>
              <w:rPr>
                <w:rFonts w:hint="eastAsia" w:eastAsia="宋体"/>
                <w:b/>
                <w:bCs/>
                <w:color w:val="auto"/>
                <w:kern w:val="0"/>
                <w:sz w:val="21"/>
                <w:szCs w:val="21"/>
                <w:highlight w:val="none"/>
                <w:lang w:val="en-US" w:eastAsia="zh-CN"/>
              </w:rPr>
              <w:t>与</w:t>
            </w:r>
            <w:r>
              <w:rPr>
                <w:rFonts w:hint="default"/>
                <w:b/>
                <w:bCs/>
                <w:color w:val="auto"/>
                <w:sz w:val="21"/>
                <w:szCs w:val="21"/>
                <w:highlight w:val="none"/>
              </w:rPr>
              <w:t>《食品生产通用卫生规范》（GB14881-2013）</w:t>
            </w:r>
            <w:r>
              <w:rPr>
                <w:rFonts w:hint="eastAsia" w:eastAsia="宋体"/>
                <w:b/>
                <w:bCs/>
                <w:color w:val="auto"/>
                <w:kern w:val="0"/>
                <w:sz w:val="21"/>
                <w:szCs w:val="21"/>
                <w:highlight w:val="none"/>
                <w:lang w:val="en-US" w:eastAsia="zh-CN"/>
              </w:rPr>
              <w:t>符合性分析</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bCs/>
                <w:color w:val="auto"/>
                <w:kern w:val="0"/>
                <w:sz w:val="21"/>
                <w:szCs w:val="21"/>
                <w:highlight w:val="none"/>
                <w:vertAlign w:val="baseline"/>
              </w:rPr>
            </w:pPr>
            <w:r>
              <w:rPr>
                <w:rFonts w:hint="eastAsia"/>
                <w:b/>
                <w:bCs/>
                <w:color w:val="auto"/>
                <w:kern w:val="0"/>
                <w:sz w:val="21"/>
                <w:szCs w:val="21"/>
                <w:highlight w:val="none"/>
                <w:lang w:val="en-US" w:eastAsia="zh-CN"/>
              </w:rPr>
              <w:t xml:space="preserve">表1-3 </w:t>
            </w:r>
            <w:r>
              <w:rPr>
                <w:rFonts w:hint="eastAsia"/>
                <w:b/>
                <w:bCs/>
                <w:color w:val="auto"/>
                <w:kern w:val="0"/>
                <w:sz w:val="21"/>
                <w:szCs w:val="21"/>
                <w:highlight w:val="none"/>
              </w:rPr>
              <w:t>本项目与</w:t>
            </w:r>
            <w:r>
              <w:rPr>
                <w:rFonts w:hint="default"/>
                <w:b/>
                <w:bCs/>
                <w:color w:val="auto"/>
                <w:sz w:val="21"/>
                <w:szCs w:val="21"/>
                <w:highlight w:val="none"/>
              </w:rPr>
              <w:t>《食品生产通用卫生规范》</w:t>
            </w:r>
            <w:r>
              <w:rPr>
                <w:rFonts w:hint="eastAsia"/>
                <w:b/>
                <w:bCs/>
                <w:color w:val="auto"/>
                <w:kern w:val="0"/>
                <w:sz w:val="21"/>
                <w:szCs w:val="21"/>
                <w:highlight w:val="none"/>
              </w:rPr>
              <w:t>符合性分析</w:t>
            </w:r>
          </w:p>
          <w:tbl>
            <w:tblPr>
              <w:tblStyle w:val="33"/>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4"/>
              <w:gridCol w:w="388"/>
              <w:gridCol w:w="3434"/>
              <w:gridCol w:w="2592"/>
              <w:gridCol w:w="6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序号</w:t>
                  </w:r>
                </w:p>
              </w:tc>
              <w:tc>
                <w:tcPr>
                  <w:tcW w:w="3670" w:type="dxa"/>
                  <w:gridSpan w:val="2"/>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相关要求</w:t>
                  </w:r>
                </w:p>
              </w:tc>
              <w:tc>
                <w:tcPr>
                  <w:tcW w:w="2488"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本项目情况</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1</w:t>
                  </w:r>
                </w:p>
              </w:tc>
              <w:tc>
                <w:tcPr>
                  <w:tcW w:w="373" w:type="dxa"/>
                  <w:vMerge w:val="restart"/>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default"/>
                      <w:b w:val="0"/>
                      <w:bCs w:val="0"/>
                      <w:snapToGrid w:val="0"/>
                      <w:color w:val="auto"/>
                      <w:kern w:val="0"/>
                      <w:sz w:val="18"/>
                      <w:szCs w:val="18"/>
                      <w:highlight w:val="none"/>
                    </w:rPr>
                    <w:t>厂址要求</w:t>
                  </w: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厂区不应该选择对食品有显著污染的区域。如某地对食品安全和食品宜用性存在明显的不利影响，且无法通过采取措施加以改善，应避免在该地建厂</w:t>
                  </w:r>
                </w:p>
              </w:tc>
              <w:tc>
                <w:tcPr>
                  <w:tcW w:w="2488" w:type="dxa"/>
                  <w:vAlign w:val="center"/>
                </w:tcPr>
                <w:p>
                  <w:pPr>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eastAsia"/>
                      <w:color w:val="auto"/>
                      <w:kern w:val="0"/>
                      <w:sz w:val="18"/>
                      <w:szCs w:val="18"/>
                      <w:highlight w:val="none"/>
                      <w:lang w:val="en-US" w:eastAsia="zh-CN"/>
                    </w:rPr>
                    <w:t>本项目位于哈尔滨市双城经济开发区食品园区内，厂区北</w:t>
                  </w:r>
                  <w:r>
                    <w:rPr>
                      <w:rFonts w:hint="default"/>
                      <w:color w:val="auto"/>
                      <w:kern w:val="0"/>
                      <w:sz w:val="18"/>
                      <w:szCs w:val="18"/>
                      <w:highlight w:val="none"/>
                    </w:rPr>
                    <w:t>侧</w:t>
                  </w:r>
                  <w:r>
                    <w:rPr>
                      <w:rFonts w:hint="eastAsia"/>
                      <w:color w:val="auto"/>
                      <w:kern w:val="0"/>
                      <w:sz w:val="18"/>
                      <w:szCs w:val="18"/>
                      <w:highlight w:val="none"/>
                      <w:lang w:val="en-US" w:eastAsia="zh-CN"/>
                    </w:rPr>
                    <w:t>隔道为哈尔滨对鹿饮品有限公司，南侧及东侧为哈尔滨双城哇哈哈工业园，西侧隔路为双城瑞麦食品公司</w:t>
                  </w:r>
                  <w:r>
                    <w:rPr>
                      <w:rFonts w:hint="eastAsia"/>
                      <w:b w:val="0"/>
                      <w:bCs w:val="0"/>
                      <w:color w:val="auto"/>
                      <w:sz w:val="18"/>
                      <w:szCs w:val="18"/>
                      <w:highlight w:val="none"/>
                    </w:rPr>
                    <w:t>。</w:t>
                  </w:r>
                  <w:r>
                    <w:rPr>
                      <w:rFonts w:hint="eastAsia"/>
                      <w:color w:val="auto"/>
                      <w:sz w:val="18"/>
                      <w:szCs w:val="18"/>
                      <w:highlight w:val="none"/>
                    </w:rPr>
                    <w:t>对本项目无明显制约因素</w:t>
                  </w:r>
                  <w:r>
                    <w:rPr>
                      <w:rFonts w:hint="eastAsia"/>
                      <w:color w:val="auto"/>
                      <w:sz w:val="18"/>
                      <w:szCs w:val="18"/>
                      <w:highlight w:val="none"/>
                      <w:lang w:eastAsia="zh-CN"/>
                    </w:rPr>
                    <w:t>，</w:t>
                  </w:r>
                  <w:r>
                    <w:rPr>
                      <w:rFonts w:hint="default"/>
                      <w:b w:val="0"/>
                      <w:bCs w:val="0"/>
                      <w:color w:val="auto"/>
                      <w:sz w:val="18"/>
                      <w:szCs w:val="18"/>
                      <w:highlight w:val="none"/>
                    </w:rPr>
                    <w:t>厂区不在对食品有显著污染的区域内</w:t>
                  </w:r>
                  <w:r>
                    <w:rPr>
                      <w:rFonts w:hint="eastAsia"/>
                      <w:b w:val="0"/>
                      <w:bCs w:val="0"/>
                      <w:color w:val="auto"/>
                      <w:sz w:val="18"/>
                      <w:szCs w:val="18"/>
                      <w:highlight w:val="none"/>
                    </w:rPr>
                    <w:t>。</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2</w:t>
                  </w:r>
                </w:p>
              </w:tc>
              <w:tc>
                <w:tcPr>
                  <w:tcW w:w="373" w:type="dxa"/>
                  <w:vMerge w:val="continue"/>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厂区不应该选择有害废弃物以及粉尘、有害气体、放射性物质和其他扩散性污染源不能有效清除的地址</w:t>
                  </w:r>
                </w:p>
              </w:tc>
              <w:tc>
                <w:tcPr>
                  <w:tcW w:w="2488"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eastAsia" w:eastAsia="宋体"/>
                      <w:b w:val="0"/>
                      <w:bCs w:val="0"/>
                      <w:color w:val="auto"/>
                      <w:kern w:val="0"/>
                      <w:sz w:val="18"/>
                      <w:szCs w:val="18"/>
                      <w:highlight w:val="none"/>
                      <w:vertAlign w:val="baseline"/>
                      <w:lang w:eastAsia="zh-CN"/>
                    </w:rPr>
                  </w:pPr>
                  <w:r>
                    <w:rPr>
                      <w:rFonts w:hint="default"/>
                      <w:b w:val="0"/>
                      <w:bCs w:val="0"/>
                      <w:color w:val="auto"/>
                      <w:sz w:val="18"/>
                      <w:szCs w:val="18"/>
                      <w:highlight w:val="none"/>
                    </w:rPr>
                    <w:t>根据现场调查，本项目厂区周围企业产生的粉尘、有害气体等均能得到有效</w:t>
                  </w:r>
                  <w:r>
                    <w:rPr>
                      <w:rFonts w:hint="eastAsia"/>
                      <w:b w:val="0"/>
                      <w:bCs w:val="0"/>
                      <w:color w:val="auto"/>
                      <w:sz w:val="18"/>
                      <w:szCs w:val="18"/>
                      <w:highlight w:val="none"/>
                    </w:rPr>
                    <w:t>控制</w:t>
                  </w:r>
                  <w:r>
                    <w:rPr>
                      <w:rFonts w:hint="default"/>
                      <w:b w:val="0"/>
                      <w:bCs w:val="0"/>
                      <w:color w:val="auto"/>
                      <w:sz w:val="18"/>
                      <w:szCs w:val="18"/>
                      <w:highlight w:val="none"/>
                    </w:rPr>
                    <w:t>，对本项目影响较小</w:t>
                  </w:r>
                  <w:r>
                    <w:rPr>
                      <w:rFonts w:hint="eastAsia"/>
                      <w:b w:val="0"/>
                      <w:bCs w:val="0"/>
                      <w:color w:val="auto"/>
                      <w:sz w:val="18"/>
                      <w:szCs w:val="18"/>
                      <w:highlight w:val="none"/>
                      <w:lang w:eastAsia="zh-CN"/>
                    </w:rPr>
                    <w:t>。</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3</w:t>
                  </w:r>
                </w:p>
              </w:tc>
              <w:tc>
                <w:tcPr>
                  <w:tcW w:w="373" w:type="dxa"/>
                  <w:vMerge w:val="continue"/>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厂区不宜择易发生洪涝灾害的地区，难以避开时应设计必要的防范措施</w:t>
                  </w:r>
                </w:p>
              </w:tc>
              <w:tc>
                <w:tcPr>
                  <w:tcW w:w="2488" w:type="dxa"/>
                  <w:vAlign w:val="center"/>
                </w:tcPr>
                <w:p>
                  <w:pPr>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本项目厂区不在易发生洪涝灾害的地区</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4</w:t>
                  </w:r>
                </w:p>
              </w:tc>
              <w:tc>
                <w:tcPr>
                  <w:tcW w:w="373" w:type="dxa"/>
                  <w:vMerge w:val="continue"/>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厂区周围不宜有虫害大量孳生的潜在场所，难以避开时应设计必要的防范措施</w:t>
                  </w:r>
                </w:p>
              </w:tc>
              <w:tc>
                <w:tcPr>
                  <w:tcW w:w="2488" w:type="dxa"/>
                  <w:vAlign w:val="center"/>
                </w:tcPr>
                <w:p>
                  <w:pPr>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本项目厂区周围无有虫害大量孳生的潜在场所</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5</w:t>
                  </w:r>
                </w:p>
              </w:tc>
              <w:tc>
                <w:tcPr>
                  <w:tcW w:w="373"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厂区环境要求</w:t>
                  </w: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应考虑环境给食品生产带来的潜在污染风险，并采取适当的措施将其降至最低水平；厂区应合理布局，各功能区域划分明显，并有适当的分离或分隔措施，防止交叉污染；厂区内的道路铺设混凝土、沥青、或者其他硬质材料；空地应采用必要措施，如铺设水泥、地砖或铺设草坪等方式，保持环境清洁，防止正常天气扬尘和积水等现象的发生；厂区绿化应与生产车间保持适当距离，植被应定期维护，以防止虫害的孳生；厂区应有适当的排水系统；宿舍、食堂、职工娱乐设施等生活区应与生产区保持适当距离或分隔</w:t>
                  </w:r>
                </w:p>
              </w:tc>
              <w:tc>
                <w:tcPr>
                  <w:tcW w:w="2488" w:type="dxa"/>
                  <w:vAlign w:val="center"/>
                </w:tcPr>
                <w:p>
                  <w:pPr>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eastAsia="宋体"/>
                      <w:b w:val="0"/>
                      <w:bCs w:val="0"/>
                      <w:color w:val="auto"/>
                      <w:kern w:val="0"/>
                      <w:sz w:val="18"/>
                      <w:szCs w:val="18"/>
                      <w:highlight w:val="none"/>
                      <w:vertAlign w:val="baseline"/>
                      <w:lang w:val="en-US" w:eastAsia="zh-CN"/>
                    </w:rPr>
                  </w:pPr>
                  <w:r>
                    <w:rPr>
                      <w:rFonts w:hint="default"/>
                      <w:b w:val="0"/>
                      <w:bCs w:val="0"/>
                      <w:color w:val="auto"/>
                      <w:sz w:val="18"/>
                      <w:szCs w:val="18"/>
                      <w:highlight w:val="none"/>
                    </w:rPr>
                    <w:t>厂区合理布局，功能区域划分明显，利用墙体进行分离，做到了防止交叉感染；道路实行了混凝土硬化；厂区外进行了绿化，</w:t>
                  </w:r>
                  <w:r>
                    <w:rPr>
                      <w:rFonts w:hint="eastAsia"/>
                      <w:b w:val="0"/>
                      <w:bCs w:val="0"/>
                      <w:color w:val="auto"/>
                      <w:sz w:val="18"/>
                      <w:szCs w:val="18"/>
                      <w:highlight w:val="none"/>
                      <w:lang w:val="en-US" w:eastAsia="zh-CN"/>
                    </w:rPr>
                    <w:t>绿化带</w:t>
                  </w:r>
                  <w:r>
                    <w:rPr>
                      <w:rFonts w:hint="default"/>
                      <w:b w:val="0"/>
                      <w:bCs w:val="0"/>
                      <w:color w:val="auto"/>
                      <w:sz w:val="18"/>
                      <w:szCs w:val="18"/>
                      <w:highlight w:val="none"/>
                    </w:rPr>
                    <w:t>距厂房约</w:t>
                  </w:r>
                  <w:r>
                    <w:rPr>
                      <w:rFonts w:hint="eastAsia"/>
                      <w:b w:val="0"/>
                      <w:bCs w:val="0"/>
                      <w:color w:val="auto"/>
                      <w:sz w:val="18"/>
                      <w:szCs w:val="18"/>
                      <w:highlight w:val="none"/>
                    </w:rPr>
                    <w:t>5</w:t>
                  </w:r>
                  <w:r>
                    <w:rPr>
                      <w:rFonts w:hint="default"/>
                      <w:b w:val="0"/>
                      <w:bCs w:val="0"/>
                      <w:color w:val="auto"/>
                      <w:sz w:val="18"/>
                      <w:szCs w:val="18"/>
                      <w:highlight w:val="none"/>
                    </w:rPr>
                    <w:t>m；厂区排水系统采用雨污分流制；</w:t>
                  </w:r>
                  <w:r>
                    <w:rPr>
                      <w:rFonts w:hint="eastAsia"/>
                      <w:b w:val="0"/>
                      <w:bCs w:val="0"/>
                      <w:color w:val="auto"/>
                      <w:sz w:val="18"/>
                      <w:szCs w:val="18"/>
                      <w:highlight w:val="none"/>
                      <w:lang w:val="en-US" w:eastAsia="zh-CN"/>
                    </w:rPr>
                    <w:t>厂区</w:t>
                  </w:r>
                  <w:r>
                    <w:rPr>
                      <w:rFonts w:hint="default"/>
                      <w:b w:val="0"/>
                      <w:bCs w:val="0"/>
                      <w:color w:val="auto"/>
                      <w:sz w:val="18"/>
                      <w:szCs w:val="18"/>
                      <w:highlight w:val="none"/>
                    </w:rPr>
                    <w:t>宿舍</w:t>
                  </w:r>
                  <w:r>
                    <w:rPr>
                      <w:rFonts w:hint="eastAsia"/>
                      <w:b w:val="0"/>
                      <w:bCs w:val="0"/>
                      <w:color w:val="auto"/>
                      <w:sz w:val="18"/>
                      <w:szCs w:val="18"/>
                      <w:highlight w:val="none"/>
                      <w:lang w:val="en-US" w:eastAsia="zh-CN"/>
                    </w:rPr>
                    <w:t>及</w:t>
                  </w:r>
                  <w:r>
                    <w:rPr>
                      <w:rFonts w:hint="default"/>
                      <w:b w:val="0"/>
                      <w:bCs w:val="0"/>
                      <w:color w:val="auto"/>
                      <w:sz w:val="18"/>
                      <w:szCs w:val="18"/>
                      <w:highlight w:val="none"/>
                    </w:rPr>
                    <w:t>食堂</w:t>
                  </w:r>
                  <w:r>
                    <w:rPr>
                      <w:rFonts w:hint="eastAsia"/>
                      <w:b w:val="0"/>
                      <w:bCs w:val="0"/>
                      <w:color w:val="auto"/>
                      <w:sz w:val="18"/>
                      <w:szCs w:val="18"/>
                      <w:highlight w:val="none"/>
                      <w:lang w:val="en-US" w:eastAsia="zh-CN"/>
                    </w:rPr>
                    <w:t>与生产区分隔。</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1"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eastAsia" w:eastAsia="宋体"/>
                      <w:b w:val="0"/>
                      <w:bCs w:val="0"/>
                      <w:color w:val="auto"/>
                      <w:kern w:val="0"/>
                      <w:sz w:val="18"/>
                      <w:szCs w:val="18"/>
                      <w:highlight w:val="none"/>
                      <w:vertAlign w:val="baseline"/>
                      <w:lang w:val="en-US" w:eastAsia="zh-CN"/>
                    </w:rPr>
                  </w:pPr>
                  <w:r>
                    <w:rPr>
                      <w:rFonts w:hint="eastAsia"/>
                      <w:b w:val="0"/>
                      <w:bCs w:val="0"/>
                      <w:color w:val="auto"/>
                      <w:kern w:val="0"/>
                      <w:sz w:val="18"/>
                      <w:szCs w:val="18"/>
                      <w:highlight w:val="none"/>
                      <w:vertAlign w:val="baseline"/>
                      <w:lang w:val="en-US" w:eastAsia="zh-CN"/>
                    </w:rPr>
                    <w:t>6</w:t>
                  </w:r>
                </w:p>
              </w:tc>
              <w:tc>
                <w:tcPr>
                  <w:tcW w:w="373"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厂房和车间设计和布局要求</w:t>
                  </w:r>
                </w:p>
              </w:tc>
              <w:tc>
                <w:tcPr>
                  <w:tcW w:w="3297" w:type="dxa"/>
                  <w:vAlign w:val="center"/>
                </w:tcPr>
                <w:p>
                  <w:pPr>
                    <w:keepNext w:val="0"/>
                    <w:keepLines w:val="0"/>
                    <w:pageBreakBefore w:val="0"/>
                    <w:widowControl/>
                    <w:suppressLineNumbers w:val="0"/>
                    <w:kinsoku/>
                    <w:wordWrap/>
                    <w:overflowPunct/>
                    <w:topLinePunct w:val="0"/>
                    <w:bidi w:val="0"/>
                    <w:spacing w:before="0" w:beforeAutospacing="0" w:after="0" w:afterAutospacing="0"/>
                    <w:ind w:left="0" w:right="0"/>
                    <w:jc w:val="center"/>
                    <w:textAlignment w:val="auto"/>
                    <w:rPr>
                      <w:rFonts w:hint="default"/>
                      <w:b w:val="0"/>
                      <w:bCs w:val="0"/>
                      <w:color w:val="auto"/>
                      <w:kern w:val="0"/>
                      <w:sz w:val="18"/>
                      <w:szCs w:val="18"/>
                      <w:highlight w:val="none"/>
                      <w:vertAlign w:val="baseline"/>
                    </w:rPr>
                  </w:pPr>
                  <w:r>
                    <w:rPr>
                      <w:rFonts w:hint="default"/>
                      <w:b w:val="0"/>
                      <w:bCs w:val="0"/>
                      <w:color w:val="auto"/>
                      <w:sz w:val="18"/>
                      <w:szCs w:val="18"/>
                      <w:highlight w:val="none"/>
                    </w:rPr>
                    <w:t>厂房和车间的内部设计和布局满足食品卫生操作要标，避免食品生产中发生检查污染；厂房和车间应根据生产工艺合理布局，预防和降低产品受污染的风险；厂房和车间应根据产品特点、生产工艺、生产 特性以及生产过程中对清洁程度的要求合理划分作业区，并采取有效分离或分隔；厂房内设置的检验室应与生产区域分隔；厂房的面积和空间应与生产能力相适应，便于设备安置、清洁消毒、物料存储及人员操作</w:t>
                  </w:r>
                </w:p>
              </w:tc>
              <w:tc>
                <w:tcPr>
                  <w:tcW w:w="2488" w:type="dxa"/>
                  <w:vAlign w:val="center"/>
                </w:tcPr>
                <w:p>
                  <w:pPr>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eastAsia="宋体"/>
                      <w:b w:val="0"/>
                      <w:bCs w:val="0"/>
                      <w:color w:val="auto"/>
                      <w:kern w:val="0"/>
                      <w:sz w:val="18"/>
                      <w:szCs w:val="18"/>
                      <w:highlight w:val="none"/>
                      <w:vertAlign w:val="baseline"/>
                      <w:lang w:val="en-US" w:eastAsia="zh-CN"/>
                    </w:rPr>
                  </w:pPr>
                  <w:r>
                    <w:rPr>
                      <w:rFonts w:hint="default"/>
                      <w:b w:val="0"/>
                      <w:bCs w:val="0"/>
                      <w:color w:val="auto"/>
                      <w:sz w:val="18"/>
                      <w:szCs w:val="18"/>
                      <w:highlight w:val="none"/>
                    </w:rPr>
                    <w:t>厂房和车间的内部设计功能区分明确；根据工艺流程顺畅与无交叉感染进行了合理的布局，采取了对车间的有效分离</w:t>
                  </w:r>
                  <w:r>
                    <w:rPr>
                      <w:rFonts w:hint="eastAsia"/>
                      <w:b w:val="0"/>
                      <w:bCs w:val="0"/>
                      <w:color w:val="auto"/>
                      <w:sz w:val="18"/>
                      <w:szCs w:val="18"/>
                      <w:highlight w:val="none"/>
                      <w:lang w:val="en-US" w:eastAsia="zh-CN"/>
                    </w:rPr>
                    <w:t>检验室与生产区分隔。</w:t>
                  </w:r>
                </w:p>
              </w:tc>
              <w:tc>
                <w:tcPr>
                  <w:tcW w:w="655" w:type="dxa"/>
                  <w:vAlign w:val="center"/>
                </w:tcPr>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val="0"/>
                      <w:bCs w:val="0"/>
                      <w:color w:val="auto"/>
                      <w:kern w:val="0"/>
                      <w:sz w:val="18"/>
                      <w:szCs w:val="18"/>
                      <w:highlight w:val="none"/>
                      <w:vertAlign w:val="baseline"/>
                    </w:rPr>
                  </w:pPr>
                  <w:r>
                    <w:rPr>
                      <w:rFonts w:hint="eastAsia"/>
                      <w:b w:val="0"/>
                      <w:bCs w:val="0"/>
                      <w:color w:val="auto"/>
                      <w:kern w:val="0"/>
                      <w:sz w:val="18"/>
                      <w:szCs w:val="18"/>
                      <w:highlight w:val="none"/>
                      <w:vertAlign w:val="baseline"/>
                      <w:lang w:val="en-US" w:eastAsia="zh-CN"/>
                    </w:rPr>
                    <w:t>符合</w:t>
                  </w:r>
                </w:p>
              </w:tc>
            </w:tr>
          </w:tbl>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b/>
                <w:bCs/>
                <w:color w:val="auto"/>
                <w:kern w:val="0"/>
                <w:sz w:val="21"/>
                <w:szCs w:val="21"/>
                <w:highlight w:val="none"/>
                <w:vertAlign w:val="baseline"/>
              </w:rPr>
            </w:pP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eastAsia="宋体"/>
                <w:color w:val="auto"/>
                <w:kern w:val="0"/>
                <w:szCs w:val="21"/>
                <w:highlight w:val="none"/>
                <w:lang w:val="en-US" w:eastAsia="zh-CN"/>
              </w:rPr>
            </w:pPr>
            <w:r>
              <w:rPr>
                <w:rFonts w:hint="eastAsia"/>
                <w:color w:val="auto"/>
                <w:kern w:val="0"/>
                <w:szCs w:val="21"/>
                <w:highlight w:val="none"/>
                <w:lang w:val="en-US" w:eastAsia="zh-CN"/>
              </w:rPr>
              <w:t>因此，</w:t>
            </w:r>
            <w:r>
              <w:rPr>
                <w:rFonts w:hint="default" w:eastAsia="宋体"/>
                <w:color w:val="auto"/>
                <w:kern w:val="0"/>
                <w:szCs w:val="21"/>
                <w:highlight w:val="none"/>
                <w:lang w:val="en-US" w:eastAsia="zh-CN"/>
              </w:rPr>
              <w:t>本项目</w:t>
            </w:r>
            <w:r>
              <w:rPr>
                <w:rFonts w:hint="eastAsia" w:eastAsia="宋体"/>
                <w:color w:val="auto"/>
                <w:kern w:val="0"/>
                <w:szCs w:val="21"/>
                <w:highlight w:val="none"/>
                <w:lang w:val="en-US" w:eastAsia="zh-CN"/>
              </w:rPr>
              <w:t>符合</w:t>
            </w:r>
            <w:r>
              <w:rPr>
                <w:rFonts w:hint="default"/>
                <w:b w:val="0"/>
                <w:bCs w:val="0"/>
                <w:color w:val="auto"/>
                <w:sz w:val="21"/>
                <w:szCs w:val="21"/>
                <w:highlight w:val="none"/>
              </w:rPr>
              <w:t>《食品生产通用卫生规范》（GB14881-2013）</w:t>
            </w:r>
            <w:r>
              <w:rPr>
                <w:rFonts w:hint="default" w:eastAsia="宋体"/>
                <w:color w:val="auto"/>
                <w:kern w:val="0"/>
                <w:szCs w:val="21"/>
                <w:highlight w:val="none"/>
                <w:lang w:val="en-US" w:eastAsia="zh-CN"/>
              </w:rPr>
              <w:t>相关要求。</w:t>
            </w:r>
          </w:p>
          <w:p>
            <w:pPr>
              <w:pStyle w:val="30"/>
              <w:keepNext w:val="0"/>
              <w:keepLines w:val="0"/>
              <w:numPr>
                <w:ilvl w:val="0"/>
                <w:numId w:val="0"/>
              </w:numPr>
              <w:suppressLineNumbers w:val="0"/>
              <w:spacing w:before="0" w:beforeAutospacing="0" w:after="0" w:afterAutospacing="0" w:line="360" w:lineRule="auto"/>
              <w:ind w:left="0" w:right="0" w:firstLine="422" w:firstLineChars="200"/>
              <w:rPr>
                <w:rFonts w:hint="default" w:ascii="宋体" w:hAnsi="宋体" w:cs="宋体"/>
                <w:b/>
                <w:bCs/>
                <w:color w:val="auto"/>
                <w:highlight w:val="none"/>
              </w:rPr>
            </w:pPr>
            <w:r>
              <w:rPr>
                <w:rFonts w:hint="eastAsia" w:eastAsia="宋体"/>
                <w:b/>
                <w:bCs/>
                <w:color w:val="auto"/>
                <w:kern w:val="0"/>
                <w:szCs w:val="21"/>
                <w:highlight w:val="none"/>
                <w:lang w:val="en-US" w:eastAsia="zh-CN"/>
              </w:rPr>
              <w:t>5、</w:t>
            </w:r>
            <w:r>
              <w:rPr>
                <w:rFonts w:hint="eastAsia" w:ascii="宋体" w:hAnsi="宋体" w:cs="宋体"/>
                <w:b/>
                <w:bCs/>
                <w:color w:val="auto"/>
                <w:highlight w:val="none"/>
              </w:rPr>
              <w:t>与《冷库设计规范》（GB/T50072-2021）符合性分析</w:t>
            </w:r>
          </w:p>
          <w:p>
            <w:pPr>
              <w:pStyle w:val="31"/>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highlight w:val="none"/>
              </w:rPr>
            </w:pPr>
            <w:r>
              <w:rPr>
                <w:rFonts w:hint="eastAsia"/>
                <w:b/>
                <w:bCs/>
                <w:color w:val="auto"/>
                <w:sz w:val="21"/>
                <w:szCs w:val="21"/>
                <w:highlight w:val="none"/>
              </w:rPr>
              <w:t>表1-</w:t>
            </w:r>
            <w:r>
              <w:rPr>
                <w:rFonts w:hint="eastAsia"/>
                <w:b/>
                <w:bCs/>
                <w:color w:val="auto"/>
                <w:sz w:val="21"/>
                <w:szCs w:val="21"/>
                <w:highlight w:val="none"/>
                <w:lang w:val="en-US" w:eastAsia="zh-CN"/>
              </w:rPr>
              <w:t>4</w:t>
            </w:r>
            <w:r>
              <w:rPr>
                <w:rFonts w:hint="eastAsia"/>
                <w:b/>
                <w:bCs/>
                <w:color w:val="auto"/>
                <w:sz w:val="21"/>
                <w:szCs w:val="21"/>
                <w:highlight w:val="none"/>
              </w:rPr>
              <w:t xml:space="preserve"> 与《冷库设计规范》（GB/T50072-2021）符合性分析</w:t>
            </w:r>
          </w:p>
          <w:tbl>
            <w:tblPr>
              <w:tblStyle w:val="3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85"/>
              <w:gridCol w:w="40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suppressLineNumbers w:val="0"/>
                    <w:spacing w:before="0" w:beforeAutospacing="0" w:after="0" w:afterAutospacing="0"/>
                    <w:ind w:left="0" w:right="0" w:firstLine="18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选址要求</w:t>
                  </w:r>
                </w:p>
              </w:tc>
              <w:tc>
                <w:tcPr>
                  <w:tcW w:w="3804" w:type="dxa"/>
                  <w:vAlign w:val="center"/>
                </w:tcPr>
                <w:p>
                  <w:pPr>
                    <w:pStyle w:val="30"/>
                    <w:keepNext w:val="0"/>
                    <w:keepLines w:val="0"/>
                    <w:suppressLineNumbers w:val="0"/>
                    <w:spacing w:before="0" w:beforeAutospacing="0" w:after="0" w:afterAutospacing="0"/>
                    <w:ind w:left="0" w:right="0" w:firstLine="18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1、应符合当地总体规划的要求</w:t>
                  </w:r>
                </w:p>
              </w:tc>
              <w:tc>
                <w:tcPr>
                  <w:tcW w:w="3804" w:type="dxa"/>
                  <w:vAlign w:val="center"/>
                </w:tcPr>
                <w:p>
                  <w:pPr>
                    <w:pStyle w:val="30"/>
                    <w:keepNext w:val="0"/>
                    <w:keepLines w:val="0"/>
                    <w:suppressLineNumbers w:val="0"/>
                    <w:spacing w:before="0" w:beforeAutospacing="0" w:after="0" w:afterAutospacing="0"/>
                    <w:ind w:left="0" w:leftChars="0" w:right="0" w:firstLine="0" w:firstLineChars="0"/>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SA"/>
                    </w:rPr>
                    <w:t>关于双城经济开发区总体规划环境影响报告书的审查意见，黑环函【2013】271号</w:t>
                  </w:r>
                  <w:r>
                    <w:rPr>
                      <w:rFonts w:hint="default" w:ascii="Times New Roman" w:hAnsi="Times New Roman" w:cs="Times New Roman"/>
                      <w:color w:val="auto"/>
                      <w:sz w:val="18"/>
                      <w:szCs w:val="18"/>
                      <w:highlight w:val="none"/>
                    </w:rPr>
                    <w:t>，项目用地性质为</w:t>
                  </w:r>
                  <w:r>
                    <w:rPr>
                      <w:rFonts w:hint="default" w:ascii="Times New Roman" w:hAnsi="Times New Roman" w:cs="Times New Roman"/>
                      <w:color w:val="auto"/>
                      <w:sz w:val="18"/>
                      <w:szCs w:val="18"/>
                      <w:highlight w:val="none"/>
                      <w:lang w:val="en-US" w:eastAsia="zh-CN"/>
                    </w:rPr>
                    <w:t>工业</w:t>
                  </w:r>
                  <w:r>
                    <w:rPr>
                      <w:rFonts w:hint="default" w:ascii="Times New Roman" w:hAnsi="Times New Roman" w:cs="Times New Roman"/>
                      <w:color w:val="auto"/>
                      <w:sz w:val="18"/>
                      <w:szCs w:val="18"/>
                      <w:highlight w:val="none"/>
                    </w:rPr>
                    <w:t>用地，符合当地土地利用规划。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2、</w:t>
                  </w:r>
                  <w:r>
                    <w:rPr>
                      <w:rFonts w:hint="default" w:ascii="Times New Roman" w:hAnsi="Times New Roman" w:cs="Times New Roman"/>
                      <w:color w:val="auto"/>
                      <w:sz w:val="18"/>
                      <w:szCs w:val="18"/>
                      <w:highlight w:val="none"/>
                      <w:lang w:val="en-US" w:eastAsia="zh-CN"/>
                    </w:rPr>
                    <w:t>宜选择在城市规划的物流园区中，且应位于周围集中居住区夏季最大频率风向的下风向</w:t>
                  </w:r>
                </w:p>
              </w:tc>
              <w:tc>
                <w:tcPr>
                  <w:tcW w:w="3804" w:type="dxa"/>
                  <w:vAlign w:val="center"/>
                </w:tcPr>
                <w:p>
                  <w:pPr>
                    <w:pStyle w:val="30"/>
                    <w:keepNext w:val="0"/>
                    <w:keepLines w:val="0"/>
                    <w:suppressLineNumbers w:val="0"/>
                    <w:spacing w:before="0" w:beforeAutospacing="0" w:after="0" w:afterAutospacing="0"/>
                    <w:ind w:left="0" w:leftChars="0" w:right="0"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本项目冷库制冷剂采用R</w:t>
                  </w:r>
                  <w:r>
                    <w:rPr>
                      <w:rFonts w:hint="default" w:ascii="Times New Roman" w:hAnsi="Times New Roman" w:cs="Times New Roman"/>
                      <w:color w:val="auto"/>
                      <w:sz w:val="18"/>
                      <w:szCs w:val="18"/>
                      <w:highlight w:val="none"/>
                      <w:lang w:val="en-US" w:eastAsia="zh-CN"/>
                    </w:rPr>
                    <w:t>32</w:t>
                  </w:r>
                  <w:r>
                    <w:rPr>
                      <w:rFonts w:hint="default" w:ascii="Times New Roman" w:hAnsi="Times New Roman" w:cs="Times New Roman"/>
                      <w:color w:val="auto"/>
                      <w:sz w:val="18"/>
                      <w:szCs w:val="18"/>
                      <w:highlight w:val="none"/>
                    </w:rPr>
                    <w:t>环保制冷剂，冷库位于相邻集中居住区全年最大频率风向的下风侧。项目所在地主导风向夏季为西南风，本项目冷藏库位于厂区西侧，选址合理。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3、库址周围应有良好的卫生条件，且必须避开和远离有害气体、烟雾、粉尘及其它有污染源的地段</w:t>
                  </w:r>
                </w:p>
              </w:tc>
              <w:tc>
                <w:tcPr>
                  <w:tcW w:w="3804" w:type="dxa"/>
                  <w:vAlign w:val="center"/>
                </w:tcPr>
                <w:p>
                  <w:pPr>
                    <w:pStyle w:val="30"/>
                    <w:keepNext w:val="0"/>
                    <w:keepLines w:val="0"/>
                    <w:suppressLineNumbers w:val="0"/>
                    <w:spacing w:before="0" w:beforeAutospacing="0" w:after="0" w:afterAutospacing="0"/>
                    <w:ind w:left="0" w:leftChars="0" w:right="0"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val="en-US" w:eastAsia="zh-CN"/>
                    </w:rPr>
                    <w:t>本项目位于哈尔滨市双城经济开发区食品园区内，厂区北</w:t>
                  </w:r>
                  <w:r>
                    <w:rPr>
                      <w:rFonts w:hint="default" w:ascii="Times New Roman" w:hAnsi="Times New Roman" w:cs="Times New Roman"/>
                      <w:color w:val="auto"/>
                      <w:kern w:val="0"/>
                      <w:sz w:val="18"/>
                      <w:szCs w:val="18"/>
                      <w:highlight w:val="none"/>
                    </w:rPr>
                    <w:t>侧</w:t>
                  </w:r>
                  <w:r>
                    <w:rPr>
                      <w:rFonts w:hint="default" w:ascii="Times New Roman" w:hAnsi="Times New Roman" w:cs="Times New Roman"/>
                      <w:color w:val="auto"/>
                      <w:kern w:val="0"/>
                      <w:sz w:val="18"/>
                      <w:szCs w:val="18"/>
                      <w:highlight w:val="none"/>
                      <w:lang w:val="en-US" w:eastAsia="zh-CN"/>
                    </w:rPr>
                    <w:t>隔道为哈尔滨对鹿饮品有限公司，南侧及东侧为哈尔滨双城哇哈哈工业园，西侧隔路为双城瑞麦食品公司</w:t>
                  </w:r>
                  <w:r>
                    <w:rPr>
                      <w:rFonts w:hint="default" w:ascii="Times New Roman" w:hAnsi="Times New Roman" w:cs="Times New Roman"/>
                      <w:b w:val="0"/>
                      <w:bCs w:val="0"/>
                      <w:color w:val="auto"/>
                      <w:sz w:val="18"/>
                      <w:szCs w:val="18"/>
                      <w:highlight w:val="none"/>
                    </w:rPr>
                    <w:t>。</w:t>
                  </w:r>
                  <w:r>
                    <w:rPr>
                      <w:rFonts w:hint="default" w:ascii="Times New Roman" w:hAnsi="Times New Roman" w:cs="Times New Roman"/>
                      <w:color w:val="auto"/>
                      <w:sz w:val="18"/>
                      <w:szCs w:val="18"/>
                      <w:highlight w:val="none"/>
                    </w:rPr>
                    <w:t>对本项目无明显制约因素</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b w:val="0"/>
                      <w:bCs w:val="0"/>
                      <w:color w:val="auto"/>
                      <w:sz w:val="18"/>
                      <w:szCs w:val="18"/>
                      <w:highlight w:val="none"/>
                    </w:rPr>
                    <w:t>厂区不在对食品有显著污染的区域内</w:t>
                  </w:r>
                  <w:r>
                    <w:rPr>
                      <w:rFonts w:hint="default" w:ascii="Times New Roman" w:hAnsi="Times New Roman" w:cs="Times New Roman"/>
                      <w:color w:val="auto"/>
                      <w:sz w:val="18"/>
                      <w:szCs w:val="18"/>
                      <w:highlight w:val="none"/>
                    </w:rPr>
                    <w:t>项目</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四周无有害气体、烟雾、粉尘及其它污染源。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4、应结合物流流向和近远期发展因素等，选择在交通运输方便的区域</w:t>
                  </w:r>
                </w:p>
              </w:tc>
              <w:tc>
                <w:tcPr>
                  <w:tcW w:w="3804"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w:t>
                  </w:r>
                  <w:r>
                    <w:rPr>
                      <w:rFonts w:hint="default" w:ascii="Times New Roman" w:hAnsi="Times New Roman" w:cs="Times New Roman"/>
                      <w:color w:val="auto"/>
                      <w:sz w:val="18"/>
                      <w:szCs w:val="18"/>
                      <w:highlight w:val="none"/>
                      <w:lang w:val="en-US" w:eastAsia="zh-CN"/>
                    </w:rPr>
                    <w:t>北侧及西侧紧邻道路</w:t>
                  </w:r>
                  <w:r>
                    <w:rPr>
                      <w:rFonts w:hint="default" w:ascii="Times New Roman" w:hAnsi="Times New Roman" w:cs="Times New Roman"/>
                      <w:color w:val="auto"/>
                      <w:sz w:val="18"/>
                      <w:szCs w:val="18"/>
                      <w:highlight w:val="none"/>
                    </w:rPr>
                    <w:t>，选址交通运输较便利。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5、宜具备可靠的水源和电源以及排水条件</w:t>
                  </w:r>
                </w:p>
              </w:tc>
              <w:tc>
                <w:tcPr>
                  <w:tcW w:w="3804"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项目水源由城市供水管网提供；用电由当地电业局供给，项目所在位置已建设城市供水管网，项目建成投产后供水条件便利。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92"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6、应避开洪水和泥石流易发地段以及其他地质条件不良地段</w:t>
                  </w:r>
                </w:p>
              </w:tc>
              <w:tc>
                <w:tcPr>
                  <w:tcW w:w="3804"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项目位于平原地区，周围无山地、河流，无不良地质地段。</w:t>
                  </w:r>
                </w:p>
              </w:tc>
            </w:tr>
          </w:tbl>
          <w:p>
            <w:pPr>
              <w:pStyle w:val="30"/>
              <w:keepNext w:val="0"/>
              <w:keepLines w:val="0"/>
              <w:suppressLineNumbers w:val="0"/>
              <w:spacing w:before="0" w:beforeAutospacing="0" w:after="0" w:afterAutospacing="0" w:line="240" w:lineRule="auto"/>
              <w:ind w:left="0" w:right="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综上所述，项目选址符合《冷库设计规范》（GB/T50072-2021）中选址要求。</w:t>
            </w:r>
          </w:p>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360" w:lineRule="auto"/>
              <w:ind w:left="420" w:leftChars="200" w:right="0" w:rightChars="0"/>
              <w:contextualSpacing/>
              <w:jc w:val="left"/>
              <w:textAlignment w:val="auto"/>
              <w:rPr>
                <w:rFonts w:hint="eastAsia"/>
                <w:b/>
                <w:bCs/>
                <w:color w:val="auto"/>
                <w:sz w:val="21"/>
                <w:szCs w:val="21"/>
                <w:highlight w:val="yellow"/>
              </w:rPr>
            </w:pPr>
            <w:r>
              <w:rPr>
                <w:rFonts w:hint="eastAsia"/>
                <w:b/>
                <w:bCs/>
                <w:color w:val="auto"/>
                <w:sz w:val="21"/>
                <w:szCs w:val="21"/>
                <w:highlight w:val="none"/>
                <w:lang w:val="en-US" w:eastAsia="zh-CN"/>
              </w:rPr>
              <w:t>6、</w:t>
            </w:r>
            <w:r>
              <w:rPr>
                <w:rFonts w:hint="eastAsia"/>
                <w:b/>
                <w:bCs/>
                <w:color w:val="auto"/>
                <w:sz w:val="21"/>
                <w:szCs w:val="21"/>
                <w:highlight w:val="none"/>
              </w:rPr>
              <w:t>与《</w:t>
            </w:r>
            <w:r>
              <w:rPr>
                <w:rFonts w:hint="default"/>
                <w:b/>
                <w:bCs/>
                <w:color w:val="auto"/>
                <w:sz w:val="21"/>
                <w:szCs w:val="21"/>
                <w:highlight w:val="none"/>
              </w:rPr>
              <w:t>哈尔滨市大气环境质量限期达标规划（2020-2027）</w:t>
            </w:r>
            <w:r>
              <w:rPr>
                <w:rFonts w:hint="eastAsia"/>
                <w:b/>
                <w:bCs/>
                <w:color w:val="auto"/>
                <w:sz w:val="21"/>
                <w:szCs w:val="21"/>
                <w:highlight w:val="none"/>
              </w:rPr>
              <w:t>》符合性分析</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240" w:lineRule="auto"/>
              <w:ind w:left="0" w:right="0" w:rightChars="0"/>
              <w:contextualSpacing/>
              <w:jc w:val="center"/>
              <w:textAlignment w:val="auto"/>
              <w:rPr>
                <w:rFonts w:hint="eastAsia"/>
                <w:b/>
                <w:bCs/>
                <w:color w:val="auto"/>
                <w:sz w:val="21"/>
                <w:szCs w:val="21"/>
                <w:highlight w:val="none"/>
              </w:rPr>
            </w:pPr>
            <w:r>
              <w:rPr>
                <w:rFonts w:hint="eastAsia"/>
                <w:b/>
                <w:bCs/>
                <w:color w:val="auto"/>
                <w:sz w:val="21"/>
                <w:szCs w:val="21"/>
                <w:highlight w:val="none"/>
                <w:lang w:val="en-US" w:eastAsia="zh-CN"/>
              </w:rPr>
              <w:t>表1-5 本项目与</w:t>
            </w:r>
            <w:r>
              <w:rPr>
                <w:rFonts w:hint="eastAsia"/>
                <w:b/>
                <w:bCs/>
                <w:color w:val="auto"/>
                <w:sz w:val="21"/>
                <w:szCs w:val="21"/>
                <w:highlight w:val="none"/>
              </w:rPr>
              <w:t>《</w:t>
            </w:r>
            <w:r>
              <w:rPr>
                <w:rFonts w:hint="default"/>
                <w:b/>
                <w:bCs/>
                <w:color w:val="auto"/>
                <w:sz w:val="21"/>
                <w:szCs w:val="21"/>
                <w:highlight w:val="none"/>
              </w:rPr>
              <w:t>哈尔滨市大气环境质量限期达标规划（2020-2027）</w:t>
            </w:r>
            <w:r>
              <w:rPr>
                <w:rFonts w:hint="eastAsia"/>
                <w:b/>
                <w:bCs/>
                <w:color w:val="auto"/>
                <w:sz w:val="21"/>
                <w:szCs w:val="21"/>
                <w:highlight w:val="none"/>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240" w:lineRule="auto"/>
              <w:ind w:left="0" w:right="0" w:rightChars="0"/>
              <w:contextualSpacing/>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rPr>
              <w:t>符合性分析</w:t>
            </w:r>
          </w:p>
          <w:tbl>
            <w:tblPr>
              <w:tblStyle w:val="33"/>
              <w:tblW w:w="6804" w:type="dxa"/>
              <w:tblInd w:w="87"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96"/>
              <w:gridCol w:w="1949"/>
              <w:gridCol w:w="7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6" w:type="dxa"/>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default" w:eastAsia="宋体"/>
                      <w:b/>
                      <w:bCs/>
                      <w:color w:val="auto"/>
                      <w:sz w:val="18"/>
                      <w:szCs w:val="18"/>
                      <w:highlight w:val="none"/>
                      <w:vertAlign w:val="baseline"/>
                      <w:lang w:val="en-US" w:eastAsia="zh-CN"/>
                    </w:rPr>
                  </w:pPr>
                  <w:r>
                    <w:rPr>
                      <w:rFonts w:hint="eastAsia"/>
                      <w:b/>
                      <w:bCs/>
                      <w:color w:val="auto"/>
                      <w:sz w:val="18"/>
                      <w:szCs w:val="18"/>
                      <w:highlight w:val="none"/>
                      <w:vertAlign w:val="baseline"/>
                      <w:lang w:val="en-US" w:eastAsia="zh-CN"/>
                    </w:rPr>
                    <w:t>文件要求</w:t>
                  </w:r>
                </w:p>
              </w:tc>
              <w:tc>
                <w:tcPr>
                  <w:tcW w:w="1949" w:type="dxa"/>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eastAsia="宋体"/>
                      <w:b/>
                      <w:bCs/>
                      <w:color w:val="auto"/>
                      <w:sz w:val="18"/>
                      <w:szCs w:val="18"/>
                      <w:highlight w:val="none"/>
                      <w:vertAlign w:val="baseline"/>
                      <w:lang w:val="en-US" w:eastAsia="zh-CN"/>
                    </w:rPr>
                  </w:pPr>
                  <w:r>
                    <w:rPr>
                      <w:rFonts w:hint="eastAsia"/>
                      <w:b/>
                      <w:bCs/>
                      <w:color w:val="auto"/>
                      <w:sz w:val="18"/>
                      <w:szCs w:val="18"/>
                      <w:highlight w:val="none"/>
                      <w:vertAlign w:val="baseline"/>
                      <w:lang w:val="en-US" w:eastAsia="zh-CN"/>
                    </w:rPr>
                    <w:t>本项目情况</w:t>
                  </w:r>
                </w:p>
              </w:tc>
              <w:tc>
                <w:tcPr>
                  <w:tcW w:w="759" w:type="dxa"/>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eastAsia="宋体"/>
                      <w:b/>
                      <w:bCs/>
                      <w:color w:val="auto"/>
                      <w:sz w:val="18"/>
                      <w:szCs w:val="18"/>
                      <w:highlight w:val="none"/>
                      <w:vertAlign w:val="baseline"/>
                      <w:lang w:val="en-US" w:eastAsia="zh-CN"/>
                    </w:rPr>
                  </w:pPr>
                  <w:r>
                    <w:rPr>
                      <w:rFonts w:hint="eastAsia"/>
                      <w:b/>
                      <w:bCs/>
                      <w:color w:val="auto"/>
                      <w:sz w:val="18"/>
                      <w:szCs w:val="18"/>
                      <w:highlight w:val="none"/>
                      <w:vertAlign w:val="baseline"/>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6" w:type="dxa"/>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default" w:ascii="宋体" w:hAnsi="宋体" w:eastAsia="宋体" w:cs="宋体"/>
                      <w:color w:val="auto"/>
                      <w:sz w:val="18"/>
                      <w:szCs w:val="18"/>
                      <w:highlight w:val="none"/>
                      <w:lang w:val="en-US" w:eastAsia="zh-CN"/>
                    </w:rPr>
                  </w:pPr>
                  <w:r>
                    <w:rPr>
                      <w:rFonts w:hint="default" w:ascii="宋体" w:hAnsi="宋体" w:eastAsia="宋体" w:cs="宋体"/>
                      <w:color w:val="auto"/>
                      <w:sz w:val="18"/>
                      <w:szCs w:val="18"/>
                      <w:highlight w:val="none"/>
                    </w:rPr>
                    <w:t>推动能源清洁化发展。以碳达峰碳中和为契机，推动能源结构绿色低碳转型，推动非化石能源和天然气为能源消费增量主体。大力发展太阳能、风能、氢能、生物质能等清洁能源，有序发展抽水蓄能和新型储能规模化应用，坚持“增气减煤”同步，天然气供应优先保障居民生活和清洁取暖需求，增加清洁电力供给，提高电能占终端能源消费比重。</w:t>
                  </w:r>
                </w:p>
              </w:tc>
              <w:tc>
                <w:tcPr>
                  <w:tcW w:w="1949" w:type="dxa"/>
                  <w:vMerge w:val="restart"/>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default" w:eastAsia="宋体"/>
                      <w:b/>
                      <w:bCs/>
                      <w:color w:val="auto"/>
                      <w:sz w:val="18"/>
                      <w:szCs w:val="18"/>
                      <w:highlight w:val="none"/>
                      <w:vertAlign w:val="baseline"/>
                      <w:lang w:val="en-US" w:eastAsia="zh-CN"/>
                    </w:rPr>
                  </w:pPr>
                  <w:r>
                    <w:rPr>
                      <w:rFonts w:hint="eastAsia"/>
                      <w:color w:val="auto"/>
                      <w:sz w:val="18"/>
                      <w:szCs w:val="18"/>
                      <w:highlight w:val="none"/>
                    </w:rPr>
                    <w:t>本项目锅炉使用</w:t>
                  </w:r>
                  <w:r>
                    <w:rPr>
                      <w:rFonts w:hint="eastAsia" w:cs="Times New Roman"/>
                      <w:b w:val="0"/>
                      <w:bCs w:val="0"/>
                      <w:snapToGrid w:val="0"/>
                      <w:color w:val="auto"/>
                      <w:kern w:val="0"/>
                      <w:sz w:val="18"/>
                      <w:szCs w:val="18"/>
                      <w:highlight w:val="none"/>
                      <w:lang w:val="en-US" w:eastAsia="zh-CN"/>
                    </w:rPr>
                    <w:t>燃气</w:t>
                  </w:r>
                  <w:r>
                    <w:rPr>
                      <w:rFonts w:hint="eastAsia" w:ascii="宋体" w:hAnsi="宋体" w:cs="宋体"/>
                      <w:color w:val="auto"/>
                      <w:kern w:val="0"/>
                      <w:sz w:val="18"/>
                      <w:szCs w:val="18"/>
                      <w:highlight w:val="none"/>
                      <w:lang w:val="en-US" w:eastAsia="zh-CN"/>
                    </w:rPr>
                    <w:t>作为燃料</w:t>
                  </w:r>
                  <w:r>
                    <w:rPr>
                      <w:rFonts w:hint="eastAsia" w:ascii="宋体" w:hAnsi="宋体" w:cs="宋体"/>
                      <w:color w:val="auto"/>
                      <w:kern w:val="0"/>
                      <w:sz w:val="18"/>
                      <w:szCs w:val="18"/>
                      <w:highlight w:val="none"/>
                    </w:rPr>
                    <w:t>，不涉及燃煤燃料掺烧使用，配套高效</w:t>
                  </w:r>
                  <w:r>
                    <w:rPr>
                      <w:rFonts w:hint="eastAsia" w:ascii="宋体" w:hAnsi="宋体" w:cs="宋体"/>
                      <w:color w:val="auto"/>
                      <w:kern w:val="0"/>
                      <w:sz w:val="18"/>
                      <w:szCs w:val="18"/>
                      <w:highlight w:val="none"/>
                      <w:lang w:val="en-US" w:eastAsia="zh-CN"/>
                    </w:rPr>
                    <w:t>低氮燃烧</w:t>
                  </w:r>
                  <w:r>
                    <w:rPr>
                      <w:rFonts w:hint="eastAsia" w:ascii="宋体" w:hAnsi="宋体" w:cs="宋体"/>
                      <w:color w:val="auto"/>
                      <w:kern w:val="0"/>
                      <w:sz w:val="18"/>
                      <w:szCs w:val="18"/>
                      <w:highlight w:val="none"/>
                    </w:rPr>
                    <w:t>器后</w:t>
                  </w:r>
                  <w:r>
                    <w:rPr>
                      <w:rFonts w:hint="eastAsia" w:ascii="宋体" w:hAnsi="宋体" w:cs="宋体"/>
                      <w:color w:val="auto"/>
                      <w:kern w:val="0"/>
                      <w:sz w:val="18"/>
                      <w:szCs w:val="18"/>
                      <w:highlight w:val="none"/>
                      <w:lang w:eastAsia="zh-CN"/>
                    </w:rPr>
                    <w:t>，</w:t>
                  </w:r>
                  <w:r>
                    <w:rPr>
                      <w:rFonts w:hint="eastAsia" w:ascii="宋体" w:hAnsi="宋体" w:cs="宋体"/>
                      <w:color w:val="auto"/>
                      <w:kern w:val="0"/>
                      <w:sz w:val="18"/>
                      <w:szCs w:val="18"/>
                      <w:highlight w:val="none"/>
                    </w:rPr>
                    <w:t>确保污染物稳定达标排放</w:t>
                  </w:r>
                  <w:r>
                    <w:rPr>
                      <w:rFonts w:hint="eastAsia" w:ascii="宋体" w:hAnsi="宋体" w:cs="宋体"/>
                      <w:color w:val="auto"/>
                      <w:kern w:val="0"/>
                      <w:sz w:val="18"/>
                      <w:szCs w:val="18"/>
                      <w:highlight w:val="none"/>
                      <w:lang w:eastAsia="zh-CN"/>
                    </w:rPr>
                    <w:t>，</w:t>
                  </w:r>
                  <w:r>
                    <w:rPr>
                      <w:rFonts w:hint="eastAsia" w:ascii="宋体" w:hAnsi="宋体" w:cs="宋体"/>
                      <w:color w:val="auto"/>
                      <w:kern w:val="0"/>
                      <w:sz w:val="18"/>
                      <w:szCs w:val="18"/>
                      <w:highlight w:val="none"/>
                      <w:lang w:val="en-US" w:eastAsia="zh-CN"/>
                    </w:rPr>
                    <w:t>此技术可行。</w:t>
                  </w:r>
                </w:p>
              </w:tc>
              <w:tc>
                <w:tcPr>
                  <w:tcW w:w="759" w:type="dxa"/>
                  <w:vMerge w:val="restart"/>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eastAsia="宋体"/>
                      <w:b/>
                      <w:bCs/>
                      <w:color w:val="auto"/>
                      <w:sz w:val="18"/>
                      <w:szCs w:val="18"/>
                      <w:highlight w:val="none"/>
                      <w:vertAlign w:val="baseline"/>
                      <w:lang w:val="en-US" w:eastAsia="zh-CN"/>
                    </w:rPr>
                  </w:pPr>
                  <w:r>
                    <w:rPr>
                      <w:rFonts w:hint="eastAsia"/>
                      <w:b w:val="0"/>
                      <w:bCs w:val="0"/>
                      <w:color w:val="auto"/>
                      <w:sz w:val="18"/>
                      <w:szCs w:val="18"/>
                      <w:highlight w:val="none"/>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6" w:type="dxa"/>
                  <w:vAlign w:val="center"/>
                </w:tcPr>
                <w:p>
                  <w:pPr>
                    <w:pStyle w:val="140"/>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18"/>
                      <w:szCs w:val="18"/>
                      <w:highlight w:val="none"/>
                    </w:rPr>
                  </w:pPr>
                  <w:r>
                    <w:rPr>
                      <w:rFonts w:hint="eastAsia"/>
                      <w:color w:val="auto"/>
                      <w:sz w:val="18"/>
                      <w:szCs w:val="18"/>
                      <w:highlight w:val="none"/>
                    </w:rPr>
                    <w:t>严格控制煤炭消费总量。以大气环境质量改善和CO。排放控制为重要导向，推进煤炭消费尽快达峰、煤炭消费结构进一步优化，煤炭占一次能源消耗的比重呈逐年下降趋势。坚持节能优先的能源发展战略，加强能源消费总量和强度双控，严控新增耗煤项目，实施新改扩建项目煤炭减量替代，重点削减非电力用煤，探索建立将新增可再生能源消费量纳入能源消费强度和总量考核抵扣机制。统筹煤电发展和保供调峰，严控煤电装机规模，加快现役煤电机组节能升级和灵活性改造，加快供热管网建设，充分释放和提高供热能力。</w:t>
                  </w:r>
                </w:p>
              </w:tc>
              <w:tc>
                <w:tcPr>
                  <w:tcW w:w="1949" w:type="dxa"/>
                  <w:vMerge w:val="continue"/>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b/>
                      <w:bCs/>
                      <w:color w:val="auto"/>
                      <w:sz w:val="18"/>
                      <w:szCs w:val="18"/>
                      <w:highlight w:val="none"/>
                      <w:vertAlign w:val="baseline"/>
                    </w:rPr>
                  </w:pPr>
                </w:p>
              </w:tc>
              <w:tc>
                <w:tcPr>
                  <w:tcW w:w="759" w:type="dxa"/>
                  <w:vMerge w:val="continue"/>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b/>
                      <w:bCs/>
                      <w:color w:val="auto"/>
                      <w:sz w:val="18"/>
                      <w:szCs w:val="18"/>
                      <w:highlight w:val="none"/>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6" w:type="dxa"/>
                  <w:vAlign w:val="center"/>
                </w:tcPr>
                <w:p>
                  <w:pPr>
                    <w:pStyle w:val="140"/>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18"/>
                      <w:szCs w:val="18"/>
                      <w:highlight w:val="none"/>
                    </w:rPr>
                  </w:pPr>
                  <w:r>
                    <w:rPr>
                      <w:rFonts w:hint="eastAsia"/>
                      <w:color w:val="auto"/>
                      <w:sz w:val="18"/>
                      <w:szCs w:val="18"/>
                      <w:highlight w:val="none"/>
                    </w:rPr>
                    <w:t>深化燃煤设施污染治理。在保证电力、热力、燃气等供应前提下，全市原则上不再新建35蒸吨/小时以下的燃煤锅炉，市区建成区不再新建65蒸吨/小时以下的燃煤锅炉</w:t>
                  </w:r>
                </w:p>
              </w:tc>
              <w:tc>
                <w:tcPr>
                  <w:tcW w:w="1949" w:type="dxa"/>
                  <w:vMerge w:val="continue"/>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b/>
                      <w:bCs/>
                      <w:color w:val="auto"/>
                      <w:sz w:val="18"/>
                      <w:szCs w:val="18"/>
                      <w:highlight w:val="none"/>
                      <w:vertAlign w:val="baseline"/>
                    </w:rPr>
                  </w:pPr>
                </w:p>
              </w:tc>
              <w:tc>
                <w:tcPr>
                  <w:tcW w:w="759" w:type="dxa"/>
                  <w:vMerge w:val="continue"/>
                  <w:vAlign w:val="center"/>
                </w:tcPr>
                <w:p>
                  <w:pPr>
                    <w:keepNext w:val="0"/>
                    <w:keepLines w:val="0"/>
                    <w:pageBreakBefore w:val="0"/>
                    <w:numPr>
                      <w:ilvl w:val="0"/>
                      <w:numId w:val="0"/>
                    </w:numPr>
                    <w:suppressLineNumbers w:val="0"/>
                    <w:kinsoku/>
                    <w:wordWrap/>
                    <w:overflowPunct/>
                    <w:topLinePunct w:val="0"/>
                    <w:autoSpaceDE w:val="0"/>
                    <w:autoSpaceDN w:val="0"/>
                    <w:bidi w:val="0"/>
                    <w:adjustRightInd/>
                    <w:spacing w:before="0" w:beforeAutospacing="0" w:after="0" w:afterAutospacing="0" w:line="240" w:lineRule="auto"/>
                    <w:ind w:left="0" w:right="0" w:rightChars="0"/>
                    <w:contextualSpacing/>
                    <w:jc w:val="center"/>
                    <w:textAlignment w:val="auto"/>
                    <w:rPr>
                      <w:rFonts w:hint="eastAsia"/>
                      <w:b/>
                      <w:bCs/>
                      <w:color w:val="auto"/>
                      <w:sz w:val="18"/>
                      <w:szCs w:val="18"/>
                      <w:highlight w:val="none"/>
                      <w:vertAlign w:val="baseline"/>
                    </w:rPr>
                  </w:pPr>
                </w:p>
              </w:tc>
            </w:tr>
          </w:tbl>
          <w:p>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240" w:lineRule="auto"/>
              <w:ind w:left="0" w:right="0"/>
              <w:contextualSpacing/>
              <w:jc w:val="left"/>
              <w:textAlignment w:val="auto"/>
              <w:rPr>
                <w:rFonts w:hint="eastAsia"/>
                <w:b/>
                <w:color w:val="auto"/>
                <w:kern w:val="0"/>
                <w:sz w:val="21"/>
                <w:szCs w:val="21"/>
                <w:highlight w:val="none"/>
                <w:lang w:val="en-US" w:eastAsia="zh-CN"/>
              </w:rPr>
            </w:pP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default" w:eastAsia="宋体"/>
                <w:color w:val="auto"/>
                <w:kern w:val="0"/>
                <w:szCs w:val="21"/>
                <w:highlight w:val="none"/>
                <w:lang w:val="en-US" w:eastAsia="zh-CN"/>
              </w:rPr>
            </w:pPr>
            <w:r>
              <w:rPr>
                <w:rFonts w:hint="default" w:eastAsia="宋体"/>
                <w:color w:val="auto"/>
                <w:kern w:val="0"/>
                <w:szCs w:val="21"/>
                <w:highlight w:val="none"/>
                <w:lang w:val="en-US" w:eastAsia="zh-CN"/>
              </w:rPr>
              <w:t>本项目</w:t>
            </w:r>
            <w:r>
              <w:rPr>
                <w:rFonts w:hint="eastAsia" w:eastAsia="宋体"/>
                <w:color w:val="auto"/>
                <w:kern w:val="0"/>
                <w:szCs w:val="21"/>
                <w:highlight w:val="none"/>
                <w:lang w:val="en-US" w:eastAsia="zh-CN"/>
              </w:rPr>
              <w:t>符合</w:t>
            </w:r>
            <w:r>
              <w:rPr>
                <w:rFonts w:hint="eastAsia"/>
                <w:b w:val="0"/>
                <w:bCs w:val="0"/>
                <w:color w:val="auto"/>
                <w:sz w:val="21"/>
                <w:szCs w:val="21"/>
                <w:highlight w:val="none"/>
              </w:rPr>
              <w:t>《</w:t>
            </w:r>
            <w:r>
              <w:rPr>
                <w:rFonts w:hint="default"/>
                <w:b w:val="0"/>
                <w:bCs w:val="0"/>
                <w:color w:val="auto"/>
                <w:sz w:val="21"/>
                <w:szCs w:val="21"/>
                <w:highlight w:val="none"/>
              </w:rPr>
              <w:t>哈尔滨市大气环境质量限期达标规划（2020-2027）</w:t>
            </w:r>
            <w:r>
              <w:rPr>
                <w:rFonts w:hint="eastAsia"/>
                <w:b w:val="0"/>
                <w:bCs w:val="0"/>
                <w:color w:val="auto"/>
                <w:sz w:val="21"/>
                <w:szCs w:val="21"/>
                <w:highlight w:val="none"/>
              </w:rPr>
              <w:t>》</w:t>
            </w:r>
            <w:r>
              <w:rPr>
                <w:rFonts w:hint="default" w:eastAsia="宋体"/>
                <w:color w:val="auto"/>
                <w:kern w:val="0"/>
                <w:szCs w:val="21"/>
                <w:highlight w:val="none"/>
                <w:lang w:val="en-US" w:eastAsia="zh-CN"/>
              </w:rPr>
              <w:t>相关规定和要求。</w:t>
            </w:r>
          </w:p>
          <w:p>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contextualSpacing/>
              <w:jc w:val="left"/>
              <w:textAlignment w:val="auto"/>
              <w:rPr>
                <w:rFonts w:hint="default"/>
                <w:b/>
                <w:color w:val="auto"/>
                <w:kern w:val="0"/>
                <w:sz w:val="21"/>
                <w:szCs w:val="21"/>
                <w:highlight w:val="none"/>
              </w:rPr>
            </w:pPr>
            <w:r>
              <w:rPr>
                <w:rFonts w:hint="eastAsia"/>
                <w:b/>
                <w:color w:val="auto"/>
                <w:kern w:val="0"/>
                <w:sz w:val="21"/>
                <w:szCs w:val="21"/>
                <w:highlight w:val="none"/>
                <w:lang w:val="en-US" w:eastAsia="zh-CN"/>
              </w:rPr>
              <w:t>7</w:t>
            </w:r>
            <w:r>
              <w:rPr>
                <w:rFonts w:hint="eastAsia"/>
                <w:b/>
                <w:color w:val="auto"/>
                <w:kern w:val="0"/>
                <w:sz w:val="21"/>
                <w:szCs w:val="21"/>
                <w:highlight w:val="none"/>
              </w:rPr>
              <w:t>、与《哈尔滨市空气质量改善三年行动计划（2022-2024年）》符合性分析</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ascii="宋体" w:hAnsi="宋体" w:cs="宋体"/>
                <w:color w:val="auto"/>
                <w:kern w:val="0"/>
                <w:highlight w:val="none"/>
              </w:rPr>
            </w:pPr>
            <w:r>
              <w:rPr>
                <w:rFonts w:hint="eastAsia" w:ascii="宋体" w:hAnsi="宋体" w:cs="宋体"/>
                <w:color w:val="auto"/>
                <w:kern w:val="0"/>
                <w:highlight w:val="none"/>
              </w:rPr>
              <w:t>根据《哈尔滨市空气质量改善三年行动计划</w:t>
            </w:r>
            <w:r>
              <w:rPr>
                <w:rFonts w:hint="default"/>
                <w:color w:val="auto"/>
                <w:kern w:val="0"/>
                <w:highlight w:val="none"/>
              </w:rPr>
              <w:t>（2022-2024年）</w:t>
            </w:r>
            <w:r>
              <w:rPr>
                <w:rFonts w:hint="eastAsia" w:ascii="宋体" w:hAnsi="宋体" w:cs="宋体"/>
                <w:color w:val="auto"/>
                <w:kern w:val="0"/>
                <w:highlight w:val="none"/>
              </w:rPr>
              <w:t>》中“重点工作任务，深化锅炉污染治理”：“在保证电力、热力、天然气、生物质等供应前提下，原则上不再新建</w:t>
            </w:r>
            <w:r>
              <w:rPr>
                <w:rFonts w:hint="default"/>
                <w:color w:val="auto"/>
                <w:kern w:val="0"/>
                <w:highlight w:val="none"/>
              </w:rPr>
              <w:t>35</w:t>
            </w:r>
            <w:r>
              <w:rPr>
                <w:rFonts w:hint="eastAsia" w:ascii="宋体" w:hAnsi="宋体" w:cs="宋体"/>
                <w:color w:val="auto"/>
                <w:kern w:val="0"/>
                <w:highlight w:val="none"/>
              </w:rPr>
              <w:t>蒸吨/小时以下的燃煤锅炉，</w:t>
            </w:r>
            <w:r>
              <w:rPr>
                <w:rFonts w:hint="default"/>
                <w:color w:val="auto"/>
                <w:kern w:val="0"/>
                <w:highlight w:val="none"/>
              </w:rPr>
              <w:t>9</w:t>
            </w:r>
            <w:r>
              <w:rPr>
                <w:rFonts w:hint="eastAsia" w:ascii="宋体" w:hAnsi="宋体" w:cs="宋体"/>
                <w:color w:val="auto"/>
                <w:kern w:val="0"/>
                <w:highlight w:val="none"/>
              </w:rPr>
              <w:t>区建成区不再新建</w:t>
            </w:r>
            <w:r>
              <w:rPr>
                <w:rFonts w:hint="default"/>
                <w:color w:val="auto"/>
                <w:kern w:val="0"/>
                <w:highlight w:val="none"/>
              </w:rPr>
              <w:t>65</w:t>
            </w:r>
            <w:r>
              <w:rPr>
                <w:rFonts w:hint="eastAsia" w:ascii="宋体" w:hAnsi="宋体" w:cs="宋体"/>
                <w:color w:val="auto"/>
                <w:kern w:val="0"/>
                <w:highlight w:val="none"/>
              </w:rPr>
              <w:t>蒸吨/小时以下的燃煤锅炉，现有分散燃煤锅炉应优先采取集中供热或清洁能源代替改造。”</w:t>
            </w:r>
          </w:p>
          <w:p>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color w:val="auto"/>
                <w:kern w:val="0"/>
                <w:sz w:val="21"/>
                <w:szCs w:val="21"/>
                <w:highlight w:val="none"/>
              </w:rPr>
            </w:pPr>
            <w:r>
              <w:rPr>
                <w:rFonts w:hint="eastAsia" w:ascii="宋体" w:hAnsi="宋体" w:cs="宋体"/>
                <w:color w:val="auto"/>
                <w:kern w:val="0"/>
                <w:highlight w:val="none"/>
              </w:rPr>
              <w:t>本项目的锅炉为</w:t>
            </w:r>
            <w:r>
              <w:rPr>
                <w:rFonts w:hint="eastAsia" w:ascii="宋体" w:hAnsi="宋体" w:cs="宋体"/>
                <w:color w:val="auto"/>
                <w:kern w:val="0"/>
                <w:highlight w:val="none"/>
                <w:lang w:val="en-US" w:eastAsia="zh-CN"/>
              </w:rPr>
              <w:t>燃气锅炉，</w:t>
            </w:r>
            <w:r>
              <w:rPr>
                <w:rFonts w:hint="eastAsia" w:ascii="宋体" w:hAnsi="宋体" w:cs="宋体"/>
                <w:color w:val="auto"/>
                <w:kern w:val="0"/>
                <w:highlight w:val="none"/>
              </w:rPr>
              <w:t>不属于燃煤锅炉。</w:t>
            </w:r>
            <w:r>
              <w:rPr>
                <w:rFonts w:hint="eastAsia" w:ascii="宋体" w:hAnsi="宋体" w:cs="宋体"/>
                <w:color w:val="auto"/>
                <w:kern w:val="0"/>
                <w:highlight w:val="none"/>
                <w:lang w:val="en-US" w:eastAsia="zh-CN"/>
              </w:rPr>
              <w:t>锅炉</w:t>
            </w:r>
            <w:r>
              <w:rPr>
                <w:rFonts w:hint="eastAsia" w:ascii="宋体" w:hAnsi="宋体" w:cs="宋体"/>
                <w:color w:val="auto"/>
                <w:kern w:val="0"/>
                <w:highlight w:val="none"/>
              </w:rPr>
              <w:t>排放主要污染物为锅炉烟气，本项目配套</w:t>
            </w:r>
            <w:r>
              <w:rPr>
                <w:rFonts w:hint="eastAsia" w:ascii="宋体" w:hAnsi="宋体" w:cs="宋体"/>
                <w:color w:val="auto"/>
                <w:kern w:val="0"/>
                <w:highlight w:val="none"/>
                <w:lang w:val="en-US" w:eastAsia="zh-CN"/>
              </w:rPr>
              <w:t>低氮燃烧</w:t>
            </w:r>
            <w:r>
              <w:rPr>
                <w:rFonts w:hint="eastAsia" w:ascii="宋体" w:hAnsi="宋体" w:cs="宋体"/>
                <w:color w:val="auto"/>
                <w:kern w:val="0"/>
                <w:highlight w:val="none"/>
              </w:rPr>
              <w:t>器，对烟气进行处理后可达标排放，对大气环境影响较小。因此项目建设符合《哈尔滨市空气质量改善三年行动计划（</w:t>
            </w:r>
            <w:r>
              <w:rPr>
                <w:rFonts w:hint="default"/>
                <w:color w:val="auto"/>
                <w:kern w:val="0"/>
                <w:highlight w:val="none"/>
              </w:rPr>
              <w:t>2022-2024</w:t>
            </w:r>
            <w:r>
              <w:rPr>
                <w:rFonts w:hint="eastAsia" w:ascii="宋体" w:hAnsi="宋体" w:cs="宋体"/>
                <w:color w:val="auto"/>
                <w:kern w:val="0"/>
                <w:highlight w:val="none"/>
              </w:rPr>
              <w:t>年）》中要求。</w:t>
            </w:r>
          </w:p>
          <w:p>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contextualSpacing/>
              <w:jc w:val="left"/>
              <w:textAlignment w:val="auto"/>
              <w:rPr>
                <w:rFonts w:hint="default"/>
                <w:b/>
                <w:color w:val="auto"/>
                <w:kern w:val="0"/>
                <w:sz w:val="21"/>
                <w:szCs w:val="21"/>
                <w:highlight w:val="none"/>
              </w:rPr>
            </w:pPr>
            <w:r>
              <w:rPr>
                <w:rFonts w:hint="eastAsia"/>
                <w:b/>
                <w:color w:val="auto"/>
                <w:kern w:val="0"/>
                <w:sz w:val="21"/>
                <w:szCs w:val="21"/>
                <w:highlight w:val="none"/>
                <w:lang w:val="en-US" w:eastAsia="zh-CN"/>
              </w:rPr>
              <w:t>8</w:t>
            </w:r>
            <w:r>
              <w:rPr>
                <w:rFonts w:hint="eastAsia"/>
                <w:b/>
                <w:color w:val="auto"/>
                <w:kern w:val="0"/>
                <w:sz w:val="21"/>
                <w:szCs w:val="21"/>
                <w:highlight w:val="none"/>
              </w:rPr>
              <w:t>、与</w:t>
            </w:r>
            <w:r>
              <w:rPr>
                <w:rFonts w:hint="default" w:ascii="Times New Roman" w:hAnsi="Times New Roman" w:cs="Times New Roman" w:eastAsiaTheme="minorEastAsia"/>
                <w:b/>
                <w:bCs/>
                <w:color w:val="auto"/>
                <w:sz w:val="21"/>
                <w:szCs w:val="21"/>
                <w:lang w:val="en-US" w:eastAsia="zh-CN"/>
              </w:rPr>
              <w:t>《工业炉窑大气污染综合治理方案》</w:t>
            </w:r>
            <w:r>
              <w:rPr>
                <w:rFonts w:hint="eastAsia"/>
                <w:b/>
                <w:color w:val="auto"/>
                <w:kern w:val="0"/>
                <w:sz w:val="21"/>
                <w:szCs w:val="21"/>
                <w:highlight w:val="none"/>
              </w:rPr>
              <w:t>符合性分析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highlight w:val="none"/>
                <w:lang w:val="en-US" w:eastAsia="zh-CN"/>
              </w:rPr>
              <w:t>根据</w:t>
            </w:r>
            <w:r>
              <w:rPr>
                <w:rFonts w:hint="default" w:ascii="Times New Roman" w:hAnsi="Times New Roman" w:cs="Times New Roman" w:eastAsiaTheme="minorEastAsia"/>
                <w:color w:val="auto"/>
                <w:sz w:val="21"/>
                <w:szCs w:val="21"/>
                <w:lang w:val="en-US" w:eastAsia="zh-CN"/>
              </w:rPr>
              <w:t>《工业炉窑大气污染综合治理方案》</w:t>
            </w:r>
            <w:r>
              <w:rPr>
                <w:rFonts w:hint="eastAsia" w:ascii="Times New Roman" w:hAnsi="Times New Roman" w:cs="Times New Roman" w:eastAsiaTheme="minorEastAsia"/>
                <w:color w:val="auto"/>
                <w:sz w:val="21"/>
                <w:szCs w:val="21"/>
                <w:lang w:val="en-US" w:eastAsia="zh-CN"/>
              </w:rPr>
              <w:t>中“</w:t>
            </w:r>
            <w:r>
              <w:rPr>
                <w:rFonts w:hint="default" w:ascii="Times New Roman" w:hAnsi="Times New Roman" w:eastAsia="宋体" w:cs="Times New Roman"/>
                <w:color w:val="auto"/>
                <w:kern w:val="0"/>
                <w:sz w:val="21"/>
                <w:szCs w:val="21"/>
                <w:highlight w:val="none"/>
                <w:lang w:val="en-US" w:eastAsia="zh-CN"/>
              </w:rPr>
              <w:t>重点任务</w:t>
            </w:r>
            <w:r>
              <w:rPr>
                <w:rFonts w:hint="eastAsia" w:ascii="Times New Roman" w:hAnsi="Times New Roman" w:eastAsia="宋体" w:cs="Times New Roman"/>
                <w:color w:val="auto"/>
                <w:kern w:val="0"/>
                <w:sz w:val="21"/>
                <w:szCs w:val="21"/>
                <w:highlight w:val="none"/>
                <w:lang w:val="en-US" w:eastAsia="zh-CN"/>
              </w:rPr>
              <w:t>中</w:t>
            </w:r>
            <w:r>
              <w:rPr>
                <w:rFonts w:hint="default" w:ascii="Times New Roman" w:hAnsi="Times New Roman" w:eastAsia="宋体" w:cs="Times New Roman"/>
                <w:color w:val="auto"/>
                <w:kern w:val="0"/>
                <w:sz w:val="21"/>
                <w:szCs w:val="21"/>
                <w:lang w:val="en-US" w:eastAsia="zh-CN" w:bidi="ar"/>
              </w:rPr>
              <w:t>（一）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二）加快燃料清洁低碳化替代。对以煤、石油焦、渣油、重油等为燃料的工业炉窑，加快使用清洁低碳能源以及利用工厂余热、电厂热力等进行替代。重点区域禁止掺烧高硫石油焦（硫含量大于3%）。玻璃行业全面禁止掺烧高硫石油焦。（三）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r>
              <w:rPr>
                <w:rFonts w:hint="eastAsia" w:ascii="Times New Roman" w:hAnsi="Times New Roman" w:eastAsia="宋体" w:cs="Times New Roman"/>
                <w:color w:val="auto"/>
                <w:kern w:val="0"/>
                <w:sz w:val="21"/>
                <w:szCs w:val="21"/>
                <w:lang w:val="en-US" w:eastAsia="zh-CN" w:bidi="ar"/>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color w:val="auto"/>
                <w:kern w:val="0"/>
                <w:highlight w:val="none"/>
              </w:rPr>
            </w:pPr>
            <w:r>
              <w:rPr>
                <w:rFonts w:hint="eastAsia" w:ascii="Times New Roman" w:hAnsi="Times New Roman" w:eastAsia="宋体" w:cs="Times New Roman"/>
                <w:color w:val="auto"/>
                <w:kern w:val="0"/>
                <w:sz w:val="21"/>
                <w:szCs w:val="21"/>
                <w:lang w:val="en-US" w:eastAsia="zh-CN" w:bidi="ar"/>
              </w:rPr>
              <w:t>本项目为</w:t>
            </w:r>
            <w:r>
              <w:rPr>
                <w:rFonts w:hint="eastAsia" w:cs="Times New Roman"/>
                <w:color w:val="auto"/>
                <w:kern w:val="21"/>
                <w:szCs w:val="21"/>
                <w:highlight w:val="none"/>
                <w:lang w:val="en-US" w:eastAsia="zh-CN"/>
              </w:rPr>
              <w:t>黑龙江省哈松滨食品有限公司肉灌制品及卤肉制品生产建设项目，项目</w:t>
            </w:r>
            <w:r>
              <w:rPr>
                <w:rFonts w:hint="eastAsia" w:ascii="Times New Roman" w:hAnsi="Times New Roman" w:eastAsia="宋体" w:cs="Times New Roman"/>
                <w:color w:val="auto"/>
                <w:kern w:val="0"/>
                <w:sz w:val="21"/>
                <w:szCs w:val="21"/>
                <w:lang w:val="en-US" w:eastAsia="zh-CN" w:bidi="ar"/>
              </w:rPr>
              <w:t>涉及的工业炉窑为烟熏烤制过程使用的烟熏炉，项目位于</w:t>
            </w:r>
            <w:r>
              <w:rPr>
                <w:rFonts w:hint="eastAsia" w:cs="Times New Roman" w:eastAsiaTheme="minorEastAsia"/>
                <w:color w:val="auto"/>
                <w:szCs w:val="21"/>
                <w:highlight w:val="none"/>
                <w:lang w:val="en-US" w:eastAsia="zh-CN"/>
              </w:rPr>
              <w:t>黑龙江省</w:t>
            </w:r>
            <w:r>
              <w:rPr>
                <w:rFonts w:hint="default" w:ascii="Times New Roman" w:hAnsi="Times New Roman" w:cs="Times New Roman" w:eastAsiaTheme="minorEastAsia"/>
                <w:color w:val="auto"/>
                <w:szCs w:val="21"/>
                <w:highlight w:val="none"/>
              </w:rPr>
              <w:t>哈尔滨市</w:t>
            </w:r>
            <w:r>
              <w:rPr>
                <w:rFonts w:hint="eastAsia" w:cs="Times New Roman" w:eastAsiaTheme="minorEastAsia"/>
                <w:color w:val="auto"/>
                <w:szCs w:val="21"/>
                <w:highlight w:val="none"/>
                <w:lang w:val="en-US" w:eastAsia="zh-CN"/>
              </w:rPr>
              <w:t>双城经济开发区食品园区内，符合园区企业准入要求，本项目生产</w:t>
            </w:r>
            <w:r>
              <w:rPr>
                <w:rFonts w:hint="eastAsia" w:cs="Times New Roman"/>
                <w:color w:val="auto"/>
                <w:kern w:val="21"/>
                <w:sz w:val="21"/>
                <w:szCs w:val="21"/>
                <w:highlight w:val="none"/>
                <w:lang w:val="en-US" w:eastAsia="zh-CN"/>
              </w:rPr>
              <w:t>红肠、儿童肠、松仁烤肠及酱卤制品，不涉及</w:t>
            </w:r>
            <w:r>
              <w:rPr>
                <w:rFonts w:hint="default" w:ascii="Times New Roman" w:hAnsi="Times New Roman" w:eastAsia="宋体" w:cs="Times New Roman"/>
                <w:color w:val="auto"/>
                <w:kern w:val="0"/>
                <w:sz w:val="21"/>
                <w:szCs w:val="21"/>
                <w:lang w:val="en-US" w:eastAsia="zh-CN" w:bidi="ar"/>
              </w:rPr>
              <w:t>钢铁、焦化、电解铝、铸造、水泥和平板玻璃等产能</w:t>
            </w:r>
            <w:r>
              <w:rPr>
                <w:rFonts w:hint="eastAsia" w:ascii="Times New Roman" w:hAnsi="Times New Roman" w:eastAsia="宋体" w:cs="Times New Roman"/>
                <w:color w:val="auto"/>
                <w:kern w:val="0"/>
                <w:sz w:val="21"/>
                <w:szCs w:val="21"/>
                <w:lang w:val="en-US" w:eastAsia="zh-CN" w:bidi="ar"/>
              </w:rPr>
              <w:t>，烟熏炉所用燃料为果木粒及木头，不涉及</w:t>
            </w:r>
            <w:r>
              <w:rPr>
                <w:rFonts w:hint="default" w:ascii="Times New Roman" w:hAnsi="Times New Roman" w:eastAsia="宋体" w:cs="Times New Roman"/>
                <w:color w:val="auto"/>
                <w:kern w:val="0"/>
                <w:sz w:val="21"/>
                <w:szCs w:val="21"/>
                <w:lang w:val="en-US" w:eastAsia="zh-CN" w:bidi="ar"/>
              </w:rPr>
              <w:t>掺烧高硫石油焦（硫含量大于3%）</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cs="Times New Roman"/>
                <w:color w:val="auto"/>
                <w:sz w:val="21"/>
                <w:szCs w:val="21"/>
                <w:highlight w:val="none"/>
              </w:rPr>
              <w:t>烟熏炉</w:t>
            </w:r>
            <w:r>
              <w:rPr>
                <w:rFonts w:hint="eastAsia" w:ascii="Times New Roman" w:hAnsi="Times New Roman" w:cs="Times New Roman"/>
                <w:color w:val="auto"/>
                <w:sz w:val="21"/>
                <w:szCs w:val="21"/>
                <w:highlight w:val="none"/>
                <w:lang w:val="en-US" w:eastAsia="zh-CN"/>
              </w:rPr>
              <w:t>产生</w:t>
            </w:r>
            <w:r>
              <w:rPr>
                <w:rFonts w:hint="eastAsia" w:cs="Times New Roman"/>
                <w:color w:val="auto"/>
                <w:sz w:val="21"/>
                <w:szCs w:val="21"/>
                <w:highlight w:val="none"/>
                <w:lang w:val="en-US" w:eastAsia="zh-CN"/>
              </w:rPr>
              <w:t>的</w:t>
            </w:r>
            <w:r>
              <w:rPr>
                <w:rFonts w:hint="default" w:ascii="Times New Roman" w:hAnsi="Times New Roman" w:cs="Times New Roman"/>
                <w:color w:val="auto"/>
                <w:sz w:val="21"/>
                <w:szCs w:val="21"/>
                <w:highlight w:val="none"/>
              </w:rPr>
              <w:t>废气经</w:t>
            </w:r>
            <w:r>
              <w:rPr>
                <w:rFonts w:hint="eastAsia" w:cs="Times New Roman"/>
                <w:color w:val="auto"/>
                <w:sz w:val="21"/>
                <w:szCs w:val="21"/>
                <w:highlight w:val="none"/>
                <w:lang w:val="en-US" w:eastAsia="zh-CN"/>
              </w:rPr>
              <w:t>静电除尘器+低温等离子体净化装置</w:t>
            </w:r>
            <w:r>
              <w:rPr>
                <w:rFonts w:hint="default" w:ascii="Times New Roman" w:hAnsi="Times New Roman" w:cs="Times New Roman"/>
                <w:color w:val="auto"/>
                <w:sz w:val="21"/>
                <w:szCs w:val="21"/>
                <w:highlight w:val="none"/>
              </w:rPr>
              <w:t>处理后，烟气通过一根</w:t>
            </w:r>
            <w:r>
              <w:rPr>
                <w:rFonts w:hint="eastAsia" w:ascii="Times New Roman" w:hAnsi="Times New Roman" w:cs="Times New Roman"/>
                <w:color w:val="auto"/>
                <w:sz w:val="21"/>
                <w:szCs w:val="21"/>
                <w:highlight w:val="none"/>
                <w:lang w:val="en-US" w:eastAsia="zh-CN"/>
              </w:rPr>
              <w:t>27</w:t>
            </w:r>
            <w:r>
              <w:rPr>
                <w:rFonts w:hint="default" w:ascii="Times New Roman" w:hAnsi="Times New Roman" w:cs="Times New Roman"/>
                <w:color w:val="auto"/>
                <w:sz w:val="21"/>
                <w:szCs w:val="21"/>
                <w:highlight w:val="none"/>
              </w:rPr>
              <w:t>m高烟囱排放，污染物浓度满足《工业炉窑大气污染物排放标准》（GB9078-1996）中表2和表4标准限值要求。</w:t>
            </w:r>
            <w:r>
              <w:rPr>
                <w:rFonts w:hint="eastAsia" w:ascii="宋体" w:hAnsi="宋体" w:cs="宋体"/>
                <w:color w:val="auto"/>
                <w:kern w:val="0"/>
                <w:highlight w:val="none"/>
              </w:rPr>
              <w:t>因此项目建设符合</w:t>
            </w:r>
            <w:r>
              <w:rPr>
                <w:rFonts w:hint="default" w:ascii="Times New Roman" w:hAnsi="Times New Roman" w:cs="Times New Roman" w:eastAsiaTheme="minorEastAsia"/>
                <w:color w:val="auto"/>
                <w:sz w:val="21"/>
                <w:szCs w:val="21"/>
                <w:lang w:val="en-US" w:eastAsia="zh-CN"/>
              </w:rPr>
              <w:t>《工业炉窑大气污染综合治理方案》</w:t>
            </w:r>
            <w:r>
              <w:rPr>
                <w:rFonts w:hint="eastAsia" w:ascii="宋体" w:hAnsi="宋体" w:cs="宋体"/>
                <w:color w:val="auto"/>
                <w:kern w:val="0"/>
                <w:highlight w:val="none"/>
              </w:rPr>
              <w:t>中要求。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color w:val="auto"/>
                <w:kern w:val="0"/>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kern w:val="0"/>
                <w:sz w:val="21"/>
                <w:szCs w:val="21"/>
                <w:highlight w:val="none"/>
                <w:lang w:val="en-US" w:eastAsia="zh-CN"/>
              </w:rPr>
            </w:pPr>
          </w:p>
          <w:p>
            <w:pPr>
              <w:pStyle w:val="42"/>
              <w:keepNext w:val="0"/>
              <w:keepLines w:val="0"/>
              <w:suppressLineNumbers w:val="0"/>
              <w:spacing w:before="0" w:beforeAutospacing="0" w:after="0" w:afterAutospacing="0"/>
              <w:ind w:left="0" w:right="0"/>
              <w:rPr>
                <w:rFonts w:hint="eastAsia"/>
                <w:color w:val="auto"/>
                <w:highlight w:val="none"/>
                <w:lang w:val="en-US" w:eastAsia="zh-CN"/>
              </w:rPr>
            </w:pPr>
          </w:p>
          <w:p>
            <w:pPr>
              <w:pStyle w:val="42"/>
              <w:keepNext w:val="0"/>
              <w:keepLines w:val="0"/>
              <w:suppressLineNumbers w:val="0"/>
              <w:spacing w:before="0" w:beforeAutospacing="0" w:after="0" w:afterAutospacing="0"/>
              <w:ind w:left="0" w:right="0"/>
              <w:rPr>
                <w:rFonts w:hint="eastAsia"/>
                <w:color w:val="auto"/>
                <w:highlight w:val="none"/>
                <w:lang w:val="en-US" w:eastAsia="zh-CN"/>
              </w:rPr>
            </w:pPr>
          </w:p>
          <w:p>
            <w:pPr>
              <w:pStyle w:val="42"/>
              <w:keepNext w:val="0"/>
              <w:keepLines w:val="0"/>
              <w:suppressLineNumbers w:val="0"/>
              <w:spacing w:before="0" w:beforeAutospacing="0" w:after="0" w:afterAutospacing="0"/>
              <w:ind w:left="0" w:right="0"/>
              <w:rPr>
                <w:rFonts w:hint="eastAsia"/>
                <w:color w:val="auto"/>
                <w:highlight w:val="none"/>
                <w:lang w:val="en-US" w:eastAsia="zh-CN"/>
              </w:rPr>
            </w:pPr>
          </w:p>
          <w:p>
            <w:pPr>
              <w:pStyle w:val="42"/>
              <w:keepNext w:val="0"/>
              <w:keepLines w:val="0"/>
              <w:suppressLineNumbers w:val="0"/>
              <w:spacing w:before="0" w:beforeAutospacing="0" w:after="0" w:afterAutospacing="0"/>
              <w:ind w:left="0" w:right="0"/>
              <w:rPr>
                <w:rFonts w:hint="eastAsia"/>
                <w:color w:val="auto"/>
                <w:highlight w:val="none"/>
                <w:lang w:val="en-US" w:eastAsia="zh-CN"/>
              </w:rPr>
            </w:pPr>
          </w:p>
          <w:p>
            <w:pPr>
              <w:pStyle w:val="42"/>
              <w:keepNext w:val="0"/>
              <w:keepLines w:val="0"/>
              <w:suppressLineNumbers w:val="0"/>
              <w:spacing w:before="0" w:beforeAutospacing="0" w:after="0" w:afterAutospacing="0"/>
              <w:ind w:left="0" w:right="0"/>
              <w:rPr>
                <w:rFonts w:hint="default"/>
                <w:color w:val="auto"/>
                <w:highlight w:val="none"/>
                <w:lang w:val="en-US" w:eastAsia="zh-CN"/>
              </w:rPr>
            </w:pPr>
          </w:p>
        </w:tc>
      </w:tr>
      <w:bookmarkEnd w:id="3"/>
    </w:tbl>
    <w:p>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pPr>
        <w:pStyle w:val="28"/>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2"/>
        <w:tblW w:w="50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82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220" w:type="dxa"/>
            <w:vAlign w:val="center"/>
          </w:tcPr>
          <w:p>
            <w:pPr>
              <w:pStyle w:val="2"/>
              <w:keepNext w:val="0"/>
              <w:keepLines w:val="0"/>
              <w:widowControl w:val="0"/>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21"/>
                <w:sz w:val="21"/>
                <w:szCs w:val="21"/>
                <w:highlight w:val="none"/>
                <w:lang w:val="en-US" w:eastAsia="zh-CN"/>
              </w:rPr>
            </w:pPr>
            <w:r>
              <w:rPr>
                <w:rFonts w:hint="eastAsia"/>
                <w:color w:val="auto"/>
                <w:sz w:val="21"/>
                <w:szCs w:val="21"/>
                <w:highlight w:val="none"/>
              </w:rPr>
              <w:t>本项目</w:t>
            </w:r>
            <w:r>
              <w:rPr>
                <w:rFonts w:hint="eastAsia"/>
                <w:color w:val="auto"/>
                <w:sz w:val="21"/>
                <w:szCs w:val="21"/>
                <w:highlight w:val="none"/>
                <w:lang w:val="en-US" w:eastAsia="zh-CN"/>
              </w:rPr>
              <w:t>为</w:t>
            </w:r>
            <w:r>
              <w:rPr>
                <w:rFonts w:hint="eastAsia" w:cs="Times New Roman"/>
                <w:color w:val="auto"/>
                <w:kern w:val="21"/>
                <w:sz w:val="21"/>
                <w:szCs w:val="21"/>
                <w:highlight w:val="none"/>
                <w:lang w:val="en-US" w:eastAsia="zh-CN"/>
              </w:rPr>
              <w:t>黑龙江省哈松滨食品有限公司肉灌制品及卤肉制品生产建设项目，本项目总占地面积61762.5m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lang w:val="en-US" w:eastAsia="zh-CN"/>
              </w:rPr>
              <w:t>，总建筑面积31943.6m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lang w:val="en-US" w:eastAsia="zh-CN"/>
              </w:rPr>
              <w:t>。项目分两期建设，一期工程为建设1#厂房为产品生产，利用原有1#楼建设食堂与宿舍；二期工程只建设2#厂房，无具体生产内容，具体内容建设单位单独办理环保手续。</w:t>
            </w:r>
          </w:p>
          <w:p>
            <w:pPr>
              <w:pStyle w:val="2"/>
              <w:keepNext w:val="0"/>
              <w:keepLines w:val="0"/>
              <w:widowControl w:val="0"/>
              <w:suppressLineNumbers w:val="0"/>
              <w:snapToGrid/>
              <w:spacing w:before="0" w:beforeAutospacing="0" w:after="0" w:afterAutospacing="0" w:line="360" w:lineRule="auto"/>
              <w:ind w:left="0" w:right="0" w:firstLine="420" w:firstLineChars="200"/>
              <w:rPr>
                <w:rFonts w:hint="default" w:ascii="Times New Roman" w:hAnsi="Times New Roman" w:eastAsia="宋体" w:cs="Times New Roman"/>
                <w:color w:val="auto"/>
                <w:kern w:val="21"/>
                <w:sz w:val="24"/>
                <w:highlight w:val="none"/>
                <w:lang w:val="en-US" w:eastAsia="zh-CN"/>
              </w:rPr>
            </w:pPr>
            <w:r>
              <w:rPr>
                <w:rFonts w:hint="eastAsia" w:cs="Times New Roman"/>
                <w:color w:val="auto"/>
                <w:kern w:val="21"/>
                <w:sz w:val="21"/>
                <w:szCs w:val="21"/>
                <w:highlight w:val="none"/>
                <w:lang w:val="en-US" w:eastAsia="zh-CN"/>
              </w:rPr>
              <w:t>本环评为一期工程整体建设内容及二期工程厂房建设（无生产内容）。建设1#厂房，地上两层，建筑面积为9979.76m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lang w:val="en-US" w:eastAsia="zh-CN"/>
              </w:rPr>
              <w:t>，地下一层（消防水池及消防泵房），建筑面积为360.62m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。1#厂房</w:t>
            </w:r>
            <w:r>
              <w:rPr>
                <w:rFonts w:hint="eastAsia" w:cs="Times New Roman"/>
                <w:color w:val="auto"/>
                <w:kern w:val="21"/>
                <w:sz w:val="21"/>
                <w:szCs w:val="21"/>
                <w:highlight w:val="none"/>
                <w:lang w:val="en-US" w:eastAsia="zh-CN"/>
              </w:rPr>
              <w:t>内设红肠、儿童肠、松仁烤肠生产线和酱卤制品生产线，包括生产车间（包括灌肠间、滚揉间、腌制间、蒸肠间、熏烤间、晾晒间等）、原料库、成品库、包装间、冷藏库等，内设锅炉间，</w:t>
            </w:r>
            <w:r>
              <w:rPr>
                <w:rFonts w:hint="default" w:ascii="Times New Roman" w:hAnsi="Times New Roman" w:cs="Times New Roman"/>
                <w:b w:val="0"/>
                <w:bCs w:val="0"/>
                <w:snapToGrid w:val="0"/>
                <w:color w:val="auto"/>
                <w:kern w:val="0"/>
                <w:sz w:val="21"/>
                <w:szCs w:val="21"/>
                <w:highlight w:val="none"/>
                <w:lang w:val="en-US" w:eastAsia="zh-CN"/>
              </w:rPr>
              <w:t>1台</w:t>
            </w:r>
            <w:r>
              <w:rPr>
                <w:rFonts w:hint="eastAsia" w:cs="Times New Roman"/>
                <w:b w:val="0"/>
                <w:bCs w:val="0"/>
                <w:snapToGrid w:val="0"/>
                <w:color w:val="auto"/>
                <w:kern w:val="0"/>
                <w:sz w:val="21"/>
                <w:szCs w:val="21"/>
                <w:highlight w:val="none"/>
                <w:lang w:val="en-US" w:eastAsia="zh-CN"/>
              </w:rPr>
              <w:t>6t/h燃气蒸汽锅炉</w:t>
            </w:r>
            <w:r>
              <w:rPr>
                <w:rFonts w:hint="default" w:ascii="Times New Roman" w:hAnsi="Times New Roman" w:cs="Times New Roman"/>
                <w:color w:val="auto"/>
                <w:sz w:val="21"/>
                <w:szCs w:val="21"/>
                <w:highlight w:val="none"/>
                <w:lang w:val="en-US" w:eastAsia="zh-CN"/>
              </w:rPr>
              <w:t>为厂区</w:t>
            </w:r>
            <w:r>
              <w:rPr>
                <w:rFonts w:hint="eastAsia" w:cs="Times New Roman"/>
                <w:color w:val="auto"/>
                <w:sz w:val="21"/>
                <w:szCs w:val="21"/>
                <w:highlight w:val="none"/>
                <w:lang w:val="en-US" w:eastAsia="zh-CN"/>
              </w:rPr>
              <w:t>常年生产用热及</w:t>
            </w:r>
            <w:r>
              <w:rPr>
                <w:rFonts w:hint="default" w:ascii="Times New Roman" w:hAnsi="Times New Roman" w:cs="Times New Roman"/>
                <w:color w:val="auto"/>
                <w:sz w:val="21"/>
                <w:szCs w:val="21"/>
                <w:highlight w:val="none"/>
                <w:lang w:val="en-US" w:eastAsia="zh-CN"/>
              </w:rPr>
              <w:t>冬季供暖</w:t>
            </w:r>
            <w:r>
              <w:rPr>
                <w:rFonts w:hint="eastAsia" w:cs="Times New Roman"/>
                <w:color w:val="auto"/>
                <w:sz w:val="21"/>
                <w:szCs w:val="21"/>
                <w:highlight w:val="none"/>
                <w:lang w:val="en-US" w:eastAsia="zh-CN"/>
              </w:rPr>
              <w:t>。</w:t>
            </w:r>
            <w:r>
              <w:rPr>
                <w:rStyle w:val="40"/>
                <w:rFonts w:hint="default" w:ascii="Times New Roman" w:hAnsi="Times New Roman" w:eastAsia="宋体" w:cs="Times New Roman"/>
                <w:color w:val="auto"/>
                <w:kern w:val="0"/>
                <w:sz w:val="21"/>
                <w:szCs w:val="21"/>
                <w:highlight w:val="none"/>
              </w:rPr>
              <w:t>建</w:t>
            </w:r>
            <w:r>
              <w:rPr>
                <w:rStyle w:val="40"/>
                <w:rFonts w:hint="default" w:ascii="Times New Roman" w:hAnsi="Times New Roman" w:eastAsia="宋体" w:cs="Times New Roman"/>
                <w:color w:val="auto"/>
                <w:kern w:val="0"/>
                <w:sz w:val="21"/>
                <w:szCs w:val="21"/>
                <w:highlight w:val="none"/>
                <w:lang w:eastAsia="zh-CN"/>
              </w:rPr>
              <w:t>成后</w:t>
            </w:r>
            <w:r>
              <w:rPr>
                <w:rFonts w:hint="eastAsia" w:cs="Times New Roman"/>
                <w:color w:val="auto"/>
                <w:kern w:val="21"/>
                <w:sz w:val="21"/>
                <w:szCs w:val="21"/>
                <w:highlight w:val="none"/>
                <w:lang w:eastAsia="zh-CN"/>
              </w:rPr>
              <w:t>年产</w:t>
            </w:r>
            <w:r>
              <w:rPr>
                <w:rFonts w:hint="eastAsia" w:cs="Times New Roman"/>
                <w:color w:val="auto"/>
                <w:kern w:val="21"/>
                <w:sz w:val="21"/>
                <w:szCs w:val="21"/>
                <w:highlight w:val="none"/>
                <w:lang w:val="en-US" w:eastAsia="zh-CN"/>
              </w:rPr>
              <w:t>红肠2200t、儿童肠700t、松仁烤肠300t及酱卤制品500t，共3700t/a。</w:t>
            </w:r>
            <w:r>
              <w:rPr>
                <w:rFonts w:hint="eastAsia" w:cs="Times New Roman"/>
                <w:color w:val="auto"/>
                <w:sz w:val="21"/>
                <w:szCs w:val="21"/>
                <w:highlight w:val="none"/>
                <w:lang w:val="en-US" w:eastAsia="zh-CN"/>
              </w:rPr>
              <w:t>利用原有空置1#楼，两层建筑，建筑面积为3282m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，建设职工食堂与宿舍；</w:t>
            </w:r>
            <w:r>
              <w:rPr>
                <w:rFonts w:hint="eastAsia" w:cs="Times New Roman"/>
                <w:color w:val="auto"/>
                <w:kern w:val="21"/>
                <w:sz w:val="21"/>
                <w:szCs w:val="21"/>
                <w:highlight w:val="none"/>
                <w:lang w:val="en-US" w:eastAsia="zh-CN"/>
              </w:rPr>
              <w:t>2#厂房地上4层，建筑面积18321.22m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，建筑高度23.850米。</w:t>
            </w:r>
            <w:r>
              <w:rPr>
                <w:rFonts w:hint="default" w:ascii="Times New Roman" w:hAnsi="Times New Roman" w:cs="Times New Roman"/>
                <w:color w:val="auto"/>
                <w:kern w:val="21"/>
                <w:sz w:val="21"/>
                <w:szCs w:val="21"/>
                <w:highlight w:val="none"/>
              </w:rPr>
              <w:t>主要建设内容见表2-1。</w:t>
            </w:r>
          </w:p>
          <w:p>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表2-1主要建设内容及规模一览表</w:t>
            </w:r>
          </w:p>
          <w:tbl>
            <w:tblPr>
              <w:tblStyle w:val="3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8"/>
              <w:gridCol w:w="697"/>
              <w:gridCol w:w="686"/>
              <w:gridCol w:w="5571"/>
              <w:gridCol w:w="110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3" w:type="pct"/>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建设内容</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建设规模及内容</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主体</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工程</w:t>
                  </w:r>
                </w:p>
              </w:tc>
              <w:tc>
                <w:tcPr>
                  <w:tcW w:w="41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一期工程</w:t>
                  </w:r>
                </w:p>
              </w:tc>
              <w:tc>
                <w:tcPr>
                  <w:tcW w:w="40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生产车间</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s="Times New Roman"/>
                      <w:color w:val="auto"/>
                      <w:kern w:val="21"/>
                      <w:sz w:val="18"/>
                      <w:szCs w:val="18"/>
                      <w:highlight w:val="none"/>
                      <w:vertAlign w:val="baseline"/>
                      <w:lang w:val="en-US" w:eastAsia="zh-CN"/>
                    </w:rPr>
                    <w:t>1#</w:t>
                  </w:r>
                  <w:r>
                    <w:rPr>
                      <w:rFonts w:hint="eastAsia"/>
                      <w:color w:val="auto"/>
                      <w:sz w:val="18"/>
                      <w:szCs w:val="18"/>
                      <w:highlight w:val="none"/>
                      <w:lang w:val="en-US" w:eastAsia="zh-CN"/>
                    </w:rPr>
                    <w:t>厂房内，</w:t>
                  </w:r>
                  <w:r>
                    <w:rPr>
                      <w:rFonts w:hint="eastAsia"/>
                      <w:color w:val="auto"/>
                      <w:sz w:val="18"/>
                      <w:szCs w:val="18"/>
                      <w:highlight w:val="none"/>
                      <w:lang w:eastAsia="zh-CN"/>
                    </w:rPr>
                    <w:t>建筑面积为</w:t>
                  </w:r>
                  <w:r>
                    <w:rPr>
                      <w:rFonts w:hint="eastAsia"/>
                      <w:color w:val="auto"/>
                      <w:sz w:val="18"/>
                      <w:szCs w:val="18"/>
                      <w:highlight w:val="none"/>
                      <w:lang w:val="en-US" w:eastAsia="zh-CN"/>
                    </w:rPr>
                    <w:t>10340.38</w:t>
                  </w:r>
                  <w:r>
                    <w:rPr>
                      <w:rFonts w:hint="default" w:ascii="Times New Roman" w:hAnsi="Times New Roman" w:cs="Times New Roman"/>
                      <w:color w:val="auto"/>
                      <w:kern w:val="21"/>
                      <w:sz w:val="18"/>
                      <w:szCs w:val="18"/>
                      <w:highlight w:val="none"/>
                    </w:rPr>
                    <w:t>m</w:t>
                  </w:r>
                  <w:r>
                    <w:rPr>
                      <w:rFonts w:hint="default" w:ascii="Times New Roman" w:hAnsi="Times New Roman" w:cs="Times New Roman"/>
                      <w:color w:val="auto"/>
                      <w:kern w:val="21"/>
                      <w:sz w:val="18"/>
                      <w:szCs w:val="18"/>
                      <w:highlight w:val="none"/>
                      <w:vertAlign w:val="superscript"/>
                    </w:rPr>
                    <w:t>2</w:t>
                  </w:r>
                  <w:r>
                    <w:rPr>
                      <w:rFonts w:hint="eastAsia" w:ascii="Times New Roman" w:hAnsi="Times New Roman" w:cs="Times New Roman"/>
                      <w:color w:val="auto"/>
                      <w:kern w:val="21"/>
                      <w:sz w:val="18"/>
                      <w:szCs w:val="18"/>
                      <w:highlight w:val="none"/>
                      <w:vertAlign w:val="baseline"/>
                      <w:lang w:eastAsia="zh-CN"/>
                    </w:rPr>
                    <w:t>，</w:t>
                  </w:r>
                  <w:r>
                    <w:rPr>
                      <w:rFonts w:hint="eastAsia" w:cs="Times New Roman"/>
                      <w:color w:val="auto"/>
                      <w:kern w:val="21"/>
                      <w:sz w:val="18"/>
                      <w:szCs w:val="18"/>
                      <w:highlight w:val="none"/>
                      <w:vertAlign w:val="baseline"/>
                      <w:lang w:val="en-US" w:eastAsia="zh-CN"/>
                    </w:rPr>
                    <w:t>地上两层，厂房</w:t>
                  </w:r>
                  <w:r>
                    <w:rPr>
                      <w:rFonts w:hint="eastAsia" w:cs="Times New Roman"/>
                      <w:color w:val="auto"/>
                      <w:kern w:val="21"/>
                      <w:sz w:val="18"/>
                      <w:szCs w:val="18"/>
                      <w:highlight w:val="none"/>
                      <w:vertAlign w:val="baseline"/>
                      <w:lang w:eastAsia="zh-CN"/>
                    </w:rPr>
                    <w:t>建筑高度为</w:t>
                  </w:r>
                  <w:r>
                    <w:rPr>
                      <w:rFonts w:hint="eastAsia" w:cs="Times New Roman"/>
                      <w:color w:val="auto"/>
                      <w:kern w:val="21"/>
                      <w:sz w:val="18"/>
                      <w:szCs w:val="18"/>
                      <w:highlight w:val="none"/>
                      <w:vertAlign w:val="baseline"/>
                      <w:lang w:val="en-US" w:eastAsia="zh-CN"/>
                    </w:rPr>
                    <w:t>8.4m，</w:t>
                  </w:r>
                  <w:r>
                    <w:rPr>
                      <w:rFonts w:hint="eastAsia"/>
                      <w:color w:val="auto"/>
                      <w:sz w:val="18"/>
                      <w:szCs w:val="18"/>
                      <w:highlight w:val="none"/>
                      <w:lang w:val="en-US" w:eastAsia="zh-CN"/>
                    </w:rPr>
                    <w:t>砖混结构，内设一条</w:t>
                  </w:r>
                  <w:r>
                    <w:rPr>
                      <w:rFonts w:hint="default"/>
                      <w:color w:val="auto"/>
                      <w:sz w:val="18"/>
                      <w:szCs w:val="18"/>
                      <w:highlight w:val="none"/>
                    </w:rPr>
                    <w:t>肉制品生产线，</w:t>
                  </w:r>
                  <w:r>
                    <w:rPr>
                      <w:rFonts w:hint="default" w:ascii="Times New Roman" w:hAnsi="Times New Roman" w:cs="Times New Roman"/>
                      <w:color w:val="auto"/>
                      <w:kern w:val="21"/>
                      <w:sz w:val="18"/>
                      <w:szCs w:val="18"/>
                      <w:highlight w:val="none"/>
                      <w:lang w:val="en-US" w:eastAsia="zh-CN"/>
                    </w:rPr>
                    <w:t>包括灌肠间、滚揉间、腌制间、蒸肠间、熏烤间</w:t>
                  </w:r>
                  <w:r>
                    <w:rPr>
                      <w:rFonts w:hint="eastAsia" w:cs="Times New Roman"/>
                      <w:color w:val="auto"/>
                      <w:kern w:val="21"/>
                      <w:sz w:val="18"/>
                      <w:szCs w:val="18"/>
                      <w:highlight w:val="none"/>
                      <w:lang w:val="en-US" w:eastAsia="zh-CN"/>
                    </w:rPr>
                    <w:t>（本项目熏烤所用果木粒及木头存储于熏烤间）</w:t>
                  </w:r>
                  <w:r>
                    <w:rPr>
                      <w:rFonts w:hint="default" w:ascii="Times New Roman" w:hAnsi="Times New Roman" w:cs="Times New Roman"/>
                      <w:color w:val="auto"/>
                      <w:kern w:val="21"/>
                      <w:sz w:val="18"/>
                      <w:szCs w:val="18"/>
                      <w:highlight w:val="none"/>
                      <w:lang w:val="en-US" w:eastAsia="zh-CN"/>
                    </w:rPr>
                    <w:t>、晾晒间等等</w:t>
                  </w:r>
                  <w:r>
                    <w:rPr>
                      <w:rFonts w:hint="eastAsia" w:ascii="Times New Roman" w:hAnsi="Times New Roman" w:cs="Times New Roman"/>
                      <w:color w:val="auto"/>
                      <w:kern w:val="21"/>
                      <w:sz w:val="18"/>
                      <w:szCs w:val="18"/>
                      <w:highlight w:val="none"/>
                      <w:lang w:val="en-US" w:eastAsia="zh-CN"/>
                    </w:rPr>
                    <w:t>，</w:t>
                  </w:r>
                  <w:r>
                    <w:rPr>
                      <w:rFonts w:hint="eastAsia" w:cs="Times New Roman"/>
                      <w:color w:val="auto"/>
                      <w:kern w:val="21"/>
                      <w:sz w:val="18"/>
                      <w:szCs w:val="18"/>
                      <w:highlight w:val="none"/>
                      <w:lang w:eastAsia="zh-CN"/>
                    </w:rPr>
                    <w:t>年产</w:t>
                  </w:r>
                  <w:r>
                    <w:rPr>
                      <w:rFonts w:hint="eastAsia" w:cs="Times New Roman"/>
                      <w:color w:val="auto"/>
                      <w:kern w:val="21"/>
                      <w:sz w:val="18"/>
                      <w:szCs w:val="18"/>
                      <w:highlight w:val="none"/>
                      <w:lang w:val="en-US" w:eastAsia="zh-CN"/>
                    </w:rPr>
                    <w:t>红肠2200t、儿童肠700t、松仁烤肠300t及酱卤制品500t，共3700t/a。</w:t>
                  </w:r>
                </w:p>
              </w:tc>
              <w:tc>
                <w:tcPr>
                  <w:tcW w:w="649"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41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二期工程</w:t>
                  </w:r>
                </w:p>
              </w:tc>
              <w:tc>
                <w:tcPr>
                  <w:tcW w:w="40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厂房</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r>
                    <w:rPr>
                      <w:rFonts w:hint="eastAsia" w:cs="Times New Roman"/>
                      <w:color w:val="auto"/>
                      <w:kern w:val="21"/>
                      <w:sz w:val="18"/>
                      <w:szCs w:val="18"/>
                      <w:highlight w:val="none"/>
                      <w:lang w:val="en-US" w:eastAsia="zh-CN"/>
                    </w:rPr>
                    <w:t>只建设2#厂房，无具体生产内容，具体内容建设单独办理环保手续。2#厂房地上4层，建筑面积18321.22m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，建筑高度23.850米。</w:t>
                  </w:r>
                </w:p>
              </w:tc>
              <w:tc>
                <w:tcPr>
                  <w:tcW w:w="649"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r>
                    <w:rPr>
                      <w:rFonts w:hint="eastAsia"/>
                      <w:color w:val="auto"/>
                      <w:sz w:val="18"/>
                      <w:szCs w:val="18"/>
                      <w:highlight w:val="none"/>
                      <w:lang w:eastAsia="zh-CN"/>
                    </w:rPr>
                    <w:t>辅助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工程</w:t>
                  </w: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办公室</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s="Times New Roman"/>
                      <w:color w:val="auto"/>
                      <w:kern w:val="21"/>
                      <w:sz w:val="18"/>
                      <w:szCs w:val="18"/>
                      <w:highlight w:val="none"/>
                      <w:vertAlign w:val="baseline"/>
                      <w:lang w:val="en-US" w:eastAsia="zh-CN"/>
                    </w:rPr>
                    <w:t>位于1#厂房内，用于员工办公。</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yellow"/>
                      <w:lang w:val="en-US" w:eastAsia="zh-CN"/>
                    </w:rPr>
                  </w:pPr>
                  <w:r>
                    <w:rPr>
                      <w:rFonts w:hint="eastAsia"/>
                      <w:color w:val="auto"/>
                      <w:sz w:val="18"/>
                      <w:szCs w:val="18"/>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锅炉间</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设在</w:t>
                  </w:r>
                  <w:r>
                    <w:rPr>
                      <w:rFonts w:hint="eastAsia" w:cs="Times New Roman"/>
                      <w:color w:val="auto"/>
                      <w:kern w:val="21"/>
                      <w:sz w:val="18"/>
                      <w:szCs w:val="18"/>
                      <w:highlight w:val="none"/>
                      <w:vertAlign w:val="baseline"/>
                      <w:lang w:val="en-US" w:eastAsia="zh-CN"/>
                    </w:rPr>
                    <w:t>1#厂房</w:t>
                  </w:r>
                  <w:r>
                    <w:rPr>
                      <w:rFonts w:hint="default" w:ascii="Times New Roman" w:hAnsi="Times New Roman" w:cs="Times New Roman"/>
                      <w:color w:val="auto"/>
                      <w:sz w:val="18"/>
                      <w:szCs w:val="18"/>
                      <w:highlight w:val="none"/>
                      <w:lang w:val="en-US" w:eastAsia="zh-CN"/>
                    </w:rPr>
                    <w:t>内</w:t>
                  </w:r>
                  <w:r>
                    <w:rPr>
                      <w:rFonts w:hint="default" w:ascii="Times New Roman" w:hAnsi="Times New Roman" w:cs="Times New Roman"/>
                      <w:color w:val="auto"/>
                      <w:kern w:val="21"/>
                      <w:sz w:val="18"/>
                      <w:szCs w:val="18"/>
                      <w:highlight w:val="none"/>
                      <w:vertAlign w:val="baseline"/>
                      <w:lang w:eastAsia="zh-CN"/>
                    </w:rPr>
                    <w:t>，内设</w:t>
                  </w:r>
                  <w:r>
                    <w:rPr>
                      <w:rFonts w:hint="default" w:ascii="Times New Roman" w:hAnsi="Times New Roman" w:cs="Times New Roman"/>
                      <w:b w:val="0"/>
                      <w:bCs w:val="0"/>
                      <w:snapToGrid w:val="0"/>
                      <w:color w:val="auto"/>
                      <w:kern w:val="0"/>
                      <w:sz w:val="18"/>
                      <w:szCs w:val="18"/>
                      <w:highlight w:val="none"/>
                      <w:lang w:val="en-US" w:eastAsia="zh-CN"/>
                    </w:rPr>
                    <w:t>1台</w:t>
                  </w:r>
                  <w:r>
                    <w:rPr>
                      <w:rFonts w:hint="eastAsia" w:cs="Times New Roman"/>
                      <w:b w:val="0"/>
                      <w:bCs w:val="0"/>
                      <w:snapToGrid w:val="0"/>
                      <w:color w:val="auto"/>
                      <w:kern w:val="0"/>
                      <w:sz w:val="18"/>
                      <w:szCs w:val="18"/>
                      <w:highlight w:val="none"/>
                      <w:lang w:val="en-US" w:eastAsia="zh-CN"/>
                    </w:rPr>
                    <w:t>6t/h燃气蒸汽锅炉</w:t>
                  </w:r>
                  <w:r>
                    <w:rPr>
                      <w:rFonts w:hint="default" w:ascii="Times New Roman" w:hAnsi="Times New Roman" w:cs="Times New Roman"/>
                      <w:color w:val="auto"/>
                      <w:sz w:val="18"/>
                      <w:szCs w:val="18"/>
                      <w:highlight w:val="none"/>
                      <w:lang w:val="en-US" w:eastAsia="zh-CN"/>
                    </w:rPr>
                    <w:t>为厂区</w:t>
                  </w:r>
                  <w:r>
                    <w:rPr>
                      <w:rFonts w:hint="eastAsia" w:cs="Times New Roman"/>
                      <w:color w:val="auto"/>
                      <w:sz w:val="18"/>
                      <w:szCs w:val="18"/>
                      <w:highlight w:val="none"/>
                      <w:lang w:val="en-US" w:eastAsia="zh-CN"/>
                    </w:rPr>
                    <w:t>常年生产用热及</w:t>
                  </w:r>
                  <w:r>
                    <w:rPr>
                      <w:rFonts w:hint="default" w:ascii="Times New Roman" w:hAnsi="Times New Roman" w:cs="Times New Roman"/>
                      <w:color w:val="auto"/>
                      <w:sz w:val="18"/>
                      <w:szCs w:val="18"/>
                      <w:highlight w:val="none"/>
                      <w:lang w:val="en-US" w:eastAsia="zh-CN"/>
                    </w:rPr>
                    <w:t>冬季供暖</w:t>
                  </w:r>
                  <w:r>
                    <w:rPr>
                      <w:rFonts w:hint="default" w:ascii="Times New Roman" w:hAnsi="Times New Roman" w:eastAsia="宋体" w:cs="Times New Roman"/>
                      <w:b w:val="0"/>
                      <w:bCs w:val="0"/>
                      <w:snapToGrid w:val="0"/>
                      <w:color w:val="auto"/>
                      <w:kern w:val="0"/>
                      <w:sz w:val="18"/>
                      <w:szCs w:val="18"/>
                      <w:highlight w:val="none"/>
                      <w:lang w:eastAsia="zh-CN"/>
                    </w:rPr>
                    <w:t>。</w:t>
                  </w:r>
                  <w:r>
                    <w:rPr>
                      <w:rFonts w:hint="eastAsia" w:cs="Times New Roman"/>
                      <w:b w:val="0"/>
                      <w:bCs w:val="0"/>
                      <w:snapToGrid w:val="0"/>
                      <w:color w:val="auto"/>
                      <w:kern w:val="0"/>
                      <w:sz w:val="18"/>
                      <w:szCs w:val="18"/>
                      <w:highlight w:val="none"/>
                      <w:lang w:val="en-US" w:eastAsia="zh-CN"/>
                    </w:rPr>
                    <w:t>锅炉型号为WNS6-1.25-Q。</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一般工业固体废物存储间</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位于生产车间内，用于暂存储一般固体废物，</w:t>
                  </w:r>
                  <w:r>
                    <w:rPr>
                      <w:rFonts w:hint="default" w:ascii="Times New Roman" w:hAnsi="Times New Roman" w:eastAsia="宋体" w:cs="Times New Roman"/>
                      <w:color w:val="auto"/>
                      <w:sz w:val="18"/>
                      <w:szCs w:val="18"/>
                      <w:highlight w:val="none"/>
                    </w:rPr>
                    <w:t>废包装物</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烟熏炉炉渣</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电除尘器收尘</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加工废料</w:t>
                  </w:r>
                  <w:r>
                    <w:rPr>
                      <w:rFonts w:hint="eastAsia" w:cs="Times New Roman"/>
                      <w:color w:val="auto"/>
                      <w:sz w:val="18"/>
                      <w:szCs w:val="18"/>
                      <w:highlight w:val="none"/>
                      <w:lang w:val="en-US" w:eastAsia="zh-CN"/>
                    </w:rPr>
                    <w:t>及不合格品</w:t>
                  </w:r>
                  <w:r>
                    <w:rPr>
                      <w:rFonts w:hint="default" w:ascii="Times New Roman" w:hAnsi="Times New Roman" w:eastAsia="宋体" w:cs="Times New Roman"/>
                      <w:color w:val="auto"/>
                      <w:sz w:val="18"/>
                      <w:szCs w:val="18"/>
                      <w:highlight w:val="none"/>
                      <w:lang w:val="en-US" w:eastAsia="zh-CN"/>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危险废物贮存点</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位于维修间内，建筑面积10m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vertAlign w:val="baseline"/>
                      <w:lang w:val="en-US" w:eastAsia="zh-CN"/>
                    </w:rPr>
                    <w:t>，</w:t>
                  </w:r>
                  <w:r>
                    <w:rPr>
                      <w:rFonts w:hint="eastAsia" w:cs="Times New Roman"/>
                      <w:color w:val="auto"/>
                      <w:sz w:val="18"/>
                      <w:szCs w:val="18"/>
                      <w:highlight w:val="none"/>
                      <w:lang w:val="en-US" w:eastAsia="zh-CN"/>
                    </w:rPr>
                    <w:t>用于暂存危险废物废机油，</w:t>
                  </w:r>
                  <w:r>
                    <w:rPr>
                      <w:rFonts w:hint="eastAsia" w:cs="Times New Roman"/>
                      <w:color w:val="auto"/>
                      <w:kern w:val="21"/>
                      <w:sz w:val="18"/>
                      <w:szCs w:val="18"/>
                      <w:highlight w:val="none"/>
                      <w:lang w:val="en-US" w:eastAsia="zh-CN"/>
                    </w:rPr>
                    <w:t>定期由有资质单位拉运处理。</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zh-CN"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污水处理站</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本项目产生综合废水</w:t>
                  </w:r>
                  <w:r>
                    <w:rPr>
                      <w:rFonts w:hint="default" w:ascii="Times New Roman" w:hAnsi="Times New Roman" w:cs="Times New Roman"/>
                      <w:color w:val="auto"/>
                      <w:sz w:val="18"/>
                      <w:szCs w:val="18"/>
                      <w:highlight w:val="none"/>
                    </w:rPr>
                    <w:t>经过</w:t>
                  </w:r>
                  <w:r>
                    <w:rPr>
                      <w:rFonts w:hint="default" w:ascii="Times New Roman" w:hAnsi="Times New Roman" w:cs="Times New Roman"/>
                      <w:color w:val="auto"/>
                      <w:sz w:val="18"/>
                      <w:szCs w:val="18"/>
                      <w:highlight w:val="none"/>
                      <w:lang w:val="en-US" w:eastAsia="zh-CN"/>
                    </w:rPr>
                    <w:t>厂区污水处理站（气浮+AO+MBR+消毒</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处理后，满足《肉类加工工业水污染物排放标准》（GB13457-92）表3中“肉制品加工”表3中三级标准，经</w:t>
                  </w:r>
                  <w:r>
                    <w:rPr>
                      <w:rFonts w:hint="default" w:ascii="Times New Roman" w:hAnsi="Times New Roman" w:cs="Times New Roman"/>
                      <w:color w:val="auto"/>
                      <w:sz w:val="18"/>
                      <w:szCs w:val="18"/>
                      <w:highlight w:val="none"/>
                      <w:lang w:val="en-US" w:eastAsia="zh-CN"/>
                    </w:rPr>
                    <w:t>双城</w:t>
                  </w:r>
                  <w:r>
                    <w:rPr>
                      <w:rFonts w:hint="default" w:ascii="Times New Roman" w:hAnsi="Times New Roman" w:cs="Times New Roman"/>
                      <w:color w:val="auto"/>
                      <w:sz w:val="18"/>
                      <w:szCs w:val="18"/>
                      <w:highlight w:val="none"/>
                    </w:rPr>
                    <w:t>污水处理厂处理</w:t>
                  </w:r>
                  <w:r>
                    <w:rPr>
                      <w:rFonts w:hint="default" w:ascii="Times New Roman" w:hAnsi="Times New Roman" w:cs="Times New Roman"/>
                      <w:color w:val="auto"/>
                      <w:sz w:val="18"/>
                      <w:szCs w:val="18"/>
                      <w:highlight w:val="none"/>
                      <w:lang w:val="en-US" w:eastAsia="zh-CN"/>
                    </w:rPr>
                    <w:t>达标</w:t>
                  </w:r>
                  <w:r>
                    <w:rPr>
                      <w:rFonts w:hint="default" w:ascii="Times New Roman" w:hAnsi="Times New Roman" w:cs="Times New Roman"/>
                      <w:color w:val="auto"/>
                      <w:sz w:val="18"/>
                      <w:szCs w:val="18"/>
                      <w:highlight w:val="none"/>
                    </w:rPr>
                    <w:t>后排入</w:t>
                  </w:r>
                  <w:r>
                    <w:rPr>
                      <w:rFonts w:hint="default" w:ascii="Times New Roman" w:hAnsi="Times New Roman" w:cs="Times New Roman"/>
                      <w:color w:val="auto"/>
                      <w:sz w:val="18"/>
                      <w:szCs w:val="18"/>
                      <w:highlight w:val="none"/>
                      <w:lang w:val="en-US" w:eastAsia="zh-CN"/>
                    </w:rPr>
                    <w:t>拉林河</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污水处理站处理规模为150m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vertAlign w:val="baseline"/>
                      <w:lang w:val="en-US" w:eastAsia="zh-CN"/>
                    </w:rPr>
                    <w:t>/d，</w:t>
                  </w:r>
                  <w:r>
                    <w:rPr>
                      <w:rFonts w:hint="default" w:ascii="Times New Roman" w:hAnsi="Times New Roman" w:cs="Times New Roman"/>
                      <w:color w:val="auto"/>
                      <w:sz w:val="18"/>
                      <w:szCs w:val="18"/>
                      <w:highlight w:val="none"/>
                      <w:lang w:val="en-US" w:eastAsia="zh-CN"/>
                    </w:rPr>
                    <w:t>进水水质：COD1500~2000mg/L、BOD800~1000mg/L、SS500mg/L、NH</w:t>
                  </w:r>
                  <w:r>
                    <w:rPr>
                      <w:rFonts w:hint="default" w:ascii="Times New Roman" w:hAnsi="Times New Roman" w:cs="Times New Roman"/>
                      <w:color w:val="auto"/>
                      <w:sz w:val="18"/>
                      <w:szCs w:val="18"/>
                      <w:highlight w:val="none"/>
                      <w:vertAlign w:val="subscript"/>
                      <w:lang w:val="en-US" w:eastAsia="zh-CN"/>
                    </w:rPr>
                    <w:t>3/</w:t>
                  </w:r>
                  <w:r>
                    <w:rPr>
                      <w:rFonts w:hint="default" w:ascii="Times New Roman" w:hAnsi="Times New Roman" w:cs="Times New Roman"/>
                      <w:color w:val="auto"/>
                      <w:sz w:val="18"/>
                      <w:szCs w:val="18"/>
                      <w:highlight w:val="none"/>
                      <w:lang w:val="en-US" w:eastAsia="zh-CN"/>
                    </w:rPr>
                    <w:t>N 110mg/L、动植物油200mg/L、PH 6~9；出水水质：COD300mg/L、BOD50mg/L、SS20mg/L、NH</w:t>
                  </w:r>
                  <w:r>
                    <w:rPr>
                      <w:rFonts w:hint="default" w:ascii="Times New Roman" w:hAnsi="Times New Roman" w:cs="Times New Roman"/>
                      <w:color w:val="auto"/>
                      <w:sz w:val="18"/>
                      <w:szCs w:val="18"/>
                      <w:highlight w:val="none"/>
                      <w:vertAlign w:val="subscript"/>
                      <w:lang w:val="en-US" w:eastAsia="zh-CN"/>
                    </w:rPr>
                    <w:t>3</w:t>
                  </w:r>
                  <w:r>
                    <w:rPr>
                      <w:rFonts w:hint="default" w:ascii="Times New Roman" w:hAnsi="Times New Roman" w:cs="Times New Roman"/>
                      <w:color w:val="auto"/>
                      <w:sz w:val="18"/>
                      <w:szCs w:val="18"/>
                      <w:highlight w:val="none"/>
                      <w:lang w:val="en-US" w:eastAsia="zh-CN"/>
                    </w:rPr>
                    <w:t>/N30mg/L、动植物油20mg/L、PH6~9，</w:t>
                  </w:r>
                  <w:r>
                    <w:rPr>
                      <w:rFonts w:hint="default" w:ascii="Times New Roman" w:hAnsi="Times New Roman" w:cs="Times New Roman"/>
                      <w:color w:val="auto"/>
                      <w:sz w:val="18"/>
                      <w:szCs w:val="18"/>
                      <w:highlight w:val="none"/>
                      <w:vertAlign w:val="baseline"/>
                      <w:lang w:val="en-US" w:eastAsia="zh-CN"/>
                    </w:rPr>
                    <w:t>废水处理工艺为</w:t>
                  </w:r>
                  <w:r>
                    <w:rPr>
                      <w:rFonts w:hint="default" w:ascii="Times New Roman" w:hAnsi="Times New Roman" w:cs="Times New Roman"/>
                      <w:color w:val="auto"/>
                      <w:sz w:val="18"/>
                      <w:szCs w:val="18"/>
                      <w:highlight w:val="none"/>
                      <w:lang w:val="en-US" w:eastAsia="zh-CN"/>
                    </w:rPr>
                    <w:t>气浮+AO+MBR+消毒</w:t>
                  </w:r>
                  <w:r>
                    <w:rPr>
                      <w:rFonts w:hint="default" w:ascii="Times New Roman" w:hAnsi="Times New Roman" w:cs="Times New Roman"/>
                      <w:color w:val="auto"/>
                      <w:sz w:val="18"/>
                      <w:szCs w:val="18"/>
                      <w:highlight w:val="none"/>
                      <w:vertAlign w:val="baseline"/>
                      <w:lang w:val="en-US" w:eastAsia="zh-CN"/>
                    </w:rPr>
                    <w:t>。</w:t>
                  </w:r>
                  <w:r>
                    <w:rPr>
                      <w:rFonts w:hint="eastAsia" w:cs="Times New Roman"/>
                      <w:color w:val="auto"/>
                      <w:sz w:val="18"/>
                      <w:szCs w:val="18"/>
                      <w:highlight w:val="none"/>
                      <w:vertAlign w:val="baseline"/>
                      <w:lang w:val="en-US" w:eastAsia="zh-CN"/>
                    </w:rPr>
                    <w:t>消毒剂为二氧化氯（储存于加药间），</w:t>
                  </w:r>
                  <w:r>
                    <w:rPr>
                      <w:rFonts w:hint="default"/>
                      <w:color w:val="auto"/>
                      <w:sz w:val="18"/>
                      <w:szCs w:val="18"/>
                      <w:highlight w:val="none"/>
                    </w:rPr>
                    <w:t>二氧化氯消毒粉剂</w:t>
                  </w:r>
                  <w:r>
                    <w:rPr>
                      <w:rFonts w:hint="eastAsia"/>
                      <w:color w:val="auto"/>
                      <w:sz w:val="18"/>
                      <w:szCs w:val="18"/>
                      <w:highlight w:val="none"/>
                      <w:lang w:eastAsia="zh-CN"/>
                    </w:rPr>
                    <w:t>袋装</w:t>
                  </w:r>
                  <w:r>
                    <w:rPr>
                      <w:rFonts w:hint="default"/>
                      <w:color w:val="auto"/>
                      <w:sz w:val="18"/>
                      <w:szCs w:val="18"/>
                      <w:highlight w:val="none"/>
                    </w:rPr>
                    <w:t>储存量180kg</w:t>
                  </w:r>
                  <w:r>
                    <w:rPr>
                      <w:rFonts w:hint="eastAsia"/>
                      <w:color w:val="auto"/>
                      <w:sz w:val="18"/>
                      <w:szCs w:val="18"/>
                      <w:highlight w:val="none"/>
                      <w:lang w:eastAsia="zh-CN"/>
                    </w:rPr>
                    <w:t>。</w:t>
                  </w:r>
                  <w:r>
                    <w:rPr>
                      <w:rFonts w:hint="eastAsia" w:ascii="Times New Roman" w:hAnsi="Times New Roman" w:cs="Times New Roman"/>
                      <w:color w:val="auto"/>
                      <w:sz w:val="18"/>
                      <w:szCs w:val="18"/>
                      <w:highlight w:val="none"/>
                      <w:vertAlign w:val="baseline"/>
                      <w:lang w:val="en-US" w:eastAsia="zh-CN"/>
                    </w:rPr>
                    <w:t>事故池容积为</w:t>
                  </w:r>
                  <w:r>
                    <w:rPr>
                      <w:rFonts w:hint="eastAsia" w:cs="Times New Roman"/>
                      <w:color w:val="auto"/>
                      <w:sz w:val="18"/>
                      <w:szCs w:val="18"/>
                      <w:highlight w:val="none"/>
                      <w:vertAlign w:val="baseline"/>
                      <w:lang w:val="en-US" w:eastAsia="zh-CN"/>
                    </w:rPr>
                    <w:t>150</w:t>
                  </w:r>
                  <w:r>
                    <w:rPr>
                      <w:rFonts w:hint="eastAsia" w:ascii="Times New Roman" w:hAnsi="Times New Roman" w:cs="Times New Roman"/>
                      <w:color w:val="auto"/>
                      <w:sz w:val="18"/>
                      <w:szCs w:val="18"/>
                      <w:highlight w:val="none"/>
                      <w:vertAlign w:val="baseline"/>
                      <w:lang w:val="en-US" w:eastAsia="zh-CN"/>
                    </w:rPr>
                    <w:t>m</w:t>
                  </w:r>
                  <w:r>
                    <w:rPr>
                      <w:rFonts w:hint="eastAsia" w:ascii="Times New Roman" w:hAnsi="Times New Roman" w:cs="Times New Roman"/>
                      <w:color w:val="auto"/>
                      <w:sz w:val="18"/>
                      <w:szCs w:val="18"/>
                      <w:highlight w:val="none"/>
                      <w:vertAlign w:val="superscript"/>
                      <w:lang w:val="en-US" w:eastAsia="zh-CN"/>
                    </w:rPr>
                    <w:t>3</w:t>
                  </w:r>
                  <w:r>
                    <w:rPr>
                      <w:rFonts w:hint="eastAsia" w:ascii="Times New Roman" w:hAnsi="Times New Roman" w:cs="Times New Roman"/>
                      <w:color w:val="auto"/>
                      <w:sz w:val="18"/>
                      <w:szCs w:val="18"/>
                      <w:highlight w:val="none"/>
                      <w:vertAlign w:val="baseline"/>
                      <w:lang w:val="en-US" w:eastAsia="zh-CN"/>
                    </w:rPr>
                    <w:t>。</w:t>
                  </w:r>
                  <w:r>
                    <w:rPr>
                      <w:rFonts w:hint="eastAsia"/>
                      <w:color w:val="auto"/>
                      <w:sz w:val="18"/>
                      <w:szCs w:val="18"/>
                      <w:highlight w:val="none"/>
                      <w:lang w:eastAsia="zh-CN"/>
                    </w:rPr>
                    <w:t>AO工艺即缺氧好氧工艺，是一种改进型的采用活性污泥法的污水处理工艺，不仅可以降解有机物，还具有一定的除磷脱氮效果。</w:t>
                  </w:r>
                  <w:r>
                    <w:rPr>
                      <w:rFonts w:hint="default" w:ascii="Times New Roman" w:hAnsi="Times New Roman" w:cs="Times New Roman"/>
                      <w:color w:val="auto"/>
                      <w:sz w:val="18"/>
                      <w:szCs w:val="18"/>
                      <w:highlight w:val="none"/>
                      <w:vertAlign w:val="baseline"/>
                      <w:lang w:val="en-US" w:eastAsia="zh-CN"/>
                    </w:rPr>
                    <w:t>为</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排污许可证申请与核发技术规范</w:t>
                  </w:r>
                  <w:r>
                    <w:rPr>
                      <w:rFonts w:hint="default"/>
                      <w:color w:val="auto"/>
                      <w:sz w:val="18"/>
                      <w:szCs w:val="18"/>
                      <w:highlight w:val="none"/>
                    </w:rPr>
                    <w:t>农副产品加工工业-屠宰及肉类加工工业》（HJ860.3-2018）</w:t>
                  </w:r>
                  <w:r>
                    <w:rPr>
                      <w:rFonts w:hint="default" w:ascii="Times New Roman" w:hAnsi="Times New Roman" w:eastAsia="宋体" w:cs="Times New Roman"/>
                      <w:color w:val="auto"/>
                      <w:sz w:val="18"/>
                      <w:szCs w:val="18"/>
                      <w:highlight w:val="none"/>
                      <w:lang w:val="en-US" w:eastAsia="zh-CN"/>
                    </w:rPr>
                    <w:t>表</w:t>
                  </w:r>
                  <w:r>
                    <w:rPr>
                      <w:rFonts w:hint="eastAsia" w:ascii="Times New Roman" w:hAnsi="Times New Roman"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lang w:val="en-US" w:eastAsia="zh-CN"/>
                    </w:rPr>
                    <w:t>中要求的废水处理可行技术。</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食堂、宿舍</w:t>
                  </w:r>
                </w:p>
              </w:tc>
              <w:tc>
                <w:tcPr>
                  <w:tcW w:w="3287" w:type="pct"/>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firstLine="0" w:firstLineChars="0"/>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建筑面积为3282m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vertAlign w:val="baseline"/>
                      <w:lang w:val="en-US" w:eastAsia="zh-CN"/>
                    </w:rPr>
                    <w:t>，</w:t>
                  </w:r>
                  <w:r>
                    <w:rPr>
                      <w:rFonts w:hint="eastAsia" w:cs="Times New Roman"/>
                      <w:color w:val="auto"/>
                      <w:sz w:val="18"/>
                      <w:szCs w:val="18"/>
                      <w:highlight w:val="none"/>
                      <w:lang w:val="en-US" w:eastAsia="zh-CN"/>
                    </w:rPr>
                    <w:t>两层建筑，</w:t>
                  </w:r>
                  <w:r>
                    <w:rPr>
                      <w:rFonts w:hint="eastAsia"/>
                      <w:b w:val="0"/>
                      <w:bCs w:val="0"/>
                      <w:color w:val="auto"/>
                      <w:sz w:val="18"/>
                      <w:szCs w:val="18"/>
                      <w:highlight w:val="none"/>
                      <w:lang w:val="en-US" w:eastAsia="zh-CN"/>
                    </w:rPr>
                    <w:t>住宿人员70人，灶头数4个，用餐人数150人，全体员工日供1餐，住宿员工日供3餐。</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利用现有建筑改建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储运工程</w:t>
                  </w: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冷藏库</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18"/>
                      <w:szCs w:val="18"/>
                      <w:highlight w:val="none"/>
                      <w:lang w:val="en-US" w:eastAsia="zh-CN"/>
                    </w:rPr>
                  </w:pPr>
                  <w:r>
                    <w:rPr>
                      <w:rFonts w:hint="eastAsia"/>
                      <w:color w:val="auto"/>
                      <w:sz w:val="18"/>
                      <w:szCs w:val="18"/>
                      <w:highlight w:val="none"/>
                      <w:lang w:val="en-US" w:eastAsia="zh-CN"/>
                    </w:rPr>
                    <w:t>位于1#厂房内，</w:t>
                  </w:r>
                  <w:r>
                    <w:rPr>
                      <w:rFonts w:hint="default"/>
                      <w:color w:val="auto"/>
                      <w:sz w:val="18"/>
                      <w:szCs w:val="18"/>
                      <w:highlight w:val="none"/>
                    </w:rPr>
                    <w:t>用于速冻工序，</w:t>
                  </w:r>
                  <w:r>
                    <w:rPr>
                      <w:rFonts w:hint="eastAsia"/>
                      <w:color w:val="auto"/>
                      <w:sz w:val="18"/>
                      <w:szCs w:val="18"/>
                      <w:highlight w:val="none"/>
                      <w:lang w:val="en-US" w:eastAsia="zh-CN"/>
                    </w:rPr>
                    <w:t>制冷剂使用R32</w:t>
                  </w:r>
                  <w:r>
                    <w:rPr>
                      <w:rFonts w:hint="eastAsia"/>
                      <w:color w:val="auto"/>
                      <w:sz w:val="18"/>
                      <w:szCs w:val="18"/>
                      <w:highlight w:val="none"/>
                      <w:lang w:eastAsia="zh-CN"/>
                    </w:rPr>
                    <w:t>。</w:t>
                  </w:r>
                  <w:r>
                    <w:rPr>
                      <w:rFonts w:hint="eastAsia"/>
                      <w:color w:val="auto"/>
                      <w:sz w:val="18"/>
                      <w:szCs w:val="18"/>
                      <w:highlight w:val="none"/>
                      <w:lang w:val="en-US" w:eastAsia="zh-CN"/>
                    </w:rPr>
                    <w:t>最大储存肉制品量为20t，转运周期为3天。</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包材库</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auto"/>
                      <w:sz w:val="18"/>
                      <w:szCs w:val="18"/>
                      <w:highlight w:val="none"/>
                      <w:lang w:val="en-US" w:eastAsia="zh-CN"/>
                    </w:rPr>
                  </w:pPr>
                  <w:r>
                    <w:rPr>
                      <w:rFonts w:hint="default"/>
                      <w:color w:val="auto"/>
                      <w:sz w:val="18"/>
                      <w:szCs w:val="18"/>
                      <w:highlight w:val="none"/>
                    </w:rPr>
                    <w:t>位于</w:t>
                  </w:r>
                  <w:r>
                    <w:rPr>
                      <w:rFonts w:hint="eastAsia"/>
                      <w:color w:val="auto"/>
                      <w:sz w:val="18"/>
                      <w:szCs w:val="18"/>
                      <w:highlight w:val="none"/>
                      <w:lang w:val="en-US" w:eastAsia="zh-CN"/>
                    </w:rPr>
                    <w:t>1#厂房内</w:t>
                  </w:r>
                  <w:r>
                    <w:rPr>
                      <w:rFonts w:hint="default"/>
                      <w:color w:val="auto"/>
                      <w:sz w:val="18"/>
                      <w:szCs w:val="18"/>
                      <w:highlight w:val="none"/>
                    </w:rPr>
                    <w:t>，用于产品用纸箱暂存，最大储存量</w:t>
                  </w:r>
                  <w:r>
                    <w:rPr>
                      <w:rFonts w:hint="eastAsia"/>
                      <w:color w:val="auto"/>
                      <w:sz w:val="18"/>
                      <w:szCs w:val="18"/>
                      <w:highlight w:val="none"/>
                      <w:lang w:val="en-US" w:eastAsia="zh-CN"/>
                    </w:rPr>
                    <w:t>约</w:t>
                  </w:r>
                  <w:r>
                    <w:rPr>
                      <w:rFonts w:hint="default"/>
                      <w:color w:val="auto"/>
                      <w:sz w:val="18"/>
                      <w:szCs w:val="18"/>
                      <w:highlight w:val="none"/>
                    </w:rPr>
                    <w:t>1t。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包装库</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位于</w:t>
                  </w:r>
                  <w:r>
                    <w:rPr>
                      <w:rFonts w:hint="eastAsia"/>
                      <w:color w:val="auto"/>
                      <w:sz w:val="18"/>
                      <w:szCs w:val="18"/>
                      <w:highlight w:val="none"/>
                      <w:lang w:val="en-US" w:eastAsia="zh-CN"/>
                    </w:rPr>
                    <w:t>1#厂房内</w:t>
                  </w:r>
                  <w:r>
                    <w:rPr>
                      <w:rFonts w:hint="eastAsia" w:cs="Times New Roman"/>
                      <w:color w:val="auto"/>
                      <w:sz w:val="18"/>
                      <w:szCs w:val="18"/>
                      <w:highlight w:val="none"/>
                      <w:lang w:val="en-US" w:eastAsia="zh-CN"/>
                    </w:rPr>
                    <w:t>，用于产品包装。</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辅料库</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olor w:val="auto"/>
                      <w:sz w:val="18"/>
                      <w:szCs w:val="18"/>
                      <w:highlight w:val="none"/>
                      <w:lang w:val="en-US" w:eastAsia="zh-CN"/>
                    </w:rPr>
                    <w:t>位于1#厂房内，</w:t>
                  </w:r>
                  <w:r>
                    <w:rPr>
                      <w:rFonts w:hint="default"/>
                      <w:color w:val="auto"/>
                      <w:sz w:val="18"/>
                      <w:szCs w:val="18"/>
                      <w:highlight w:val="none"/>
                    </w:rPr>
                    <w:t>用于储存原</w:t>
                  </w:r>
                  <w:r>
                    <w:rPr>
                      <w:rFonts w:hint="eastAsia"/>
                      <w:color w:val="auto"/>
                      <w:sz w:val="18"/>
                      <w:szCs w:val="18"/>
                      <w:highlight w:val="none"/>
                      <w:lang w:val="en-US" w:eastAsia="zh-CN"/>
                    </w:rPr>
                    <w:t>辅材</w:t>
                  </w:r>
                  <w:r>
                    <w:rPr>
                      <w:rFonts w:hint="default"/>
                      <w:color w:val="auto"/>
                      <w:sz w:val="18"/>
                      <w:szCs w:val="18"/>
                      <w:highlight w:val="none"/>
                    </w:rPr>
                    <w:t>料，最大储存量</w:t>
                  </w:r>
                  <w:r>
                    <w:rPr>
                      <w:rFonts w:hint="eastAsia"/>
                      <w:color w:val="auto"/>
                      <w:sz w:val="18"/>
                      <w:szCs w:val="18"/>
                      <w:highlight w:val="none"/>
                      <w:lang w:val="en-US" w:eastAsia="zh-CN"/>
                    </w:rPr>
                    <w:t>约</w:t>
                  </w:r>
                  <w:r>
                    <w:rPr>
                      <w:rFonts w:hint="default"/>
                      <w:color w:val="auto"/>
                      <w:sz w:val="18"/>
                      <w:szCs w:val="18"/>
                      <w:highlight w:val="none"/>
                    </w:rPr>
                    <w:t>15</w:t>
                  </w:r>
                  <w:r>
                    <w:rPr>
                      <w:rFonts w:hint="eastAsia"/>
                      <w:color w:val="auto"/>
                      <w:sz w:val="18"/>
                      <w:szCs w:val="18"/>
                      <w:highlight w:val="none"/>
                      <w:lang w:eastAsia="zh-CN"/>
                    </w:rPr>
                    <w:t>，</w:t>
                  </w:r>
                  <w:r>
                    <w:rPr>
                      <w:rFonts w:hint="eastAsia"/>
                      <w:color w:val="auto"/>
                      <w:sz w:val="18"/>
                      <w:szCs w:val="18"/>
                      <w:highlight w:val="none"/>
                      <w:lang w:val="en-US" w:eastAsia="zh-CN"/>
                    </w:rPr>
                    <w:t>转运周期为1周。</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成品库</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18"/>
                      <w:szCs w:val="18"/>
                      <w:highlight w:val="none"/>
                      <w:lang w:val="en-US" w:eastAsia="zh-CN"/>
                    </w:rPr>
                  </w:pPr>
                  <w:r>
                    <w:rPr>
                      <w:rFonts w:hint="eastAsia"/>
                      <w:color w:val="auto"/>
                      <w:sz w:val="18"/>
                      <w:szCs w:val="18"/>
                      <w:highlight w:val="none"/>
                      <w:lang w:val="en-US" w:eastAsia="zh-CN"/>
                    </w:rPr>
                    <w:t>位于1#厂房内，</w:t>
                  </w:r>
                  <w:r>
                    <w:rPr>
                      <w:rFonts w:hint="default"/>
                      <w:color w:val="auto"/>
                      <w:sz w:val="18"/>
                      <w:szCs w:val="18"/>
                      <w:highlight w:val="none"/>
                    </w:rPr>
                    <w:t>用于储存成品，最大储存量</w:t>
                  </w:r>
                  <w:r>
                    <w:rPr>
                      <w:rFonts w:hint="eastAsia"/>
                      <w:color w:val="auto"/>
                      <w:sz w:val="18"/>
                      <w:szCs w:val="18"/>
                      <w:highlight w:val="none"/>
                      <w:lang w:val="en-US" w:eastAsia="zh-CN"/>
                    </w:rPr>
                    <w:t>约3</w:t>
                  </w:r>
                  <w:r>
                    <w:rPr>
                      <w:rFonts w:hint="default"/>
                      <w:color w:val="auto"/>
                      <w:sz w:val="18"/>
                      <w:szCs w:val="18"/>
                      <w:highlight w:val="none"/>
                    </w:rPr>
                    <w:t>0t</w:t>
                  </w:r>
                  <w:r>
                    <w:rPr>
                      <w:rFonts w:hint="eastAsia"/>
                      <w:color w:val="auto"/>
                      <w:sz w:val="18"/>
                      <w:szCs w:val="18"/>
                      <w:highlight w:val="none"/>
                      <w:lang w:eastAsia="zh-CN"/>
                    </w:rPr>
                    <w:t>，</w:t>
                  </w:r>
                  <w:r>
                    <w:rPr>
                      <w:rFonts w:hint="eastAsia"/>
                      <w:color w:val="auto"/>
                      <w:sz w:val="18"/>
                      <w:szCs w:val="18"/>
                      <w:highlight w:val="none"/>
                      <w:lang w:val="en-US" w:eastAsia="zh-CN"/>
                    </w:rPr>
                    <w:t>转运周期为3天</w:t>
                  </w:r>
                  <w:r>
                    <w:rPr>
                      <w:rFonts w:hint="default"/>
                      <w:color w:val="auto"/>
                      <w:sz w:val="18"/>
                      <w:szCs w:val="18"/>
                      <w:highlight w:val="none"/>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eastAsia="宋体"/>
                      <w:color w:val="auto"/>
                      <w:sz w:val="18"/>
                      <w:szCs w:val="18"/>
                      <w:highlight w:val="none"/>
                      <w:lang w:val="zh-CN"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公用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工程</w:t>
                  </w: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供电</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市政供电</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供水</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市政供水管网</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pStyle w:val="1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排水</w:t>
                  </w:r>
                </w:p>
              </w:tc>
              <w:tc>
                <w:tcPr>
                  <w:tcW w:w="3287" w:type="pct"/>
                  <w:noWrap w:val="0"/>
                  <w:vAlign w:val="center"/>
                </w:tcPr>
                <w:p>
                  <w:pPr>
                    <w:pStyle w:val="1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eastAsia="宋体"/>
                      <w:color w:val="auto"/>
                      <w:sz w:val="18"/>
                      <w:szCs w:val="18"/>
                      <w:highlight w:val="none"/>
                      <w:lang w:val="en-US" w:eastAsia="zh-CN"/>
                    </w:rPr>
                  </w:pPr>
                  <w:r>
                    <w:rPr>
                      <w:rFonts w:hint="default"/>
                      <w:color w:val="auto"/>
                      <w:sz w:val="18"/>
                      <w:szCs w:val="18"/>
                      <w:highlight w:val="none"/>
                    </w:rPr>
                    <w:t>项目生活污水</w:t>
                  </w:r>
                  <w:r>
                    <w:rPr>
                      <w:rFonts w:hint="eastAsia"/>
                      <w:color w:val="auto"/>
                      <w:sz w:val="18"/>
                      <w:szCs w:val="18"/>
                      <w:highlight w:val="none"/>
                      <w:lang w:val="en-US" w:eastAsia="zh-CN"/>
                    </w:rPr>
                    <w:t>和锅炉排污水及软化处理废水和生产废水</w:t>
                  </w:r>
                  <w:r>
                    <w:rPr>
                      <w:rFonts w:hint="default" w:ascii="Times New Roman" w:hAnsi="Times New Roman" w:cs="Times New Roman"/>
                      <w:color w:val="auto"/>
                      <w:sz w:val="18"/>
                      <w:szCs w:val="18"/>
                      <w:highlight w:val="none"/>
                    </w:rPr>
                    <w:t>经过</w:t>
                  </w:r>
                  <w:r>
                    <w:rPr>
                      <w:rFonts w:hint="default" w:ascii="Times New Roman" w:hAnsi="Times New Roman" w:cs="Times New Roman"/>
                      <w:color w:val="auto"/>
                      <w:sz w:val="18"/>
                      <w:szCs w:val="18"/>
                      <w:highlight w:val="none"/>
                      <w:lang w:val="en-US" w:eastAsia="zh-CN"/>
                    </w:rPr>
                    <w:t>厂区污水处理站（气浮+AO+MBR+消毒）</w:t>
                  </w:r>
                  <w:r>
                    <w:rPr>
                      <w:rFonts w:hint="default" w:ascii="Times New Roman" w:hAnsi="Times New Roman" w:cs="Times New Roman"/>
                      <w:color w:val="auto"/>
                      <w:sz w:val="18"/>
                      <w:szCs w:val="18"/>
                      <w:highlight w:val="none"/>
                    </w:rPr>
                    <w:t>处理后，满足《肉类加工工业水污染物排放标准》（GB13457-92）表3中“肉制品加工”表3中三级标准，经</w:t>
                  </w:r>
                  <w:r>
                    <w:rPr>
                      <w:rFonts w:hint="default" w:ascii="Times New Roman" w:hAnsi="Times New Roman" w:cs="Times New Roman"/>
                      <w:color w:val="auto"/>
                      <w:sz w:val="18"/>
                      <w:szCs w:val="18"/>
                      <w:highlight w:val="none"/>
                      <w:lang w:val="en-US" w:eastAsia="zh-CN"/>
                    </w:rPr>
                    <w:t>双城</w:t>
                  </w:r>
                  <w:r>
                    <w:rPr>
                      <w:rFonts w:hint="default" w:ascii="Times New Roman" w:hAnsi="Times New Roman" w:cs="Times New Roman"/>
                      <w:color w:val="auto"/>
                      <w:sz w:val="18"/>
                      <w:szCs w:val="18"/>
                      <w:highlight w:val="none"/>
                    </w:rPr>
                    <w:t>污水处理厂处理</w:t>
                  </w:r>
                  <w:r>
                    <w:rPr>
                      <w:rFonts w:hint="default" w:ascii="Times New Roman" w:hAnsi="Times New Roman" w:cs="Times New Roman"/>
                      <w:color w:val="auto"/>
                      <w:sz w:val="18"/>
                      <w:szCs w:val="18"/>
                      <w:highlight w:val="none"/>
                      <w:lang w:val="en-US" w:eastAsia="zh-CN"/>
                    </w:rPr>
                    <w:t>达标</w:t>
                  </w:r>
                  <w:r>
                    <w:rPr>
                      <w:rFonts w:hint="default" w:ascii="Times New Roman" w:hAnsi="Times New Roman" w:cs="Times New Roman"/>
                      <w:color w:val="auto"/>
                      <w:sz w:val="18"/>
                      <w:szCs w:val="18"/>
                      <w:highlight w:val="none"/>
                    </w:rPr>
                    <w:t>后排入</w:t>
                  </w:r>
                  <w:r>
                    <w:rPr>
                      <w:rFonts w:hint="default" w:ascii="Times New Roman" w:hAnsi="Times New Roman" w:cs="Times New Roman"/>
                      <w:color w:val="auto"/>
                      <w:sz w:val="18"/>
                      <w:szCs w:val="18"/>
                      <w:highlight w:val="none"/>
                      <w:lang w:val="en-US" w:eastAsia="zh-CN"/>
                    </w:rPr>
                    <w:t>拉林河</w:t>
                  </w:r>
                  <w:r>
                    <w:rPr>
                      <w:rFonts w:hint="default" w:ascii="Times New Roman" w:hAnsi="Times New Roman" w:cs="Times New Roman"/>
                      <w:color w:val="auto"/>
                      <w:sz w:val="18"/>
                      <w:szCs w:val="18"/>
                      <w:highlight w:val="none"/>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pStyle w:val="1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rPr>
                    <w:t>供热</w:t>
                  </w:r>
                  <w:r>
                    <w:rPr>
                      <w:rFonts w:hint="eastAsia"/>
                      <w:color w:val="auto"/>
                      <w:sz w:val="18"/>
                      <w:szCs w:val="18"/>
                      <w:highlight w:val="none"/>
                      <w:lang w:val="en-US" w:eastAsia="zh-CN"/>
                    </w:rPr>
                    <w:t>供暖</w:t>
                  </w:r>
                </w:p>
              </w:tc>
              <w:tc>
                <w:tcPr>
                  <w:tcW w:w="3287" w:type="pct"/>
                  <w:noWrap w:val="0"/>
                  <w:vAlign w:val="center"/>
                </w:tcPr>
                <w:p>
                  <w:pPr>
                    <w:pStyle w:val="1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eastAsia="宋体"/>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锅炉</w:t>
                  </w:r>
                  <w:r>
                    <w:rPr>
                      <w:rFonts w:hint="eastAsia" w:cs="Times New Roman"/>
                      <w:color w:val="auto"/>
                      <w:sz w:val="18"/>
                      <w:szCs w:val="18"/>
                      <w:highlight w:val="none"/>
                      <w:lang w:val="en-US" w:eastAsia="zh-CN"/>
                    </w:rPr>
                    <w:t>间</w:t>
                  </w:r>
                  <w:r>
                    <w:rPr>
                      <w:rFonts w:hint="default" w:ascii="Times New Roman" w:hAnsi="Times New Roman" w:cs="Times New Roman"/>
                      <w:color w:val="auto"/>
                      <w:kern w:val="21"/>
                      <w:sz w:val="18"/>
                      <w:szCs w:val="18"/>
                      <w:highlight w:val="none"/>
                      <w:vertAlign w:val="baseline"/>
                      <w:lang w:eastAsia="zh-CN"/>
                    </w:rPr>
                    <w:t>内设</w:t>
                  </w:r>
                  <w:r>
                    <w:rPr>
                      <w:rFonts w:hint="default" w:ascii="Times New Roman" w:hAnsi="Times New Roman" w:cs="Times New Roman"/>
                      <w:b w:val="0"/>
                      <w:bCs w:val="0"/>
                      <w:snapToGrid w:val="0"/>
                      <w:color w:val="auto"/>
                      <w:kern w:val="0"/>
                      <w:sz w:val="18"/>
                      <w:szCs w:val="18"/>
                      <w:highlight w:val="none"/>
                      <w:lang w:val="en-US" w:eastAsia="zh-CN"/>
                    </w:rPr>
                    <w:t>1台</w:t>
                  </w:r>
                  <w:r>
                    <w:rPr>
                      <w:rFonts w:hint="eastAsia" w:cs="Times New Roman"/>
                      <w:b w:val="0"/>
                      <w:bCs w:val="0"/>
                      <w:snapToGrid w:val="0"/>
                      <w:color w:val="auto"/>
                      <w:kern w:val="0"/>
                      <w:sz w:val="18"/>
                      <w:szCs w:val="18"/>
                      <w:highlight w:val="none"/>
                      <w:lang w:val="en-US" w:eastAsia="zh-CN"/>
                    </w:rPr>
                    <w:t>6t/h燃气蒸汽锅炉</w:t>
                  </w:r>
                  <w:r>
                    <w:rPr>
                      <w:rFonts w:hint="default" w:ascii="Times New Roman" w:hAnsi="Times New Roman" w:cs="Times New Roman"/>
                      <w:color w:val="auto"/>
                      <w:sz w:val="18"/>
                      <w:szCs w:val="18"/>
                      <w:highlight w:val="none"/>
                      <w:lang w:val="en-US" w:eastAsia="zh-CN"/>
                    </w:rPr>
                    <w:t>为厂区</w:t>
                  </w:r>
                  <w:r>
                    <w:rPr>
                      <w:rFonts w:hint="eastAsia" w:cs="Times New Roman"/>
                      <w:color w:val="auto"/>
                      <w:sz w:val="18"/>
                      <w:szCs w:val="18"/>
                      <w:highlight w:val="none"/>
                      <w:lang w:val="en-US" w:eastAsia="zh-CN"/>
                    </w:rPr>
                    <w:t>常年生产用热及</w:t>
                  </w:r>
                  <w:r>
                    <w:rPr>
                      <w:rFonts w:hint="default" w:ascii="Times New Roman" w:hAnsi="Times New Roman" w:cs="Times New Roman"/>
                      <w:color w:val="auto"/>
                      <w:sz w:val="18"/>
                      <w:szCs w:val="18"/>
                      <w:highlight w:val="none"/>
                      <w:lang w:val="en-US" w:eastAsia="zh-CN"/>
                    </w:rPr>
                    <w:t>冬季供暖</w:t>
                  </w:r>
                  <w:r>
                    <w:rPr>
                      <w:rFonts w:hint="default" w:ascii="Times New Roman" w:hAnsi="Times New Roman" w:eastAsia="宋体" w:cs="Times New Roman"/>
                      <w:b w:val="0"/>
                      <w:bCs w:val="0"/>
                      <w:snapToGrid w:val="0"/>
                      <w:color w:val="auto"/>
                      <w:kern w:val="0"/>
                      <w:sz w:val="18"/>
                      <w:szCs w:val="18"/>
                      <w:highlight w:val="none"/>
                      <w:lang w:eastAsia="zh-CN"/>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lang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环保</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工程</w:t>
                  </w: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rPr>
                  </w:pPr>
                  <w:r>
                    <w:rPr>
                      <w:rFonts w:hint="default"/>
                      <w:color w:val="auto"/>
                      <w:sz w:val="18"/>
                      <w:szCs w:val="18"/>
                      <w:highlight w:val="none"/>
                    </w:rPr>
                    <w:t>废水</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sz w:val="18"/>
                      <w:szCs w:val="18"/>
                      <w:highlight w:val="none"/>
                    </w:rPr>
                  </w:pPr>
                  <w:r>
                    <w:rPr>
                      <w:rFonts w:hint="default"/>
                      <w:color w:val="auto"/>
                      <w:sz w:val="18"/>
                      <w:szCs w:val="18"/>
                      <w:highlight w:val="none"/>
                    </w:rPr>
                    <w:t>项目生活污水</w:t>
                  </w:r>
                  <w:r>
                    <w:rPr>
                      <w:rFonts w:hint="eastAsia"/>
                      <w:color w:val="auto"/>
                      <w:sz w:val="18"/>
                      <w:szCs w:val="18"/>
                      <w:highlight w:val="none"/>
                      <w:lang w:val="en-US" w:eastAsia="zh-CN"/>
                    </w:rPr>
                    <w:t>和锅炉排污水及软化处理废水和生产废水</w:t>
                  </w:r>
                  <w:r>
                    <w:rPr>
                      <w:rFonts w:hint="default" w:ascii="Times New Roman" w:hAnsi="Times New Roman" w:cs="Times New Roman"/>
                      <w:color w:val="auto"/>
                      <w:sz w:val="18"/>
                      <w:szCs w:val="18"/>
                      <w:highlight w:val="none"/>
                    </w:rPr>
                    <w:t>经过</w:t>
                  </w:r>
                  <w:r>
                    <w:rPr>
                      <w:rFonts w:hint="default" w:ascii="Times New Roman" w:hAnsi="Times New Roman" w:cs="Times New Roman"/>
                      <w:color w:val="auto"/>
                      <w:sz w:val="18"/>
                      <w:szCs w:val="18"/>
                      <w:highlight w:val="none"/>
                      <w:lang w:val="en-US" w:eastAsia="zh-CN"/>
                    </w:rPr>
                    <w:t>厂区污水处理站（气浮+AO+MBR+消毒）</w:t>
                  </w:r>
                  <w:r>
                    <w:rPr>
                      <w:rFonts w:hint="default" w:ascii="Times New Roman" w:hAnsi="Times New Roman" w:cs="Times New Roman"/>
                      <w:color w:val="auto"/>
                      <w:sz w:val="18"/>
                      <w:szCs w:val="18"/>
                      <w:highlight w:val="none"/>
                    </w:rPr>
                    <w:t>处理后，满足《肉类加工工业水污染物排放标准》（GB13457-92）表3中“肉制品加工”表3中三级标准，经</w:t>
                  </w:r>
                  <w:r>
                    <w:rPr>
                      <w:rFonts w:hint="default" w:ascii="Times New Roman" w:hAnsi="Times New Roman" w:cs="Times New Roman"/>
                      <w:color w:val="auto"/>
                      <w:sz w:val="18"/>
                      <w:szCs w:val="18"/>
                      <w:highlight w:val="none"/>
                      <w:lang w:val="en-US" w:eastAsia="zh-CN"/>
                    </w:rPr>
                    <w:t>双城</w:t>
                  </w:r>
                  <w:r>
                    <w:rPr>
                      <w:rFonts w:hint="default" w:ascii="Times New Roman" w:hAnsi="Times New Roman" w:cs="Times New Roman"/>
                      <w:color w:val="auto"/>
                      <w:sz w:val="18"/>
                      <w:szCs w:val="18"/>
                      <w:highlight w:val="none"/>
                    </w:rPr>
                    <w:t>污水处理厂处理</w:t>
                  </w:r>
                  <w:r>
                    <w:rPr>
                      <w:rFonts w:hint="default" w:ascii="Times New Roman" w:hAnsi="Times New Roman" w:cs="Times New Roman"/>
                      <w:color w:val="auto"/>
                      <w:sz w:val="18"/>
                      <w:szCs w:val="18"/>
                      <w:highlight w:val="none"/>
                      <w:lang w:val="en-US" w:eastAsia="zh-CN"/>
                    </w:rPr>
                    <w:t>达标</w:t>
                  </w:r>
                  <w:r>
                    <w:rPr>
                      <w:rFonts w:hint="default" w:ascii="Times New Roman" w:hAnsi="Times New Roman" w:cs="Times New Roman"/>
                      <w:color w:val="auto"/>
                      <w:sz w:val="18"/>
                      <w:szCs w:val="18"/>
                      <w:highlight w:val="none"/>
                    </w:rPr>
                    <w:t>后排入</w:t>
                  </w:r>
                  <w:r>
                    <w:rPr>
                      <w:rFonts w:hint="default" w:ascii="Times New Roman" w:hAnsi="Times New Roman" w:cs="Times New Roman"/>
                      <w:color w:val="auto"/>
                      <w:sz w:val="18"/>
                      <w:szCs w:val="18"/>
                      <w:highlight w:val="none"/>
                      <w:lang w:val="en-US" w:eastAsia="zh-CN"/>
                    </w:rPr>
                    <w:t>拉林河</w:t>
                  </w:r>
                  <w:r>
                    <w:rPr>
                      <w:rFonts w:hint="default" w:ascii="Times New Roman" w:hAnsi="Times New Roman" w:cs="Times New Roman"/>
                      <w:color w:val="auto"/>
                      <w:sz w:val="18"/>
                      <w:szCs w:val="18"/>
                      <w:highlight w:val="none"/>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rPr>
                    <w:t>废气</w:t>
                  </w:r>
                </w:p>
              </w:tc>
              <w:tc>
                <w:tcPr>
                  <w:tcW w:w="3287" w:type="pct"/>
                  <w:noWrap w:val="0"/>
                  <w:vAlign w:val="center"/>
                </w:tcPr>
                <w:p>
                  <w:pPr>
                    <w:keepNext w:val="0"/>
                    <w:keepLines w:val="0"/>
                    <w:pageBreakBefore w:val="0"/>
                    <w:widowControl w:val="0"/>
                    <w:suppressLineNumbers w:val="0"/>
                    <w:tabs>
                      <w:tab w:val="left" w:pos="232"/>
                    </w:tabs>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eastAsia="宋体"/>
                      <w:color w:val="auto"/>
                      <w:sz w:val="18"/>
                      <w:szCs w:val="18"/>
                      <w:highlight w:val="none"/>
                      <w:lang w:val="en-US" w:eastAsia="zh-CN"/>
                    </w:rPr>
                  </w:pPr>
                  <w:r>
                    <w:rPr>
                      <w:rFonts w:hint="eastAsia"/>
                      <w:color w:val="auto"/>
                      <w:sz w:val="18"/>
                      <w:szCs w:val="18"/>
                      <w:highlight w:val="none"/>
                      <w:lang w:eastAsia="zh-CN"/>
                    </w:rPr>
                    <w:t>燃气蒸汽锅炉</w:t>
                  </w:r>
                  <w:r>
                    <w:rPr>
                      <w:rFonts w:hint="default"/>
                      <w:color w:val="auto"/>
                      <w:sz w:val="18"/>
                      <w:szCs w:val="18"/>
                      <w:highlight w:val="none"/>
                    </w:rPr>
                    <w:t>烟气采用低氮燃烧器，经一根</w:t>
                  </w:r>
                  <w:r>
                    <w:rPr>
                      <w:rFonts w:hint="eastAsia"/>
                      <w:color w:val="auto"/>
                      <w:sz w:val="18"/>
                      <w:szCs w:val="18"/>
                      <w:highlight w:val="none"/>
                      <w:lang w:val="en-US" w:eastAsia="zh-CN"/>
                    </w:rPr>
                    <w:t>27</w:t>
                  </w:r>
                  <w:r>
                    <w:rPr>
                      <w:rFonts w:hint="default"/>
                      <w:color w:val="auto"/>
                      <w:sz w:val="18"/>
                      <w:szCs w:val="18"/>
                      <w:highlight w:val="none"/>
                    </w:rPr>
                    <w:t>m高</w:t>
                  </w:r>
                  <w:r>
                    <w:rPr>
                      <w:rFonts w:hint="eastAsia"/>
                      <w:color w:val="auto"/>
                      <w:sz w:val="18"/>
                      <w:szCs w:val="18"/>
                      <w:highlight w:val="none"/>
                      <w:lang w:val="en-US" w:eastAsia="zh-CN"/>
                    </w:rPr>
                    <w:t>烟囱</w:t>
                  </w:r>
                  <w:r>
                    <w:rPr>
                      <w:rFonts w:hint="default"/>
                      <w:color w:val="auto"/>
                      <w:sz w:val="18"/>
                      <w:szCs w:val="18"/>
                      <w:highlight w:val="none"/>
                    </w:rPr>
                    <w:t>（DA00</w:t>
                  </w:r>
                  <w:r>
                    <w:rPr>
                      <w:rFonts w:hint="eastAsia"/>
                      <w:color w:val="auto"/>
                      <w:sz w:val="18"/>
                      <w:szCs w:val="18"/>
                      <w:highlight w:val="none"/>
                      <w:lang w:val="en-US" w:eastAsia="zh-CN"/>
                    </w:rPr>
                    <w:t>1</w:t>
                  </w:r>
                  <w:r>
                    <w:rPr>
                      <w:rFonts w:hint="default"/>
                      <w:color w:val="auto"/>
                      <w:sz w:val="18"/>
                      <w:szCs w:val="18"/>
                      <w:highlight w:val="none"/>
                    </w:rPr>
                    <w:t>）排放，锅炉烟气排放浓度满足《锅炉大气污染物排放标准》（GB13271-2014）中</w:t>
                  </w:r>
                  <w:r>
                    <w:rPr>
                      <w:rFonts w:hint="eastAsia" w:ascii="宋体" w:hAnsi="宋体" w:cs="宋体"/>
                      <w:color w:val="auto"/>
                      <w:kern w:val="0"/>
                      <w:sz w:val="18"/>
                      <w:szCs w:val="18"/>
                      <w:highlight w:val="none"/>
                    </w:rPr>
                    <w:t>表</w:t>
                  </w:r>
                  <w:r>
                    <w:rPr>
                      <w:rFonts w:hint="default"/>
                      <w:color w:val="auto"/>
                      <w:sz w:val="18"/>
                      <w:szCs w:val="18"/>
                      <w:highlight w:val="none"/>
                    </w:rPr>
                    <w:t>2</w:t>
                  </w:r>
                  <w:r>
                    <w:rPr>
                      <w:rFonts w:hint="eastAsia"/>
                      <w:color w:val="auto"/>
                      <w:sz w:val="18"/>
                      <w:szCs w:val="18"/>
                      <w:highlight w:val="none"/>
                      <w:lang w:val="en-US" w:eastAsia="zh-CN"/>
                    </w:rPr>
                    <w:t>燃气标准限值要求</w:t>
                  </w:r>
                  <w:r>
                    <w:rPr>
                      <w:rFonts w:hint="eastAsia"/>
                      <w:color w:val="auto"/>
                      <w:sz w:val="18"/>
                      <w:szCs w:val="18"/>
                      <w:highlight w:val="none"/>
                      <w:lang w:eastAsia="zh-CN"/>
                    </w:rPr>
                    <w:t>；</w:t>
                  </w:r>
                  <w:r>
                    <w:rPr>
                      <w:rFonts w:hint="eastAsia" w:ascii="Times New Roman"/>
                      <w:color w:val="auto"/>
                      <w:sz w:val="18"/>
                      <w:szCs w:val="18"/>
                      <w:highlight w:val="none"/>
                    </w:rPr>
                    <w:t>熏</w:t>
                  </w:r>
                  <w:r>
                    <w:rPr>
                      <w:rFonts w:hint="eastAsia"/>
                      <w:color w:val="auto"/>
                      <w:sz w:val="18"/>
                      <w:szCs w:val="18"/>
                      <w:highlight w:val="none"/>
                      <w:lang w:val="en-US" w:eastAsia="zh-CN"/>
                    </w:rPr>
                    <w:t>烤</w:t>
                  </w:r>
                  <w:r>
                    <w:rPr>
                      <w:rFonts w:hint="eastAsia" w:ascii="Times New Roman"/>
                      <w:color w:val="auto"/>
                      <w:sz w:val="18"/>
                      <w:szCs w:val="18"/>
                      <w:highlight w:val="none"/>
                    </w:rPr>
                    <w:t>间蒸煮和熏</w:t>
                  </w:r>
                  <w:r>
                    <w:rPr>
                      <w:rFonts w:hint="eastAsia"/>
                      <w:color w:val="auto"/>
                      <w:sz w:val="18"/>
                      <w:szCs w:val="18"/>
                      <w:highlight w:val="none"/>
                      <w:lang w:val="en-US" w:eastAsia="zh-CN"/>
                    </w:rPr>
                    <w:t>烤</w:t>
                  </w:r>
                  <w:r>
                    <w:rPr>
                      <w:rFonts w:hint="eastAsia" w:ascii="Times New Roman"/>
                      <w:color w:val="auto"/>
                      <w:sz w:val="18"/>
                      <w:szCs w:val="18"/>
                      <w:highlight w:val="none"/>
                    </w:rPr>
                    <w:t>肉制品产生的二氧化硫、烟尘</w:t>
                  </w:r>
                  <w:r>
                    <w:rPr>
                      <w:rFonts w:hint="default" w:ascii="Times New Roman"/>
                      <w:color w:val="auto"/>
                      <w:sz w:val="18"/>
                      <w:szCs w:val="18"/>
                      <w:highlight w:val="none"/>
                    </w:rPr>
                    <w:t>和</w:t>
                  </w:r>
                  <w:r>
                    <w:rPr>
                      <w:rFonts w:hint="eastAsia" w:ascii="Times New Roman"/>
                      <w:color w:val="auto"/>
                      <w:sz w:val="18"/>
                      <w:szCs w:val="18"/>
                      <w:highlight w:val="none"/>
                    </w:rPr>
                    <w:t>氮氧化物</w:t>
                  </w:r>
                  <w:r>
                    <w:rPr>
                      <w:rFonts w:hint="default" w:ascii="Times New Roman"/>
                      <w:color w:val="auto"/>
                      <w:sz w:val="18"/>
                      <w:szCs w:val="18"/>
                      <w:highlight w:val="none"/>
                    </w:rPr>
                    <w:t>通过静电除尘器+低温等离子体净化装置处理后，通过一根</w:t>
                  </w:r>
                  <w:r>
                    <w:rPr>
                      <w:rFonts w:hint="eastAsia"/>
                      <w:color w:val="auto"/>
                      <w:sz w:val="18"/>
                      <w:szCs w:val="18"/>
                      <w:highlight w:val="none"/>
                      <w:lang w:val="en-US" w:eastAsia="zh-CN"/>
                    </w:rPr>
                    <w:t>27</w:t>
                  </w:r>
                  <w:r>
                    <w:rPr>
                      <w:rFonts w:hint="default" w:ascii="Times New Roman"/>
                      <w:color w:val="auto"/>
                      <w:sz w:val="18"/>
                      <w:szCs w:val="18"/>
                      <w:highlight w:val="none"/>
                    </w:rPr>
                    <w:t>m高排气筒</w:t>
                  </w:r>
                  <w:r>
                    <w:rPr>
                      <w:rFonts w:hint="default"/>
                      <w:color w:val="auto"/>
                      <w:sz w:val="18"/>
                      <w:szCs w:val="18"/>
                      <w:highlight w:val="none"/>
                    </w:rPr>
                    <w:t>（DA00</w:t>
                  </w:r>
                  <w:r>
                    <w:rPr>
                      <w:rFonts w:hint="eastAsia"/>
                      <w:color w:val="auto"/>
                      <w:sz w:val="18"/>
                      <w:szCs w:val="18"/>
                      <w:highlight w:val="none"/>
                      <w:lang w:val="en-US" w:eastAsia="zh-CN"/>
                    </w:rPr>
                    <w:t>2</w:t>
                  </w:r>
                  <w:r>
                    <w:rPr>
                      <w:rFonts w:hint="default"/>
                      <w:color w:val="auto"/>
                      <w:sz w:val="18"/>
                      <w:szCs w:val="18"/>
                      <w:highlight w:val="none"/>
                    </w:rPr>
                    <w:t>）</w:t>
                  </w:r>
                  <w:r>
                    <w:rPr>
                      <w:rFonts w:hint="default" w:ascii="Times New Roman"/>
                      <w:color w:val="auto"/>
                      <w:sz w:val="18"/>
                      <w:szCs w:val="18"/>
                      <w:highlight w:val="none"/>
                    </w:rPr>
                    <w:t>排放</w:t>
                  </w:r>
                  <w:r>
                    <w:rPr>
                      <w:rFonts w:hint="eastAsia" w:ascii="Times New Roman"/>
                      <w:color w:val="auto"/>
                      <w:sz w:val="18"/>
                      <w:szCs w:val="18"/>
                      <w:highlight w:val="none"/>
                      <w:lang w:eastAsia="zh-CN"/>
                    </w:rPr>
                    <w:t>；</w:t>
                  </w:r>
                  <w:r>
                    <w:rPr>
                      <w:rFonts w:hint="default"/>
                      <w:color w:val="auto"/>
                      <w:sz w:val="18"/>
                      <w:szCs w:val="18"/>
                      <w:highlight w:val="none"/>
                    </w:rPr>
                    <w:t>污水处理站恶臭气体统一收集，经活性炭吸附后通过15m排气筒（DA003）排放，氨和硫化氢</w:t>
                  </w:r>
                  <w:r>
                    <w:rPr>
                      <w:rFonts w:hint="eastAsia"/>
                      <w:color w:val="auto"/>
                      <w:sz w:val="18"/>
                      <w:szCs w:val="18"/>
                      <w:highlight w:val="none"/>
                      <w:lang w:eastAsia="zh-CN"/>
                    </w:rPr>
                    <w:t>、</w:t>
                  </w:r>
                  <w:r>
                    <w:rPr>
                      <w:rFonts w:hint="eastAsia"/>
                      <w:color w:val="auto"/>
                      <w:sz w:val="18"/>
                      <w:szCs w:val="18"/>
                      <w:highlight w:val="none"/>
                      <w:lang w:val="en-US" w:eastAsia="zh-CN"/>
                    </w:rPr>
                    <w:t>臭气浓度</w:t>
                  </w:r>
                  <w:r>
                    <w:rPr>
                      <w:rFonts w:hint="default"/>
                      <w:color w:val="auto"/>
                      <w:sz w:val="18"/>
                      <w:szCs w:val="18"/>
                      <w:highlight w:val="none"/>
                    </w:rPr>
                    <w:t>满足《恶臭污染物排放标准》(GB14554-93）表2标准要求</w:t>
                  </w:r>
                  <w:r>
                    <w:rPr>
                      <w:rFonts w:hint="eastAsia"/>
                      <w:color w:val="auto"/>
                      <w:sz w:val="18"/>
                      <w:szCs w:val="18"/>
                      <w:highlight w:val="none"/>
                      <w:lang w:eastAsia="zh-CN"/>
                    </w:rPr>
                    <w:t>；</w:t>
                  </w:r>
                  <w:r>
                    <w:rPr>
                      <w:rFonts w:hint="eastAsia"/>
                      <w:bCs/>
                      <w:color w:val="auto"/>
                      <w:sz w:val="18"/>
                      <w:szCs w:val="18"/>
                      <w:highlight w:val="none"/>
                    </w:rPr>
                    <w:t>食堂油烟经油烟净化器处理后，</w:t>
                  </w:r>
                  <w:r>
                    <w:rPr>
                      <w:rFonts w:hint="default" w:ascii="Times New Roman" w:hAnsi="Times New Roman" w:eastAsia="宋体" w:cs="Times New Roman"/>
                      <w:snapToGrid w:val="0"/>
                      <w:color w:val="auto"/>
                      <w:kern w:val="0"/>
                      <w:sz w:val="18"/>
                      <w:szCs w:val="18"/>
                      <w:highlight w:val="none"/>
                    </w:rPr>
                    <w:t>经专用烟道排出</w:t>
                  </w:r>
                  <w:r>
                    <w:rPr>
                      <w:rFonts w:hint="eastAsia"/>
                      <w:bCs/>
                      <w:color w:val="auto"/>
                      <w:sz w:val="18"/>
                      <w:szCs w:val="18"/>
                      <w:highlight w:val="none"/>
                    </w:rPr>
                    <w:t>，满足</w:t>
                  </w:r>
                  <w:r>
                    <w:rPr>
                      <w:rFonts w:hint="default"/>
                      <w:color w:val="auto"/>
                      <w:sz w:val="18"/>
                      <w:szCs w:val="18"/>
                      <w:highlight w:val="none"/>
                    </w:rPr>
                    <w:t>《</w:t>
                  </w:r>
                  <w:r>
                    <w:rPr>
                      <w:rFonts w:hint="eastAsia"/>
                      <w:color w:val="auto"/>
                      <w:sz w:val="18"/>
                      <w:szCs w:val="18"/>
                      <w:highlight w:val="none"/>
                      <w:lang w:eastAsia="zh-CN"/>
                    </w:rPr>
                    <w:t>饮食业油烟排放标准（试行）</w:t>
                  </w:r>
                  <w:r>
                    <w:rPr>
                      <w:rFonts w:hint="default"/>
                      <w:color w:val="auto"/>
                      <w:sz w:val="18"/>
                      <w:szCs w:val="18"/>
                      <w:highlight w:val="none"/>
                    </w:rPr>
                    <w:t>》（GB18483-2001）</w:t>
                  </w:r>
                  <w:r>
                    <w:rPr>
                      <w:rFonts w:hint="eastAsia"/>
                      <w:color w:val="auto"/>
                      <w:sz w:val="18"/>
                      <w:szCs w:val="18"/>
                      <w:highlight w:val="none"/>
                    </w:rPr>
                    <w:t>“</w:t>
                  </w:r>
                  <w:r>
                    <w:rPr>
                      <w:rFonts w:hint="eastAsia"/>
                      <w:color w:val="auto"/>
                      <w:sz w:val="18"/>
                      <w:szCs w:val="18"/>
                      <w:highlight w:val="none"/>
                      <w:lang w:val="en-US" w:eastAsia="zh-CN"/>
                    </w:rPr>
                    <w:t>中</w:t>
                  </w:r>
                  <w:r>
                    <w:rPr>
                      <w:rFonts w:hint="eastAsia"/>
                      <w:color w:val="auto"/>
                      <w:sz w:val="18"/>
                      <w:szCs w:val="18"/>
                      <w:highlight w:val="none"/>
                    </w:rPr>
                    <w:t>型”规模限值。</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rPr>
                  </w:pPr>
                  <w:r>
                    <w:rPr>
                      <w:rFonts w:hint="eastAsia"/>
                      <w:color w:val="auto"/>
                      <w:sz w:val="18"/>
                      <w:szCs w:val="18"/>
                      <w:highlight w:val="none"/>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rPr>
                  </w:pPr>
                  <w:r>
                    <w:rPr>
                      <w:rFonts w:hint="default"/>
                      <w:color w:val="auto"/>
                      <w:sz w:val="18"/>
                      <w:szCs w:val="18"/>
                      <w:highlight w:val="none"/>
                    </w:rPr>
                    <w:t>噪声</w:t>
                  </w:r>
                </w:p>
              </w:tc>
              <w:tc>
                <w:tcPr>
                  <w:tcW w:w="328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highlight w:val="none"/>
                      <w:lang w:eastAsia="zh-CN"/>
                    </w:rPr>
                  </w:pPr>
                  <w:r>
                    <w:rPr>
                      <w:rFonts w:hint="default"/>
                      <w:color w:val="auto"/>
                      <w:sz w:val="18"/>
                      <w:szCs w:val="18"/>
                      <w:highlight w:val="none"/>
                    </w:rPr>
                    <w:t>选用低噪设备，</w:t>
                  </w:r>
                  <w:r>
                    <w:rPr>
                      <w:rFonts w:hint="eastAsia"/>
                      <w:color w:val="auto"/>
                      <w:sz w:val="18"/>
                      <w:szCs w:val="18"/>
                      <w:highlight w:val="none"/>
                      <w:lang w:eastAsia="zh-CN"/>
                    </w:rPr>
                    <w:t>并采取减振、降噪、</w:t>
                  </w:r>
                  <w:r>
                    <w:rPr>
                      <w:rFonts w:hint="eastAsia"/>
                      <w:color w:val="auto"/>
                      <w:sz w:val="18"/>
                      <w:szCs w:val="18"/>
                      <w:highlight w:val="none"/>
                      <w:lang w:val="en-US" w:eastAsia="zh-CN"/>
                    </w:rPr>
                    <w:t>安装消声器</w:t>
                  </w:r>
                  <w:r>
                    <w:rPr>
                      <w:rFonts w:hint="eastAsia"/>
                      <w:color w:val="auto"/>
                      <w:sz w:val="18"/>
                      <w:szCs w:val="18"/>
                      <w:highlight w:val="none"/>
                      <w:lang w:eastAsia="zh-CN"/>
                    </w:rPr>
                    <w:t>等</w:t>
                  </w:r>
                  <w:r>
                    <w:rPr>
                      <w:rFonts w:hint="default"/>
                      <w:color w:val="auto"/>
                      <w:sz w:val="18"/>
                      <w:szCs w:val="18"/>
                      <w:highlight w:val="none"/>
                    </w:rPr>
                    <w:t>措施。厂界噪声能够达到《工业企业厂界环境噪声排放标准》</w:t>
                  </w:r>
                  <w:r>
                    <w:rPr>
                      <w:rFonts w:hint="eastAsia"/>
                      <w:color w:val="auto"/>
                      <w:sz w:val="18"/>
                      <w:szCs w:val="18"/>
                      <w:highlight w:val="none"/>
                    </w:rPr>
                    <w:t>（</w:t>
                  </w:r>
                  <w:r>
                    <w:rPr>
                      <w:rFonts w:hint="default"/>
                      <w:color w:val="auto"/>
                      <w:sz w:val="18"/>
                      <w:szCs w:val="18"/>
                      <w:highlight w:val="none"/>
                    </w:rPr>
                    <w:t>GB12348-2008</w:t>
                  </w:r>
                  <w:r>
                    <w:rPr>
                      <w:rFonts w:hint="eastAsia"/>
                      <w:color w:val="auto"/>
                      <w:sz w:val="18"/>
                      <w:szCs w:val="18"/>
                      <w:highlight w:val="none"/>
                    </w:rPr>
                    <w:t>）</w:t>
                  </w:r>
                  <w:r>
                    <w:rPr>
                      <w:rFonts w:hint="default"/>
                      <w:color w:val="auto"/>
                      <w:sz w:val="18"/>
                      <w:szCs w:val="18"/>
                      <w:highlight w:val="none"/>
                    </w:rPr>
                    <w:t>中的2类</w:t>
                  </w:r>
                  <w:r>
                    <w:rPr>
                      <w:rFonts w:hint="eastAsia"/>
                      <w:color w:val="auto"/>
                      <w:sz w:val="18"/>
                      <w:szCs w:val="18"/>
                      <w:highlight w:val="none"/>
                      <w:lang w:val="en-US" w:eastAsia="zh-CN"/>
                    </w:rPr>
                    <w:t>及4类</w:t>
                  </w:r>
                  <w:r>
                    <w:rPr>
                      <w:rFonts w:hint="default"/>
                      <w:color w:val="auto"/>
                      <w:sz w:val="18"/>
                      <w:szCs w:val="18"/>
                      <w:highlight w:val="none"/>
                    </w:rPr>
                    <w:t>标准</w:t>
                  </w:r>
                  <w:r>
                    <w:rPr>
                      <w:rFonts w:hint="eastAsia"/>
                      <w:color w:val="auto"/>
                      <w:sz w:val="18"/>
                      <w:szCs w:val="18"/>
                      <w:highlight w:val="none"/>
                      <w:lang w:eastAsia="zh-CN"/>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rPr>
                  </w:pPr>
                  <w:r>
                    <w:rPr>
                      <w:rFonts w:hint="eastAsia"/>
                      <w:color w:val="auto"/>
                      <w:sz w:val="18"/>
                      <w:szCs w:val="18"/>
                      <w:highlight w:val="none"/>
                    </w:rPr>
                    <w:t>固体</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rPr>
                  </w:pPr>
                  <w:r>
                    <w:rPr>
                      <w:rFonts w:hint="eastAsia"/>
                      <w:color w:val="auto"/>
                      <w:sz w:val="18"/>
                      <w:szCs w:val="18"/>
                      <w:highlight w:val="none"/>
                    </w:rPr>
                    <w:t>废物</w:t>
                  </w:r>
                </w:p>
              </w:tc>
              <w:tc>
                <w:tcPr>
                  <w:tcW w:w="32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olor w:val="auto"/>
                      <w:highlight w:val="none"/>
                      <w:lang w:val="en-US" w:eastAsia="zh-CN"/>
                    </w:rPr>
                  </w:pPr>
                  <w:r>
                    <w:rPr>
                      <w:rFonts w:hint="default" w:ascii="Times New Roman" w:hAnsi="Times New Roman" w:eastAsia="宋体" w:cs="Times New Roman"/>
                      <w:color w:val="auto"/>
                      <w:sz w:val="18"/>
                      <w:szCs w:val="18"/>
                      <w:highlight w:val="none"/>
                    </w:rPr>
                    <w:t>本项目</w:t>
                  </w:r>
                  <w:r>
                    <w:rPr>
                      <w:rFonts w:hint="default" w:ascii="Times New Roman" w:hAnsi="Times New Roman" w:eastAsia="宋体" w:cs="Times New Roman"/>
                      <w:color w:val="auto"/>
                      <w:sz w:val="18"/>
                      <w:szCs w:val="18"/>
                      <w:highlight w:val="none"/>
                      <w:lang w:val="en-US" w:eastAsia="zh-CN"/>
                    </w:rPr>
                    <w:t>生活垃圾</w:t>
                  </w:r>
                  <w:r>
                    <w:rPr>
                      <w:rFonts w:hint="default" w:ascii="Times New Roman" w:hAnsi="Times New Roman" w:eastAsia="宋体" w:cs="Times New Roman"/>
                      <w:color w:val="auto"/>
                      <w:kern w:val="21"/>
                      <w:sz w:val="18"/>
                      <w:szCs w:val="18"/>
                      <w:highlight w:val="none"/>
                    </w:rPr>
                    <w:t>交由市政部门</w:t>
                  </w:r>
                  <w:r>
                    <w:rPr>
                      <w:rFonts w:hint="default" w:ascii="Times New Roman" w:hAnsi="Times New Roman" w:eastAsia="宋体" w:cs="Times New Roman"/>
                      <w:color w:val="auto"/>
                      <w:kern w:val="21"/>
                      <w:sz w:val="18"/>
                      <w:szCs w:val="18"/>
                      <w:highlight w:val="none"/>
                      <w:lang w:val="en-US" w:eastAsia="zh-CN"/>
                    </w:rPr>
                    <w:t>定期清运</w:t>
                  </w:r>
                  <w:r>
                    <w:rPr>
                      <w:rFonts w:hint="default" w:ascii="Times New Roman" w:hAnsi="Times New Roman" w:eastAsia="宋体" w:cs="Times New Roman"/>
                      <w:color w:val="auto"/>
                      <w:kern w:val="21"/>
                      <w:sz w:val="18"/>
                      <w:szCs w:val="18"/>
                      <w:highlight w:val="none"/>
                    </w:rPr>
                    <w:t>处理</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餐馀废物</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废油脂</w:t>
                  </w:r>
                  <w:r>
                    <w:rPr>
                      <w:rFonts w:hint="eastAsia" w:cs="Times New Roman"/>
                      <w:color w:val="auto"/>
                      <w:sz w:val="18"/>
                      <w:szCs w:val="18"/>
                      <w:highlight w:val="none"/>
                      <w:lang w:val="en-US" w:eastAsia="zh-CN"/>
                    </w:rPr>
                    <w:t>按《哈尔滨市城市餐厨废弃物管理办法》相关要求，由有资质单位处理</w:t>
                  </w:r>
                  <w:r>
                    <w:rPr>
                      <w:rFonts w:hint="default" w:ascii="Times New Roman" w:hAnsi="Times New Roman" w:eastAsia="宋体" w:cs="Times New Roman"/>
                      <w:color w:val="auto"/>
                      <w:kern w:val="21"/>
                      <w:sz w:val="18"/>
                      <w:szCs w:val="18"/>
                      <w:highlight w:val="none"/>
                      <w:lang w:val="en-US" w:eastAsia="zh-CN"/>
                    </w:rPr>
                    <w:t>；</w:t>
                  </w:r>
                  <w:r>
                    <w:rPr>
                      <w:rFonts w:hint="default" w:ascii="Times New Roman" w:hAnsi="Times New Roman" w:eastAsia="宋体" w:cs="Times New Roman"/>
                      <w:color w:val="auto"/>
                      <w:sz w:val="18"/>
                      <w:szCs w:val="18"/>
                      <w:highlight w:val="none"/>
                    </w:rPr>
                    <w:t>废离子交换树脂</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集中收集，</w:t>
                  </w:r>
                  <w:r>
                    <w:rPr>
                      <w:rFonts w:hint="eastAsia" w:cs="Times New Roman"/>
                      <w:color w:val="auto"/>
                      <w:sz w:val="18"/>
                      <w:szCs w:val="18"/>
                      <w:highlight w:val="none"/>
                      <w:lang w:val="en-US" w:eastAsia="zh-CN"/>
                    </w:rPr>
                    <w:t>交由厂家再生处理</w:t>
                  </w:r>
                  <w:r>
                    <w:rPr>
                      <w:rFonts w:hint="default" w:ascii="Times New Roman" w:hAnsi="Times New Roman" w:eastAsia="宋体" w:cs="Times New Roman"/>
                      <w:color w:val="auto"/>
                      <w:sz w:val="18"/>
                      <w:szCs w:val="18"/>
                      <w:highlight w:val="none"/>
                    </w:rPr>
                    <w:t>；废包装物</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外售；污水处理站污泥</w:t>
                  </w:r>
                  <w:r>
                    <w:rPr>
                      <w:rFonts w:hint="default" w:ascii="Times New Roman" w:hAnsi="Times New Roman" w:eastAsia="宋体" w:cs="Times New Roman"/>
                      <w:color w:val="auto"/>
                      <w:sz w:val="18"/>
                      <w:szCs w:val="18"/>
                      <w:highlight w:val="none"/>
                    </w:rPr>
                    <w:t>，由市政部门统一处理；</w:t>
                  </w:r>
                  <w:r>
                    <w:rPr>
                      <w:rFonts w:hint="default" w:ascii="Times New Roman" w:hAnsi="Times New Roman" w:eastAsia="宋体" w:cs="Times New Roman"/>
                      <w:color w:val="auto"/>
                      <w:sz w:val="18"/>
                      <w:szCs w:val="18"/>
                      <w:highlight w:val="none"/>
                      <w:lang w:val="en-US" w:eastAsia="zh-CN"/>
                    </w:rPr>
                    <w:t>废活性炭，厂家回收</w:t>
                  </w:r>
                  <w:r>
                    <w:rPr>
                      <w:rStyle w:val="139"/>
                      <w:rFonts w:hint="default" w:ascii="Times New Roman" w:hAnsi="Times New Roman" w:eastAsia="宋体" w:cs="Times New Roman"/>
                      <w:color w:val="auto"/>
                      <w:sz w:val="18"/>
                      <w:szCs w:val="18"/>
                      <w:highlight w:val="none"/>
                      <w:lang w:val="en-US"/>
                    </w:rPr>
                    <w:t>；</w:t>
                  </w:r>
                  <w:r>
                    <w:rPr>
                      <w:rFonts w:hint="default" w:ascii="Times New Roman" w:hAnsi="Times New Roman" w:eastAsia="宋体" w:cs="Times New Roman"/>
                      <w:color w:val="auto"/>
                      <w:sz w:val="18"/>
                      <w:szCs w:val="18"/>
                      <w:highlight w:val="none"/>
                      <w:lang w:val="en-US" w:eastAsia="zh-CN"/>
                    </w:rPr>
                    <w:t>烟熏炉炉渣</w:t>
                  </w:r>
                  <w:r>
                    <w:rPr>
                      <w:rStyle w:val="139"/>
                      <w:rFonts w:hint="default" w:ascii="Times New Roman" w:hAnsi="Times New Roman" w:eastAsia="宋体" w:cs="Times New Roman"/>
                      <w:color w:val="auto"/>
                      <w:sz w:val="18"/>
                      <w:szCs w:val="18"/>
                      <w:highlight w:val="none"/>
                      <w:lang w:val="en-US"/>
                    </w:rPr>
                    <w:t>，</w:t>
                  </w:r>
                  <w:r>
                    <w:rPr>
                      <w:rFonts w:hint="default" w:ascii="Times New Roman" w:hAnsi="Times New Roman" w:eastAsia="宋体" w:cs="Times New Roman"/>
                      <w:color w:val="auto"/>
                      <w:sz w:val="18"/>
                      <w:szCs w:val="18"/>
                      <w:highlight w:val="none"/>
                      <w:lang w:val="en-US" w:eastAsia="zh-CN"/>
                    </w:rPr>
                    <w:t>外售综合利用；电除尘器收尘，</w:t>
                  </w:r>
                  <w:r>
                    <w:rPr>
                      <w:rFonts w:hint="eastAsia" w:cs="Times New Roman"/>
                      <w:color w:val="auto"/>
                      <w:sz w:val="18"/>
                      <w:szCs w:val="18"/>
                      <w:highlight w:val="none"/>
                      <w:lang w:val="en-US" w:eastAsia="zh-CN"/>
                    </w:rPr>
                    <w:t>外售，综合利用</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加工废料</w:t>
                  </w:r>
                  <w:r>
                    <w:rPr>
                      <w:rFonts w:hint="eastAsia" w:cs="Times New Roman"/>
                      <w:color w:val="auto"/>
                      <w:sz w:val="18"/>
                      <w:szCs w:val="18"/>
                      <w:highlight w:val="none"/>
                      <w:lang w:val="en-US" w:eastAsia="zh-CN"/>
                    </w:rPr>
                    <w:t>及不合格品</w:t>
                  </w:r>
                  <w:r>
                    <w:rPr>
                      <w:rFonts w:hint="default" w:ascii="Times New Roman" w:hAnsi="Times New Roman" w:eastAsia="宋体" w:cs="Times New Roman"/>
                      <w:color w:val="auto"/>
                      <w:sz w:val="18"/>
                      <w:szCs w:val="18"/>
                      <w:highlight w:val="none"/>
                      <w:lang w:val="en-US" w:eastAsia="zh-CN"/>
                    </w:rPr>
                    <w:t>，外售</w:t>
                  </w:r>
                  <w:r>
                    <w:rPr>
                      <w:rFonts w:hint="eastAsia" w:cs="Times New Roman"/>
                      <w:color w:val="auto"/>
                      <w:sz w:val="18"/>
                      <w:szCs w:val="18"/>
                      <w:highlight w:val="none"/>
                      <w:lang w:val="en-US" w:eastAsia="zh-CN"/>
                    </w:rPr>
                    <w:t>；废机油，</w:t>
                  </w:r>
                  <w:r>
                    <w:rPr>
                      <w:rFonts w:hint="eastAsia" w:ascii="Times New Roman" w:hAnsi="Times New Roman" w:eastAsia="宋体" w:cs="Times New Roman"/>
                      <w:color w:val="auto"/>
                      <w:sz w:val="18"/>
                      <w:szCs w:val="18"/>
                      <w:highlight w:val="none"/>
                      <w:lang w:val="en-US" w:eastAsia="zh-CN"/>
                    </w:rPr>
                    <w:t>密封桶装，暂存于</w:t>
                  </w:r>
                  <w:r>
                    <w:rPr>
                      <w:rFonts w:hint="eastAsia" w:cs="Times New Roman"/>
                      <w:color w:val="auto"/>
                      <w:sz w:val="18"/>
                      <w:szCs w:val="18"/>
                      <w:highlight w:val="none"/>
                      <w:lang w:val="en-US" w:eastAsia="zh-CN"/>
                    </w:rPr>
                    <w:t>危险废物贮存点</w:t>
                  </w:r>
                  <w:r>
                    <w:rPr>
                      <w:rFonts w:hint="eastAsia" w:ascii="Times New Roman" w:hAnsi="Times New Roman" w:eastAsia="宋体" w:cs="Times New Roman"/>
                      <w:color w:val="auto"/>
                      <w:sz w:val="18"/>
                      <w:szCs w:val="18"/>
                      <w:highlight w:val="none"/>
                      <w:lang w:val="en-US" w:eastAsia="zh-CN"/>
                    </w:rPr>
                    <w:t>内，</w:t>
                  </w:r>
                  <w:r>
                    <w:rPr>
                      <w:rFonts w:hint="eastAsia" w:cs="Times New Roman"/>
                      <w:color w:val="auto"/>
                      <w:kern w:val="21"/>
                      <w:sz w:val="18"/>
                      <w:szCs w:val="18"/>
                      <w:highlight w:val="none"/>
                      <w:lang w:val="en-US" w:eastAsia="zh-CN"/>
                    </w:rPr>
                    <w:t>定期由有资质单位拉运处理</w:t>
                  </w:r>
                  <w:r>
                    <w:rPr>
                      <w:rFonts w:hint="default" w:ascii="Times New Roman" w:hAnsi="Times New Roman" w:eastAsia="宋体" w:cs="Times New Roman"/>
                      <w:color w:val="auto"/>
                      <w:sz w:val="18"/>
                      <w:szCs w:val="18"/>
                      <w:highlight w:val="none"/>
                      <w:lang w:val="en-US" w:eastAsia="zh-CN"/>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7" w:hRule="atLeast"/>
                <w:jc w:val="center"/>
              </w:trPr>
              <w:tc>
                <w:tcPr>
                  <w:tcW w:w="24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环境风险</w:t>
                  </w:r>
                </w:p>
              </w:tc>
              <w:tc>
                <w:tcPr>
                  <w:tcW w:w="3287" w:type="pct"/>
                  <w:noWrap w:val="0"/>
                  <w:vAlign w:val="center"/>
                </w:tcPr>
                <w:p>
                  <w:pPr>
                    <w:keepNext w:val="0"/>
                    <w:keepLines w:val="0"/>
                    <w:suppressLineNumbers w:val="0"/>
                    <w:bidi w:val="0"/>
                    <w:spacing w:before="0" w:beforeAutospacing="0" w:after="0" w:afterAutospacing="0"/>
                    <w:ind w:left="0" w:right="0"/>
                    <w:rPr>
                      <w:rFonts w:hint="eastAsia"/>
                      <w:sz w:val="18"/>
                      <w:szCs w:val="18"/>
                      <w:lang w:eastAsia="zh-CN"/>
                    </w:rPr>
                  </w:pPr>
                  <w:r>
                    <w:rPr>
                      <w:rFonts w:hint="eastAsia" w:ascii="宋体" w:hAnsi="宋体" w:eastAsia="宋体" w:cs="宋体"/>
                      <w:color w:val="auto"/>
                      <w:sz w:val="18"/>
                      <w:szCs w:val="18"/>
                      <w:highlight w:val="none"/>
                    </w:rPr>
                    <w:t>本项目</w:t>
                  </w:r>
                  <w:r>
                    <w:rPr>
                      <w:rFonts w:hint="eastAsia"/>
                      <w:sz w:val="18"/>
                      <w:szCs w:val="18"/>
                    </w:rPr>
                    <w:t>在污水处理站地下设置一座事故水池，容积为</w:t>
                  </w:r>
                  <w:r>
                    <w:rPr>
                      <w:rFonts w:hint="default"/>
                      <w:sz w:val="18"/>
                      <w:szCs w:val="18"/>
                      <w:lang w:val="en-US" w:eastAsia="zh-CN"/>
                    </w:rPr>
                    <w:t>150</w:t>
                  </w:r>
                  <w:r>
                    <w:rPr>
                      <w:rFonts w:hint="default"/>
                      <w:sz w:val="18"/>
                      <w:szCs w:val="18"/>
                    </w:rPr>
                    <w:t>m</w:t>
                  </w:r>
                  <w:r>
                    <w:rPr>
                      <w:rFonts w:hint="default"/>
                      <w:sz w:val="18"/>
                      <w:szCs w:val="18"/>
                      <w:vertAlign w:val="superscript"/>
                    </w:rPr>
                    <w:t>3</w:t>
                  </w:r>
                  <w:r>
                    <w:rPr>
                      <w:rFonts w:hint="default"/>
                      <w:sz w:val="18"/>
                      <w:szCs w:val="18"/>
                      <w:lang w:eastAsia="zh-CN"/>
                    </w:rPr>
                    <w:t>。</w:t>
                  </w:r>
                </w:p>
                <w:p>
                  <w:pPr>
                    <w:keepNext w:val="0"/>
                    <w:keepLines w:val="0"/>
                    <w:suppressLineNumbers w:val="0"/>
                    <w:bidi w:val="0"/>
                    <w:spacing w:before="0" w:beforeAutospacing="0" w:after="0" w:afterAutospacing="0"/>
                    <w:ind w:left="0" w:right="0"/>
                    <w:rPr>
                      <w:rFonts w:hint="eastAsia"/>
                      <w:sz w:val="18"/>
                      <w:szCs w:val="18"/>
                      <w:lang w:val="en-US" w:eastAsia="zh-CN"/>
                    </w:rPr>
                  </w:pPr>
                  <w:r>
                    <w:rPr>
                      <w:rFonts w:hint="eastAsia"/>
                      <w:sz w:val="18"/>
                      <w:szCs w:val="18"/>
                      <w:lang w:val="en-US" w:eastAsia="zh-CN"/>
                    </w:rPr>
                    <w:t>天然气管线风险措施如下：</w:t>
                  </w:r>
                </w:p>
                <w:p>
                  <w:pPr>
                    <w:keepNext w:val="0"/>
                    <w:keepLines w:val="0"/>
                    <w:suppressLineNumbers w:val="0"/>
                    <w:bidi w:val="0"/>
                    <w:spacing w:before="0" w:beforeAutospacing="0" w:after="0" w:afterAutospacing="0"/>
                    <w:ind w:left="0" w:right="0"/>
                    <w:rPr>
                      <w:rFonts w:hint="eastAsia"/>
                      <w:sz w:val="18"/>
                      <w:szCs w:val="18"/>
                      <w:lang w:val="en-US" w:eastAsia="zh-CN"/>
                    </w:rPr>
                  </w:pPr>
                  <w:r>
                    <w:rPr>
                      <w:rFonts w:hint="eastAsia"/>
                      <w:sz w:val="18"/>
                      <w:szCs w:val="18"/>
                      <w:lang w:val="en-US" w:eastAsia="zh-CN"/>
                    </w:rPr>
                    <w:t>①建立巡检制度，定期对天然气管线进行检查，确保天然气管道的密闭性，避免风险事故发生。</w:t>
                  </w:r>
                </w:p>
                <w:p>
                  <w:pPr>
                    <w:keepNext w:val="0"/>
                    <w:keepLines w:val="0"/>
                    <w:suppressLineNumbers w:val="0"/>
                    <w:bidi w:val="0"/>
                    <w:spacing w:before="0" w:beforeAutospacing="0" w:after="0" w:afterAutospacing="0"/>
                    <w:ind w:left="0" w:right="0"/>
                    <w:rPr>
                      <w:rFonts w:hint="eastAsia"/>
                      <w:sz w:val="18"/>
                      <w:szCs w:val="18"/>
                      <w:lang w:val="en-US" w:eastAsia="zh-CN"/>
                    </w:rPr>
                  </w:pPr>
                  <w:r>
                    <w:rPr>
                      <w:rFonts w:hint="eastAsia"/>
                      <w:sz w:val="18"/>
                      <w:szCs w:val="18"/>
                      <w:lang w:val="en-US" w:eastAsia="zh-CN"/>
                    </w:rPr>
                    <w:t>②天然气管线周边严禁吸烟和动用明火，避免铁器撞击，有效防止火灾、爆炸事故的发生。制定严格操作规程和管理制度，坚持持证上岗，避免人为事故导致风险事故发生。消防器材按安全规定放置。消防器材设置在明显和便于取用的地点，周围不准堆放物品及杂物。消防器材有专人管理、负责、检查、修理、保养、更换和添置，保证完好存放。</w:t>
                  </w:r>
                </w:p>
                <w:p>
                  <w:pPr>
                    <w:keepNext w:val="0"/>
                    <w:keepLines w:val="0"/>
                    <w:suppressLineNumbers w:val="0"/>
                    <w:bidi w:val="0"/>
                    <w:spacing w:before="0" w:beforeAutospacing="0" w:after="0" w:afterAutospacing="0"/>
                    <w:ind w:left="0" w:right="0"/>
                    <w:rPr>
                      <w:rFonts w:hint="eastAsia"/>
                      <w:sz w:val="18"/>
                      <w:szCs w:val="18"/>
                      <w:lang w:val="en-US" w:eastAsia="zh-CN"/>
                    </w:rPr>
                  </w:pPr>
                  <w:r>
                    <w:rPr>
                      <w:rFonts w:hint="eastAsia"/>
                      <w:sz w:val="18"/>
                      <w:szCs w:val="18"/>
                      <w:lang w:val="en-US" w:eastAsia="zh-CN"/>
                    </w:rPr>
                    <w:t>③天然气输出管线上应设置手动紧急截断阀。紧急截断阀的安装位置应便于发生事故时能及时切断气源。</w:t>
                  </w:r>
                </w:p>
                <w:p>
                  <w:pPr>
                    <w:keepNext w:val="0"/>
                    <w:keepLines w:val="0"/>
                    <w:suppressLineNumbers w:val="0"/>
                    <w:bidi w:val="0"/>
                    <w:spacing w:before="0" w:beforeAutospacing="0" w:after="0" w:afterAutospacing="0"/>
                    <w:ind w:left="0" w:right="0"/>
                    <w:rPr>
                      <w:rFonts w:hint="default"/>
                      <w:sz w:val="18"/>
                      <w:szCs w:val="18"/>
                      <w:lang w:val="en-US" w:eastAsia="zh-CN"/>
                    </w:rPr>
                  </w:pPr>
                  <w:r>
                    <w:rPr>
                      <w:rFonts w:hint="default"/>
                      <w:sz w:val="18"/>
                      <w:szCs w:val="18"/>
                      <w:lang w:val="en-US" w:eastAsia="zh-CN"/>
                    </w:rPr>
                    <w:t>二氧化氯风险措施如下：</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pacing w:val="0"/>
                      <w:sz w:val="18"/>
                      <w:szCs w:val="18"/>
                      <w:highlight w:val="none"/>
                    </w:rPr>
                  </w:pPr>
                  <w:r>
                    <w:rPr>
                      <w:rFonts w:hint="default"/>
                      <w:sz w:val="18"/>
                      <w:szCs w:val="18"/>
                    </w:rPr>
                    <w:t>本项目二氧化氯为小包装储存在加药间内，二氧化氯储存点应做到防雨、防晒、阴凉、通风，地面做好重点防渗处理</w:t>
                  </w:r>
                  <w:r>
                    <w:rPr>
                      <w:rFonts w:hint="default"/>
                      <w:sz w:val="18"/>
                      <w:szCs w:val="18"/>
                      <w:lang w:eastAsia="zh-CN"/>
                    </w:rPr>
                    <w:t>（</w:t>
                  </w:r>
                  <w:r>
                    <w:rPr>
                      <w:rFonts w:hint="default"/>
                      <w:sz w:val="18"/>
                      <w:szCs w:val="18"/>
                    </w:rPr>
                    <w:t>进行硬化防渗处理，采用2mm高密度聚乙烯，渗</w:t>
                  </w:r>
                  <w:r>
                    <w:rPr>
                      <w:rFonts w:hint="default" w:ascii="Times New Roman" w:hAnsi="Times New Roman" w:eastAsia="宋体" w:cs="Times New Roman"/>
                      <w:b w:val="0"/>
                      <w:bCs w:val="0"/>
                      <w:color w:val="auto"/>
                      <w:sz w:val="18"/>
                      <w:szCs w:val="18"/>
                    </w:rPr>
                    <w:t>透系数≤1×10</w:t>
                  </w:r>
                  <w:r>
                    <w:rPr>
                      <w:rFonts w:hint="default" w:ascii="Times New Roman" w:hAnsi="Times New Roman" w:eastAsia="宋体" w:cs="Times New Roman"/>
                      <w:b w:val="0"/>
                      <w:bCs w:val="0"/>
                      <w:color w:val="auto"/>
                      <w:sz w:val="18"/>
                      <w:szCs w:val="18"/>
                      <w:vertAlign w:val="superscript"/>
                    </w:rPr>
                    <w:t>-10</w:t>
                  </w:r>
                  <w:r>
                    <w:rPr>
                      <w:rFonts w:hint="default" w:ascii="Times New Roman" w:hAnsi="Times New Roman" w:eastAsia="宋体" w:cs="Times New Roman"/>
                      <w:b w:val="0"/>
                      <w:bCs w:val="0"/>
                      <w:color w:val="auto"/>
                      <w:sz w:val="18"/>
                      <w:szCs w:val="18"/>
                    </w:rPr>
                    <w:t>cm/s</w:t>
                  </w:r>
                  <w:r>
                    <w:rPr>
                      <w:rFonts w:hint="default" w:ascii="Times New Roman" w:hAnsi="Times New Roman" w:eastAsia="宋体" w:cs="Times New Roman"/>
                      <w:b w:val="0"/>
                      <w:bCs w:val="0"/>
                      <w:color w:val="auto"/>
                      <w:sz w:val="18"/>
                      <w:szCs w:val="18"/>
                      <w:lang w:eastAsia="zh-CN"/>
                    </w:rPr>
                    <w:t>）</w:t>
                  </w:r>
                  <w:r>
                    <w:rPr>
                      <w:rFonts w:hint="default" w:ascii="Times New Roman" w:hAnsi="Times New Roman" w:eastAsia="宋体" w:cs="Times New Roman"/>
                      <w:color w:val="auto"/>
                      <w:spacing w:val="0"/>
                      <w:sz w:val="18"/>
                      <w:szCs w:val="18"/>
                      <w:highlight w:val="none"/>
                    </w:rPr>
                    <w:t>；强化风险意识、加强安全管理，严格按操作规程操作；设置专人管理维护；定期检查维护相关设备设施，使其保持正常运行状态。</w:t>
                  </w:r>
                </w:p>
                <w:p>
                  <w:pPr>
                    <w:keepNext w:val="0"/>
                    <w:keepLines w:val="0"/>
                    <w:suppressLineNumbers w:val="0"/>
                    <w:spacing w:before="0" w:beforeAutospacing="0" w:after="0" w:afterAutospacing="0"/>
                    <w:ind w:left="0" w:right="0"/>
                    <w:rPr>
                      <w:rFonts w:hint="default"/>
                      <w:lang w:val="en-US" w:eastAsia="zh-CN"/>
                    </w:rPr>
                  </w:pPr>
                  <w:r>
                    <w:rPr>
                      <w:rFonts w:hint="eastAsia"/>
                      <w:sz w:val="18"/>
                      <w:szCs w:val="18"/>
                      <w:lang w:val="en-US" w:eastAsia="zh-CN"/>
                    </w:rPr>
                    <w:t>④</w:t>
                  </w:r>
                  <w:r>
                    <w:rPr>
                      <w:rFonts w:hint="default"/>
                      <w:sz w:val="18"/>
                      <w:szCs w:val="18"/>
                      <w:lang w:val="en-US" w:eastAsia="zh-CN"/>
                    </w:rPr>
                    <w:t>废机油：加强设备检修和定期维护，及时消除事故隐患。危险废物贮存库按照《危险废物贮存污染控制标准》（GB18597-2023）的管理规定，采取必要的防风、防晒、防雨、防漏、防渗、防腐以及其他环境污染防治措施，不应露天堆放危险废物。</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依托工程</w:t>
                  </w:r>
                </w:p>
              </w:tc>
              <w:tc>
                <w:tcPr>
                  <w:tcW w:w="816"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污水处理厂</w:t>
                  </w:r>
                </w:p>
              </w:tc>
              <w:tc>
                <w:tcPr>
                  <w:tcW w:w="328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rPr>
                    <w:t>双城</w:t>
                  </w:r>
                  <w:r>
                    <w:rPr>
                      <w:rFonts w:hint="default" w:ascii="Times New Roman" w:hAnsi="Times New Roman" w:eastAsia="宋体" w:cs="Times New Roman"/>
                      <w:color w:val="auto"/>
                      <w:kern w:val="0"/>
                      <w:sz w:val="18"/>
                      <w:szCs w:val="18"/>
                      <w:highlight w:val="none"/>
                      <w:lang w:eastAsia="zh-CN"/>
                    </w:rPr>
                    <w:t>污水处理厂（</w:t>
                  </w:r>
                  <w:r>
                    <w:rPr>
                      <w:rFonts w:hint="default" w:ascii="Times New Roman" w:hAnsi="Times New Roman" w:eastAsia="宋体" w:cs="Times New Roman"/>
                      <w:color w:val="auto"/>
                      <w:sz w:val="18"/>
                      <w:szCs w:val="18"/>
                      <w:highlight w:val="none"/>
                      <w:lang w:val="en-US" w:eastAsia="zh-CN"/>
                    </w:rPr>
                    <w:t>双城通达供排水有限公司），</w:t>
                  </w:r>
                  <w:r>
                    <w:rPr>
                      <w:rFonts w:hint="default" w:ascii="Times New Roman" w:hAnsi="Times New Roman" w:eastAsia="宋体" w:cs="Times New Roman"/>
                      <w:color w:val="auto"/>
                      <w:sz w:val="18"/>
                      <w:szCs w:val="18"/>
                      <w:highlight w:val="none"/>
                    </w:rPr>
                    <w:t>处理规模为</w:t>
                  </w:r>
                  <w:r>
                    <w:rPr>
                      <w:rFonts w:hint="eastAsia" w:cs="Times New Roman"/>
                      <w:color w:val="auto"/>
                      <w:sz w:val="18"/>
                      <w:szCs w:val="18"/>
                      <w:highlight w:val="none"/>
                      <w:lang w:val="en-US" w:eastAsia="zh-CN"/>
                    </w:rPr>
                    <w:t>6</w:t>
                  </w:r>
                  <w:r>
                    <w:rPr>
                      <w:rFonts w:hint="default" w:ascii="Times New Roman" w:hAnsi="Times New Roman" w:eastAsia="宋体" w:cs="Times New Roman"/>
                      <w:color w:val="auto"/>
                      <w:sz w:val="18"/>
                      <w:szCs w:val="18"/>
                      <w:highlight w:val="none"/>
                    </w:rPr>
                    <w:t>万吨/日</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设计进水水质：COD：</w:t>
                  </w:r>
                  <w:r>
                    <w:rPr>
                      <w:rFonts w:hint="default" w:ascii="Times New Roman" w:hAnsi="Times New Roman" w:eastAsia="宋体"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0mg/L、BOD</w:t>
                  </w:r>
                  <w:r>
                    <w:rPr>
                      <w:rFonts w:hint="default" w:ascii="Times New Roman" w:hAnsi="Times New Roman" w:eastAsia="宋体" w:cs="Times New Roman"/>
                      <w:color w:val="auto"/>
                      <w:sz w:val="18"/>
                      <w:szCs w:val="18"/>
                      <w:highlight w:val="none"/>
                      <w:vertAlign w:val="subscript"/>
                    </w:rPr>
                    <w:t>5</w:t>
                  </w:r>
                  <w:r>
                    <w:rPr>
                      <w:rFonts w:hint="default" w:ascii="Times New Roman" w:hAnsi="Times New Roman" w:eastAsia="宋体" w:cs="Times New Roman"/>
                      <w:color w:val="auto"/>
                      <w:sz w:val="18"/>
                      <w:szCs w:val="18"/>
                      <w:highlight w:val="none"/>
                    </w:rPr>
                    <w:t>：160 mg/L、SS：300mg/L、氨氮：</w:t>
                  </w:r>
                  <w:r>
                    <w:rPr>
                      <w:rFonts w:hint="default" w:ascii="Times New Roman" w:hAnsi="Times New Roman" w:eastAsia="宋体" w:cs="Times New Roman"/>
                      <w:color w:val="auto"/>
                      <w:sz w:val="18"/>
                      <w:szCs w:val="18"/>
                      <w:highlight w:val="none"/>
                      <w:lang w:val="en-US" w:eastAsia="zh-CN"/>
                    </w:rPr>
                    <w:t>35</w:t>
                  </w:r>
                  <w:r>
                    <w:rPr>
                      <w:rFonts w:hint="default" w:ascii="Times New Roman" w:hAnsi="Times New Roman" w:eastAsia="宋体" w:cs="Times New Roman"/>
                      <w:color w:val="auto"/>
                      <w:sz w:val="18"/>
                      <w:szCs w:val="18"/>
                      <w:highlight w:val="none"/>
                    </w:rPr>
                    <w:t>mg/L</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总磷6</w:t>
                  </w:r>
                  <w:r>
                    <w:rPr>
                      <w:rFonts w:hint="default" w:ascii="Times New Roman" w:hAnsi="Times New Roman" w:eastAsia="宋体" w:cs="Times New Roman"/>
                      <w:color w:val="auto"/>
                      <w:sz w:val="18"/>
                      <w:szCs w:val="18"/>
                      <w:highlight w:val="none"/>
                    </w:rPr>
                    <w:t>mg/L</w:t>
                  </w:r>
                  <w:r>
                    <w:rPr>
                      <w:rFonts w:hint="eastAsia" w:cs="Times New Roman"/>
                      <w:color w:val="auto"/>
                      <w:sz w:val="18"/>
                      <w:szCs w:val="18"/>
                      <w:highlight w:val="none"/>
                      <w:lang w:val="en-US" w:eastAsia="zh-CN"/>
                    </w:rPr>
                    <w:t>、总氮50</w:t>
                  </w:r>
                  <w:r>
                    <w:rPr>
                      <w:rFonts w:hint="default" w:ascii="Times New Roman" w:hAnsi="Times New Roman" w:eastAsia="宋体" w:cs="Times New Roman"/>
                      <w:color w:val="auto"/>
                      <w:sz w:val="18"/>
                      <w:szCs w:val="18"/>
                      <w:highlight w:val="none"/>
                    </w:rPr>
                    <w:t>mg/L，</w:t>
                  </w:r>
                  <w:r>
                    <w:rPr>
                      <w:rFonts w:hint="default" w:ascii="Times New Roman" w:hAnsi="Times New Roman" w:eastAsia="宋体" w:cs="Times New Roman"/>
                      <w:color w:val="auto"/>
                      <w:sz w:val="18"/>
                      <w:szCs w:val="18"/>
                      <w:highlight w:val="none"/>
                      <w:lang w:val="en-US" w:eastAsia="zh-CN"/>
                    </w:rPr>
                    <w:t>本项目排水量为</w:t>
                  </w:r>
                  <w:r>
                    <w:rPr>
                      <w:rFonts w:hint="eastAsia" w:cs="Times New Roman"/>
                      <w:color w:val="auto"/>
                      <w:sz w:val="18"/>
                      <w:szCs w:val="18"/>
                      <w:highlight w:val="none"/>
                      <w:lang w:val="en-US" w:eastAsia="zh-CN"/>
                    </w:rPr>
                    <w:t>159t</w:t>
                  </w:r>
                  <w:r>
                    <w:rPr>
                      <w:rFonts w:hint="default" w:ascii="Times New Roman" w:hAnsi="Times New Roman" w:eastAsia="宋体" w:cs="Times New Roman"/>
                      <w:color w:val="auto"/>
                      <w:sz w:val="18"/>
                      <w:szCs w:val="18"/>
                      <w:highlight w:val="none"/>
                      <w:lang w:val="en-US" w:eastAsia="zh-CN"/>
                    </w:rPr>
                    <w:t>/d，</w:t>
                  </w:r>
                  <w:r>
                    <w:rPr>
                      <w:rFonts w:hint="default" w:ascii="Times New Roman" w:hAnsi="Times New Roman" w:eastAsia="宋体" w:cs="Times New Roman"/>
                      <w:color w:val="auto"/>
                      <w:sz w:val="18"/>
                      <w:szCs w:val="18"/>
                      <w:highlight w:val="none"/>
                    </w:rPr>
                    <w:t>污水处理厂有能力接收本项目废水</w:t>
                  </w:r>
                  <w:r>
                    <w:rPr>
                      <w:rFonts w:hint="default" w:ascii="Times New Roman" w:hAnsi="Times New Roman" w:eastAsia="宋体" w:cs="Times New Roman"/>
                      <w:color w:val="auto"/>
                      <w:sz w:val="18"/>
                      <w:szCs w:val="18"/>
                      <w:highlight w:val="none"/>
                      <w:lang w:val="en-US" w:eastAsia="zh-CN"/>
                    </w:rPr>
                    <w:t>且排放浓度满足双城污水厂进水水质，日处理量占比较小</w:t>
                  </w:r>
                  <w:r>
                    <w:rPr>
                      <w:rFonts w:hint="eastAsia" w:ascii="Times New Roman" w:hAnsi="Times New Roman" w:cs="Times New Roman"/>
                      <w:color w:val="auto"/>
                      <w:sz w:val="18"/>
                      <w:szCs w:val="18"/>
                      <w:highlight w:val="none"/>
                      <w:lang w:val="en-US" w:eastAsia="zh-CN"/>
                    </w:rPr>
                    <w:t>。</w:t>
                  </w:r>
                </w:p>
              </w:tc>
              <w:tc>
                <w:tcPr>
                  <w:tcW w:w="64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依托</w:t>
                  </w:r>
                </w:p>
              </w:tc>
            </w:tr>
          </w:tbl>
          <w:p>
            <w:pPr>
              <w:keepNext w:val="0"/>
              <w:keepLines w:val="0"/>
              <w:suppressLineNumbers w:val="0"/>
              <w:adjustRightInd w:val="0"/>
              <w:snapToGrid w:val="0"/>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本项目产品方案详见表2-2。</w:t>
            </w:r>
          </w:p>
          <w:p>
            <w:pPr>
              <w:keepNext w:val="0"/>
              <w:keepLines w:val="0"/>
              <w:suppressLineNumbers w:val="0"/>
              <w:adjustRightInd w:val="0"/>
              <w:snapToGrid w:val="0"/>
              <w:spacing w:before="0" w:beforeAutospacing="0" w:after="0" w:afterAutospacing="0"/>
              <w:ind w:left="0" w:right="0"/>
              <w:jc w:val="center"/>
              <w:rPr>
                <w:rFonts w:hint="eastAsia" w:eastAsia="宋体"/>
                <w:b/>
                <w:color w:val="auto"/>
                <w:szCs w:val="21"/>
                <w:highlight w:val="none"/>
                <w:lang w:eastAsia="zh-CN"/>
              </w:rPr>
            </w:pPr>
            <w:r>
              <w:rPr>
                <w:rFonts w:hint="default"/>
                <w:b/>
                <w:color w:val="auto"/>
                <w:szCs w:val="21"/>
                <w:highlight w:val="none"/>
              </w:rPr>
              <w:t>表2-2主要产品及产能</w:t>
            </w:r>
          </w:p>
          <w:tbl>
            <w:tblPr>
              <w:tblStyle w:val="33"/>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2314"/>
              <w:gridCol w:w="1785"/>
              <w:gridCol w:w="1786"/>
              <w:gridCol w:w="13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2182"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产品名称</w:t>
                  </w:r>
                </w:p>
              </w:tc>
              <w:tc>
                <w:tcPr>
                  <w:tcW w:w="1683"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年产量</w:t>
                  </w:r>
                </w:p>
              </w:tc>
              <w:tc>
                <w:tcPr>
                  <w:tcW w:w="168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规格型号</w:t>
                  </w:r>
                </w:p>
              </w:tc>
              <w:tc>
                <w:tcPr>
                  <w:tcW w:w="1271"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用途</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2182"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红肠</w:t>
                  </w:r>
                </w:p>
              </w:tc>
              <w:tc>
                <w:tcPr>
                  <w:tcW w:w="1683"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yellow"/>
                      <w:vertAlign w:val="baseline"/>
                      <w:lang w:val="en-US" w:eastAsia="zh-CN"/>
                    </w:rPr>
                  </w:pPr>
                  <w:r>
                    <w:rPr>
                      <w:rFonts w:hint="eastAsia" w:cs="Times New Roman"/>
                      <w:color w:val="auto"/>
                      <w:sz w:val="18"/>
                      <w:szCs w:val="18"/>
                      <w:highlight w:val="none"/>
                      <w:vertAlign w:val="baseline"/>
                      <w:lang w:val="en-US" w:eastAsia="zh-CN"/>
                    </w:rPr>
                    <w:t>22</w:t>
                  </w:r>
                  <w:r>
                    <w:rPr>
                      <w:rFonts w:hint="default" w:ascii="Times New Roman" w:hAnsi="Times New Roman" w:cs="Times New Roman"/>
                      <w:color w:val="auto"/>
                      <w:sz w:val="18"/>
                      <w:szCs w:val="18"/>
                      <w:highlight w:val="none"/>
                      <w:vertAlign w:val="baseline"/>
                      <w:lang w:val="en-US" w:eastAsia="zh-CN"/>
                    </w:rPr>
                    <w:t>00t</w:t>
                  </w:r>
                </w:p>
              </w:tc>
              <w:tc>
                <w:tcPr>
                  <w:tcW w:w="168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500g/袋</w:t>
                  </w:r>
                </w:p>
              </w:tc>
              <w:tc>
                <w:tcPr>
                  <w:tcW w:w="1271"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销售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2182"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儿童肠</w:t>
                  </w:r>
                </w:p>
              </w:tc>
              <w:tc>
                <w:tcPr>
                  <w:tcW w:w="1683"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yellow"/>
                      <w:vertAlign w:val="baseline"/>
                      <w:lang w:val="en-US" w:eastAsia="zh-CN"/>
                    </w:rPr>
                  </w:pPr>
                  <w:r>
                    <w:rPr>
                      <w:rFonts w:hint="default" w:ascii="Times New Roman" w:hAnsi="Times New Roman" w:cs="Times New Roman"/>
                      <w:color w:val="auto"/>
                      <w:sz w:val="18"/>
                      <w:szCs w:val="18"/>
                      <w:highlight w:val="none"/>
                      <w:vertAlign w:val="baseline"/>
                      <w:lang w:val="en-US" w:eastAsia="zh-CN"/>
                    </w:rPr>
                    <w:t>700t</w:t>
                  </w:r>
                </w:p>
              </w:tc>
              <w:tc>
                <w:tcPr>
                  <w:tcW w:w="168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500g/袋</w:t>
                  </w:r>
                </w:p>
              </w:tc>
              <w:tc>
                <w:tcPr>
                  <w:tcW w:w="127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销售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2182"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松仁烤肠</w:t>
                  </w:r>
                </w:p>
              </w:tc>
              <w:tc>
                <w:tcPr>
                  <w:tcW w:w="1683"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yellow"/>
                      <w:vertAlign w:val="baseline"/>
                      <w:lang w:val="en-US" w:eastAsia="zh-CN"/>
                    </w:rPr>
                  </w:pPr>
                  <w:r>
                    <w:rPr>
                      <w:rFonts w:hint="default" w:ascii="Times New Roman" w:hAnsi="Times New Roman" w:cs="Times New Roman"/>
                      <w:color w:val="auto"/>
                      <w:sz w:val="18"/>
                      <w:szCs w:val="18"/>
                      <w:highlight w:val="none"/>
                      <w:vertAlign w:val="baseline"/>
                      <w:lang w:val="en-US" w:eastAsia="zh-CN"/>
                    </w:rPr>
                    <w:t>300t</w:t>
                  </w:r>
                </w:p>
              </w:tc>
              <w:tc>
                <w:tcPr>
                  <w:tcW w:w="168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500g/袋</w:t>
                  </w:r>
                </w:p>
              </w:tc>
              <w:tc>
                <w:tcPr>
                  <w:tcW w:w="127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销售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4</w:t>
                  </w:r>
                </w:p>
              </w:tc>
              <w:tc>
                <w:tcPr>
                  <w:tcW w:w="2182"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酱卤制品</w:t>
                  </w:r>
                </w:p>
              </w:tc>
              <w:tc>
                <w:tcPr>
                  <w:tcW w:w="1683"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18"/>
                      <w:szCs w:val="18"/>
                      <w:highlight w:val="yellow"/>
                      <w:vertAlign w:val="baseline"/>
                      <w:lang w:val="en-US" w:eastAsia="zh-CN"/>
                    </w:rPr>
                  </w:pPr>
                  <w:r>
                    <w:rPr>
                      <w:rFonts w:hint="eastAsia" w:cs="Times New Roman"/>
                      <w:color w:val="auto"/>
                      <w:sz w:val="18"/>
                      <w:szCs w:val="18"/>
                      <w:highlight w:val="none"/>
                      <w:vertAlign w:val="baseline"/>
                      <w:lang w:val="en-US" w:eastAsia="zh-CN"/>
                    </w:rPr>
                    <w:t>5</w:t>
                  </w:r>
                  <w:r>
                    <w:rPr>
                      <w:rFonts w:hint="default" w:ascii="Times New Roman" w:hAnsi="Times New Roman" w:cs="Times New Roman"/>
                      <w:color w:val="auto"/>
                      <w:sz w:val="18"/>
                      <w:szCs w:val="18"/>
                      <w:highlight w:val="none"/>
                      <w:vertAlign w:val="baseline"/>
                      <w:lang w:val="en-US" w:eastAsia="zh-CN"/>
                    </w:rPr>
                    <w:t>00t</w:t>
                  </w:r>
                </w:p>
              </w:tc>
              <w:tc>
                <w:tcPr>
                  <w:tcW w:w="168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散装</w:t>
                  </w:r>
                </w:p>
              </w:tc>
              <w:tc>
                <w:tcPr>
                  <w:tcW w:w="127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销售</w:t>
                  </w:r>
                </w:p>
              </w:tc>
            </w:tr>
          </w:tbl>
          <w:p>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bCs/>
                <w:color w:val="auto"/>
                <w:kern w:val="0"/>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w:t>
            </w:r>
          </w:p>
          <w:p>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主要设备一览表</w:t>
            </w:r>
          </w:p>
          <w:tbl>
            <w:tblPr>
              <w:tblStyle w:val="33"/>
              <w:tblW w:w="5000" w:type="pct"/>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2157"/>
              <w:gridCol w:w="2319"/>
              <w:gridCol w:w="1396"/>
              <w:gridCol w:w="13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2037"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设备名称</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功能</w:t>
                  </w:r>
                </w:p>
              </w:tc>
              <w:tc>
                <w:tcPr>
                  <w:tcW w:w="1318"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数量</w:t>
                  </w:r>
                </w:p>
              </w:tc>
              <w:tc>
                <w:tcPr>
                  <w:tcW w:w="127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所在位置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绞肉机</w:t>
                  </w:r>
                </w:p>
              </w:tc>
              <w:tc>
                <w:tcPr>
                  <w:tcW w:w="21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绞肉</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27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生产车间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斩拌机</w:t>
                  </w:r>
                </w:p>
              </w:tc>
              <w:tc>
                <w:tcPr>
                  <w:tcW w:w="21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斩拌</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27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生产车间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拌馅机</w:t>
                  </w:r>
                </w:p>
              </w:tc>
              <w:tc>
                <w:tcPr>
                  <w:tcW w:w="21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拌馅</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27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生产车间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4</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滚揉机</w:t>
                  </w:r>
                </w:p>
              </w:tc>
              <w:tc>
                <w:tcPr>
                  <w:tcW w:w="21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滚揉</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4</w:t>
                  </w:r>
                </w:p>
              </w:tc>
              <w:tc>
                <w:tcPr>
                  <w:tcW w:w="127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滚揉间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5</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灌肠机</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灌制</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6</w:t>
                  </w:r>
                </w:p>
              </w:tc>
              <w:tc>
                <w:tcPr>
                  <w:tcW w:w="127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灌肠间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6</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蒸煮炉</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蒸肠</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4</w:t>
                  </w:r>
                </w:p>
              </w:tc>
              <w:tc>
                <w:tcPr>
                  <w:tcW w:w="127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蒸肠间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7</w:t>
                  </w:r>
                </w:p>
              </w:tc>
              <w:tc>
                <w:tcPr>
                  <w:tcW w:w="2037"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夹层锅</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煮肠</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15</w:t>
                  </w:r>
                </w:p>
              </w:tc>
              <w:tc>
                <w:tcPr>
                  <w:tcW w:w="127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蒸肠间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8</w:t>
                  </w:r>
                </w:p>
              </w:tc>
              <w:tc>
                <w:tcPr>
                  <w:tcW w:w="2037"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真空包装机</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包装</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7</w:t>
                  </w:r>
                </w:p>
              </w:tc>
              <w:tc>
                <w:tcPr>
                  <w:tcW w:w="127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包装间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9</w:t>
                  </w:r>
                </w:p>
              </w:tc>
              <w:tc>
                <w:tcPr>
                  <w:tcW w:w="2037"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二次灭菌机</w:t>
                  </w:r>
                </w:p>
              </w:tc>
              <w:tc>
                <w:tcPr>
                  <w:tcW w:w="2190"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灭菌</w:t>
                  </w:r>
                </w:p>
              </w:tc>
              <w:tc>
                <w:tcPr>
                  <w:tcW w:w="13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27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包装间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10</w:t>
                  </w:r>
                </w:p>
              </w:tc>
              <w:tc>
                <w:tcPr>
                  <w:tcW w:w="2037"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凯斯烟熏炉</w:t>
                  </w:r>
                </w:p>
              </w:tc>
              <w:tc>
                <w:tcPr>
                  <w:tcW w:w="2190" w:type="dxa"/>
                  <w:vAlign w:val="center"/>
                </w:tcPr>
                <w:p>
                  <w:pPr>
                    <w:keepNext w:val="0"/>
                    <w:keepLines w:val="0"/>
                    <w:suppressLineNumbers w:val="0"/>
                    <w:spacing w:before="0" w:beforeAutospacing="0" w:after="0" w:afterAutospacing="0"/>
                    <w:ind w:left="0" w:leftChars="0" w:right="0" w:rightChars="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熏烤</w:t>
                  </w:r>
                </w:p>
              </w:tc>
              <w:tc>
                <w:tcPr>
                  <w:tcW w:w="131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w:t>
                  </w:r>
                </w:p>
              </w:tc>
              <w:tc>
                <w:tcPr>
                  <w:tcW w:w="1274"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熏烤间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5" w:type="dxa"/>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11</w:t>
                  </w:r>
                </w:p>
              </w:tc>
              <w:tc>
                <w:tcPr>
                  <w:tcW w:w="2037"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6t/h燃气锅炉</w:t>
                  </w:r>
                </w:p>
              </w:tc>
              <w:tc>
                <w:tcPr>
                  <w:tcW w:w="2190"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厂区常年生产供热及冬季供暖</w:t>
                  </w:r>
                </w:p>
              </w:tc>
              <w:tc>
                <w:tcPr>
                  <w:tcW w:w="1318" w:type="dxa"/>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w:t>
                  </w:r>
                </w:p>
              </w:tc>
              <w:tc>
                <w:tcPr>
                  <w:tcW w:w="1274"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锅炉间</w:t>
                  </w:r>
                </w:p>
              </w:tc>
            </w:tr>
          </w:tbl>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4</w:t>
            </w:r>
            <w:r>
              <w:rPr>
                <w:rFonts w:hint="default" w:ascii="Times New Roman" w:hAnsi="Times New Roman" w:eastAsia="宋体" w:cs="Times New Roman"/>
                <w:b/>
                <w:bCs/>
                <w:snapToGrid w:val="0"/>
                <w:color w:val="auto"/>
                <w:szCs w:val="21"/>
                <w:highlight w:val="none"/>
              </w:rPr>
              <w:t>原辅材料消耗一览表</w:t>
            </w:r>
          </w:p>
          <w:tbl>
            <w:tblPr>
              <w:tblStyle w:val="33"/>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7"/>
              <w:gridCol w:w="2535"/>
              <w:gridCol w:w="1550"/>
              <w:gridCol w:w="1785"/>
              <w:gridCol w:w="13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原辅材料名称</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规格/型号</w:t>
                  </w:r>
                </w:p>
              </w:tc>
              <w:tc>
                <w:tcPr>
                  <w:tcW w:w="1686"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用量</w:t>
                  </w:r>
                </w:p>
              </w:tc>
              <w:tc>
                <w:tcPr>
                  <w:tcW w:w="1273"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猪肉</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r>
                    <w:rPr>
                      <w:rFonts w:hint="eastAsia" w:cs="Times New Roman"/>
                      <w:color w:val="auto"/>
                      <w:sz w:val="18"/>
                      <w:szCs w:val="18"/>
                      <w:highlight w:val="none"/>
                      <w:vertAlign w:val="baseline"/>
                      <w:lang w:val="en-US" w:eastAsia="zh-CN"/>
                    </w:rPr>
                    <w:t>850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鸡肉</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20kg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620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淀粉</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r>
                    <w:rPr>
                      <w:rFonts w:hint="eastAsia" w:cs="Times New Roman"/>
                      <w:color w:val="auto"/>
                      <w:sz w:val="18"/>
                      <w:szCs w:val="18"/>
                      <w:highlight w:val="none"/>
                      <w:vertAlign w:val="baseline"/>
                      <w:lang w:val="en-US" w:eastAsia="zh-CN"/>
                    </w:rPr>
                    <w:t>50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4</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大豆分离蛋白</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r>
                    <w:rPr>
                      <w:rFonts w:hint="eastAsia" w:cs="Times New Roman"/>
                      <w:color w:val="auto"/>
                      <w:sz w:val="18"/>
                      <w:szCs w:val="18"/>
                      <w:highlight w:val="none"/>
                      <w:vertAlign w:val="baseline"/>
                      <w:lang w:val="en-US" w:eastAsia="zh-CN"/>
                    </w:rPr>
                    <w:t>30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5</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猪肠衣</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100</w:t>
                  </w:r>
                  <w:r>
                    <w:rPr>
                      <w:rFonts w:hint="eastAsia"/>
                      <w:color w:val="auto"/>
                      <w:sz w:val="18"/>
                      <w:szCs w:val="18"/>
                      <w:highlight w:val="none"/>
                      <w:vertAlign w:val="baseline"/>
                      <w:lang w:val="en-US" w:eastAsia="zh-CN"/>
                    </w:rPr>
                    <w:t>把/桶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5</w:t>
                  </w:r>
                  <w:r>
                    <w:rPr>
                      <w:rFonts w:hint="default" w:ascii="Times New Roman" w:hAnsi="Times New Roman" w:cs="Times New Roman"/>
                      <w:color w:val="auto"/>
                      <w:sz w:val="18"/>
                      <w:szCs w:val="18"/>
                      <w:highlight w:val="none"/>
                      <w:vertAlign w:val="baseline"/>
                      <w:lang w:val="en-US" w:eastAsia="zh-CN"/>
                    </w:rPr>
                    <w:t>50桶</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6</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大蒜</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5</w:t>
                  </w:r>
                  <w:r>
                    <w:rPr>
                      <w:rFonts w:hint="default" w:ascii="Times New Roman" w:hAnsi="Times New Roman" w:cs="Times New Roman"/>
                      <w:color w:val="auto"/>
                      <w:sz w:val="18"/>
                      <w:szCs w:val="18"/>
                      <w:highlight w:val="none"/>
                      <w:vertAlign w:val="baseline"/>
                      <w:lang w:val="en-US" w:eastAsia="zh-CN"/>
                    </w:rPr>
                    <w:t>0t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7</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松仁</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r>
                    <w:rPr>
                      <w:rFonts w:hint="eastAsia" w:cs="Times New Roman"/>
                      <w:color w:val="auto"/>
                      <w:sz w:val="18"/>
                      <w:szCs w:val="18"/>
                      <w:highlight w:val="none"/>
                      <w:vertAlign w:val="baseline"/>
                      <w:lang w:val="en-US" w:eastAsia="zh-CN"/>
                    </w:rPr>
                    <w:t>.3</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8</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盐</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62</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9</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白糖</w:t>
                  </w:r>
                </w:p>
              </w:tc>
              <w:tc>
                <w:tcPr>
                  <w:tcW w:w="146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50kg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r>
                    <w:rPr>
                      <w:rFonts w:hint="eastAsia" w:cs="Times New Roman"/>
                      <w:color w:val="auto"/>
                      <w:sz w:val="18"/>
                      <w:szCs w:val="18"/>
                      <w:highlight w:val="none"/>
                      <w:vertAlign w:val="baseline"/>
                      <w:lang w:val="en-US" w:eastAsia="zh-CN"/>
                    </w:rPr>
                    <w:t>30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10</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味精</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100</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11</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三聚磷酸钠</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8.7</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12</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焦磷酸钠</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6.2</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13</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香辛料</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r>
                    <w:rPr>
                      <w:rFonts w:hint="default" w:ascii="Times New Roman" w:hAnsi="Times New Roman" w:cs="Times New Roman"/>
                      <w:color w:val="auto"/>
                      <w:sz w:val="18"/>
                      <w:szCs w:val="18"/>
                      <w:highlight w:val="none"/>
                      <w:vertAlign w:val="baseline"/>
                      <w:lang w:val="en-US" w:eastAsia="zh-CN"/>
                    </w:rPr>
                    <w:t>.5t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14</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D-异抗坏血酸钠</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r>
                    <w:rPr>
                      <w:rFonts w:hint="eastAsia" w:cs="Times New Roman"/>
                      <w:color w:val="auto"/>
                      <w:sz w:val="18"/>
                      <w:szCs w:val="18"/>
                      <w:highlight w:val="none"/>
                      <w:vertAlign w:val="baseline"/>
                      <w:lang w:val="en-US" w:eastAsia="zh-CN"/>
                    </w:rPr>
                    <w:t>.3</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15</w:t>
                  </w:r>
                </w:p>
              </w:tc>
              <w:tc>
                <w:tcPr>
                  <w:tcW w:w="2394" w:type="dxa"/>
                  <w:vAlign w:val="center"/>
                </w:tcPr>
                <w:p>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红曲红</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0.0</w:t>
                  </w:r>
                  <w:r>
                    <w:rPr>
                      <w:rFonts w:hint="eastAsia" w:cs="Times New Roman"/>
                      <w:color w:val="auto"/>
                      <w:sz w:val="18"/>
                      <w:szCs w:val="18"/>
                      <w:highlight w:val="none"/>
                      <w:vertAlign w:val="baseline"/>
                      <w:lang w:val="en-US" w:eastAsia="zh-CN"/>
                    </w:rPr>
                    <w:t>9</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16</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山梨酸钾</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3.7</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17</w:t>
                  </w:r>
                </w:p>
              </w:tc>
              <w:tc>
                <w:tcPr>
                  <w:tcW w:w="2394" w:type="dxa"/>
                  <w:vAlign w:val="center"/>
                </w:tcPr>
                <w:p>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乳酸链球菌素</w:t>
                  </w:r>
                </w:p>
              </w:tc>
              <w:tc>
                <w:tcPr>
                  <w:tcW w:w="1464"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default" w:ascii="Times New Roman" w:hAnsi="Times New Roman" w:cs="Times New Roman"/>
                      <w:color w:val="auto"/>
                      <w:sz w:val="18"/>
                      <w:szCs w:val="18"/>
                      <w:highlight w:val="none"/>
                      <w:vertAlign w:val="baseline"/>
                      <w:lang w:val="en-US" w:eastAsia="zh-CN"/>
                    </w:rPr>
                    <w:t>25kg</w:t>
                  </w:r>
                  <w:r>
                    <w:rPr>
                      <w:rFonts w:hint="eastAsia"/>
                      <w:color w:val="auto"/>
                      <w:sz w:val="18"/>
                      <w:szCs w:val="18"/>
                      <w:highlight w:val="none"/>
                      <w:vertAlign w:val="baseline"/>
                      <w:lang w:val="en-US" w:eastAsia="zh-CN"/>
                    </w:rPr>
                    <w:t>/件</w:t>
                  </w:r>
                </w:p>
              </w:tc>
              <w:tc>
                <w:tcPr>
                  <w:tcW w:w="16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r>
                    <w:rPr>
                      <w:rFonts w:hint="eastAsia" w:cs="Times New Roman"/>
                      <w:color w:val="auto"/>
                      <w:sz w:val="18"/>
                      <w:szCs w:val="18"/>
                      <w:highlight w:val="none"/>
                      <w:vertAlign w:val="baseline"/>
                      <w:lang w:val="en-US" w:eastAsia="zh-CN"/>
                    </w:rPr>
                    <w:t>.5</w:t>
                  </w:r>
                  <w:r>
                    <w:rPr>
                      <w:rFonts w:hint="default" w:ascii="Times New Roman" w:hAnsi="Times New Roman" w:cs="Times New Roman"/>
                      <w:color w:val="auto"/>
                      <w:sz w:val="18"/>
                      <w:szCs w:val="18"/>
                      <w:highlight w:val="none"/>
                      <w:vertAlign w:val="baseline"/>
                      <w:lang w:val="en-US" w:eastAsia="zh-CN"/>
                    </w:rPr>
                    <w:t>t</w:t>
                  </w:r>
                </w:p>
              </w:tc>
              <w:tc>
                <w:tcPr>
                  <w:tcW w:w="127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vertAlign w:val="baseline"/>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18</w:t>
                  </w:r>
                </w:p>
              </w:tc>
              <w:tc>
                <w:tcPr>
                  <w:tcW w:w="2394"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天然气</w:t>
                  </w:r>
                </w:p>
              </w:tc>
              <w:tc>
                <w:tcPr>
                  <w:tcW w:w="146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168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bCs/>
                      <w:color w:val="auto"/>
                      <w:sz w:val="18"/>
                      <w:szCs w:val="18"/>
                      <w:highlight w:val="none"/>
                      <w:lang w:val="en-US" w:eastAsia="zh-CN"/>
                    </w:rPr>
                    <w:t>279.456</w:t>
                  </w:r>
                  <w:r>
                    <w:rPr>
                      <w:rFonts w:hint="default" w:ascii="Times New Roman" w:hAnsi="Times New Roman" w:cs="Times New Roman"/>
                      <w:bCs/>
                      <w:color w:val="auto"/>
                      <w:sz w:val="18"/>
                      <w:szCs w:val="18"/>
                      <w:highlight w:val="none"/>
                    </w:rPr>
                    <w:t>万m</w:t>
                  </w:r>
                  <w:r>
                    <w:rPr>
                      <w:rFonts w:hint="default" w:ascii="Times New Roman" w:hAnsi="Times New Roman" w:cs="Times New Roman"/>
                      <w:bCs/>
                      <w:color w:val="auto"/>
                      <w:sz w:val="18"/>
                      <w:szCs w:val="18"/>
                      <w:highlight w:val="none"/>
                      <w:vertAlign w:val="superscript"/>
                    </w:rPr>
                    <w:t>3</w:t>
                  </w:r>
                </w:p>
              </w:tc>
              <w:tc>
                <w:tcPr>
                  <w:tcW w:w="1273"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19</w:t>
                  </w:r>
                </w:p>
              </w:tc>
              <w:tc>
                <w:tcPr>
                  <w:tcW w:w="2394"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lang w:val="en-US" w:eastAsia="zh-CN"/>
                    </w:rPr>
                    <w:t>果木粒</w:t>
                  </w:r>
                  <w:r>
                    <w:rPr>
                      <w:rFonts w:hint="eastAsia" w:cs="Times New Roman"/>
                      <w:color w:val="auto"/>
                      <w:sz w:val="18"/>
                      <w:szCs w:val="18"/>
                      <w:highlight w:val="none"/>
                      <w:lang w:val="en-US" w:eastAsia="zh-CN"/>
                    </w:rPr>
                    <w:t>及木头</w:t>
                  </w:r>
                  <w:r>
                    <w:rPr>
                      <w:rFonts w:hint="eastAsia"/>
                      <w:color w:val="auto"/>
                      <w:sz w:val="18"/>
                      <w:szCs w:val="18"/>
                      <w:highlight w:val="none"/>
                      <w:vertAlign w:val="baseline"/>
                      <w:lang w:val="en-US" w:eastAsia="zh-CN"/>
                    </w:rPr>
                    <w:t>（烟熏炉燃料）</w:t>
                  </w:r>
                </w:p>
              </w:tc>
              <w:tc>
                <w:tcPr>
                  <w:tcW w:w="146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168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eastAsia="宋体" w:cs="Times New Roman"/>
                      <w:bCs/>
                      <w:color w:val="auto"/>
                      <w:sz w:val="18"/>
                      <w:szCs w:val="18"/>
                      <w:highlight w:val="none"/>
                      <w:lang w:val="en-US" w:eastAsia="zh-CN"/>
                    </w:rPr>
                    <w:t>404.25t</w:t>
                  </w:r>
                </w:p>
              </w:tc>
              <w:tc>
                <w:tcPr>
                  <w:tcW w:w="1273"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7"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20</w:t>
                  </w:r>
                </w:p>
              </w:tc>
              <w:tc>
                <w:tcPr>
                  <w:tcW w:w="2394"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水</w:t>
                  </w:r>
                </w:p>
              </w:tc>
              <w:tc>
                <w:tcPr>
                  <w:tcW w:w="146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168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lang w:val="en-US" w:eastAsia="zh-CN"/>
                    </w:rPr>
                    <w:t>69424.28</w:t>
                  </w:r>
                  <w:r>
                    <w:rPr>
                      <w:rFonts w:hint="default" w:ascii="Times New Roman" w:hAnsi="Times New Roman" w:cs="Times New Roman"/>
                      <w:color w:val="auto"/>
                      <w:sz w:val="18"/>
                      <w:szCs w:val="18"/>
                      <w:highlight w:val="none"/>
                    </w:rPr>
                    <w:t>t</w:t>
                  </w:r>
                </w:p>
              </w:tc>
              <w:tc>
                <w:tcPr>
                  <w:tcW w:w="1273" w:type="dxa"/>
                  <w:vAlign w:val="center"/>
                </w:tcPr>
                <w:p>
                  <w:pPr>
                    <w:keepNext w:val="0"/>
                    <w:keepLines w:val="0"/>
                    <w:suppressLineNumbers w:val="0"/>
                    <w:spacing w:before="0" w:beforeAutospacing="0" w:after="0" w:afterAutospacing="0"/>
                    <w:ind w:left="0" w:leftChars="0" w:right="0" w:rightChars="0"/>
                    <w:jc w:val="center"/>
                    <w:rPr>
                      <w:rFonts w:hint="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市政</w:t>
                  </w:r>
                </w:p>
              </w:tc>
            </w:tr>
          </w:tbl>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kern w:val="21"/>
                <w:sz w:val="21"/>
                <w:szCs w:val="21"/>
                <w:highlight w:val="none"/>
              </w:rPr>
              <w:t>本项目劳动定员为</w:t>
            </w:r>
            <w:r>
              <w:rPr>
                <w:rFonts w:hint="eastAsia" w:cs="Times New Roman"/>
                <w:color w:val="auto"/>
                <w:kern w:val="21"/>
                <w:sz w:val="21"/>
                <w:szCs w:val="21"/>
                <w:highlight w:val="none"/>
                <w:lang w:val="en-US" w:eastAsia="zh-CN"/>
              </w:rPr>
              <w:t>150</w:t>
            </w:r>
            <w:r>
              <w:rPr>
                <w:rFonts w:hint="default" w:ascii="Times New Roman" w:hAnsi="Times New Roman" w:eastAsia="宋体" w:cs="Times New Roman"/>
                <w:color w:val="auto"/>
                <w:kern w:val="21"/>
                <w:sz w:val="21"/>
                <w:szCs w:val="21"/>
                <w:highlight w:val="none"/>
              </w:rPr>
              <w:t>人，</w:t>
            </w:r>
            <w:r>
              <w:rPr>
                <w:rFonts w:hint="default" w:ascii="Times New Roman" w:hAnsi="Times New Roman" w:eastAsia="宋体" w:cs="Times New Roman"/>
                <w:color w:val="auto"/>
                <w:kern w:val="21"/>
                <w:sz w:val="21"/>
                <w:szCs w:val="21"/>
                <w:highlight w:val="none"/>
                <w:lang w:val="en-US" w:eastAsia="zh-CN"/>
              </w:rPr>
              <w:t>1班制</w:t>
            </w:r>
            <w:r>
              <w:rPr>
                <w:rFonts w:hint="default" w:ascii="Times New Roman" w:hAnsi="Times New Roman" w:eastAsia="宋体" w:cs="Times New Roman"/>
                <w:color w:val="auto"/>
                <w:kern w:val="21"/>
                <w:sz w:val="21"/>
                <w:szCs w:val="21"/>
                <w:highlight w:val="none"/>
              </w:rPr>
              <w:t>，</w:t>
            </w:r>
            <w:r>
              <w:rPr>
                <w:rFonts w:hint="default" w:ascii="Times New Roman" w:hAnsi="Times New Roman" w:eastAsia="宋体" w:cs="Times New Roman"/>
                <w:color w:val="auto"/>
                <w:kern w:val="21"/>
                <w:sz w:val="21"/>
                <w:szCs w:val="21"/>
                <w:highlight w:val="none"/>
                <w:lang w:eastAsia="zh-CN"/>
              </w:rPr>
              <w:t>每班</w:t>
            </w:r>
            <w:r>
              <w:rPr>
                <w:rFonts w:hint="default" w:ascii="Times New Roman" w:hAnsi="Times New Roman" w:eastAsia="宋体" w:cs="Times New Roman"/>
                <w:color w:val="auto"/>
                <w:kern w:val="21"/>
                <w:sz w:val="21"/>
                <w:szCs w:val="21"/>
                <w:highlight w:val="none"/>
                <w:lang w:val="en-US" w:eastAsia="zh-CN"/>
              </w:rPr>
              <w:t>8小时，</w:t>
            </w:r>
            <w:r>
              <w:rPr>
                <w:rFonts w:hint="default" w:ascii="Times New Roman" w:hAnsi="Times New Roman" w:eastAsia="宋体" w:cs="Times New Roman"/>
                <w:color w:val="auto"/>
                <w:kern w:val="21"/>
                <w:sz w:val="21"/>
                <w:szCs w:val="21"/>
                <w:highlight w:val="none"/>
              </w:rPr>
              <w:t>年工作天数为</w:t>
            </w:r>
            <w:r>
              <w:rPr>
                <w:rFonts w:hint="eastAsia" w:cs="Times New Roman"/>
                <w:color w:val="auto"/>
                <w:kern w:val="21"/>
                <w:sz w:val="21"/>
                <w:szCs w:val="21"/>
                <w:highlight w:val="none"/>
                <w:lang w:val="en-US" w:eastAsia="zh-CN"/>
              </w:rPr>
              <w:t>350</w:t>
            </w:r>
            <w:r>
              <w:rPr>
                <w:rFonts w:hint="default" w:ascii="Times New Roman" w:hAnsi="Times New Roman" w:eastAsia="宋体" w:cs="Times New Roman"/>
                <w:color w:val="auto"/>
                <w:kern w:val="21"/>
                <w:sz w:val="21"/>
                <w:szCs w:val="21"/>
                <w:highlight w:val="none"/>
              </w:rPr>
              <w:t>天。</w:t>
            </w:r>
            <w:r>
              <w:rPr>
                <w:rFonts w:hint="eastAsia" w:cs="Times New Roman"/>
                <w:color w:val="auto"/>
                <w:kern w:val="21"/>
                <w:sz w:val="21"/>
                <w:szCs w:val="21"/>
                <w:highlight w:val="none"/>
                <w:lang w:val="en-US" w:eastAsia="zh-CN"/>
              </w:rPr>
              <w:t>项目设有职工食堂与住宿，住宿人数为70人，全体员工日供1餐，</w:t>
            </w:r>
            <w:r>
              <w:rPr>
                <w:rFonts w:hint="eastAsia"/>
                <w:b w:val="0"/>
                <w:bCs w:val="0"/>
                <w:color w:val="auto"/>
                <w:sz w:val="21"/>
                <w:szCs w:val="21"/>
                <w:highlight w:val="none"/>
                <w:lang w:val="en-US" w:eastAsia="zh-CN"/>
              </w:rPr>
              <w:t>住宿员工日供3餐</w:t>
            </w:r>
            <w:r>
              <w:rPr>
                <w:rFonts w:hint="eastAsia" w:cs="Times New Roman"/>
                <w:color w:val="auto"/>
                <w:kern w:val="21"/>
                <w:sz w:val="21"/>
                <w:szCs w:val="21"/>
                <w:highlight w:val="none"/>
                <w:lang w:val="en-US" w:eastAsia="zh-CN"/>
              </w:rPr>
              <w:t>，灶头数为4。</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yellow"/>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①</w:t>
            </w:r>
            <w:r>
              <w:rPr>
                <w:rFonts w:hint="eastAsia" w:cs="Times New Roman"/>
                <w:color w:val="auto"/>
                <w:sz w:val="21"/>
                <w:szCs w:val="21"/>
                <w:highlight w:val="none"/>
                <w:lang w:eastAsia="zh-CN"/>
              </w:rPr>
              <w:t>生活用水</w:t>
            </w:r>
          </w:p>
          <w:p>
            <w:pPr>
              <w:keepNext w:val="0"/>
              <w:keepLines w:val="0"/>
              <w:widowControl/>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本项目运营期员工人数为</w:t>
            </w:r>
            <w:r>
              <w:rPr>
                <w:rFonts w:hint="eastAsia" w:cs="Times New Roman"/>
                <w:color w:val="auto"/>
                <w:szCs w:val="21"/>
                <w:highlight w:val="none"/>
                <w:lang w:val="en-US" w:eastAsia="zh-CN"/>
              </w:rPr>
              <w:t>150</w:t>
            </w:r>
            <w:r>
              <w:rPr>
                <w:rFonts w:hint="default" w:ascii="Times New Roman" w:hAnsi="Times New Roman" w:cs="Times New Roman"/>
                <w:color w:val="auto"/>
                <w:szCs w:val="21"/>
                <w:highlight w:val="none"/>
              </w:rPr>
              <w:t>人，职工生活用水参照《黑龙江省地方标准 用水定额》（DB23/T727-20</w:t>
            </w:r>
            <w:r>
              <w:rPr>
                <w:rFonts w:hint="eastAsia" w:cs="Times New Roman"/>
                <w:color w:val="auto"/>
                <w:szCs w:val="21"/>
                <w:highlight w:val="none"/>
                <w:lang w:val="en-US" w:eastAsia="zh-CN"/>
              </w:rPr>
              <w:t>21</w:t>
            </w:r>
            <w:r>
              <w:rPr>
                <w:rFonts w:hint="default" w:ascii="Times New Roman" w:hAnsi="Times New Roman" w:cs="Times New Roman"/>
                <w:color w:val="auto"/>
                <w:szCs w:val="21"/>
                <w:highlight w:val="none"/>
              </w:rPr>
              <w:t>），员工生活用水按</w:t>
            </w:r>
            <w:r>
              <w:rPr>
                <w:rFonts w:hint="eastAsia" w:cs="Times New Roman"/>
                <w:color w:val="auto"/>
                <w:szCs w:val="21"/>
                <w:highlight w:val="none"/>
                <w:lang w:val="en-US" w:eastAsia="zh-CN"/>
              </w:rPr>
              <w:t>8</w:t>
            </w:r>
            <w:r>
              <w:rPr>
                <w:rFonts w:hint="default" w:ascii="Times New Roman" w:hAnsi="Times New Roman" w:cs="Times New Roman"/>
                <w:color w:val="auto"/>
                <w:szCs w:val="21"/>
                <w:highlight w:val="none"/>
              </w:rPr>
              <w:t>0L/人·d计，则项目生活用水量为</w:t>
            </w:r>
            <w:r>
              <w:rPr>
                <w:rFonts w:hint="eastAsia" w:cs="Times New Roman"/>
                <w:color w:val="auto"/>
                <w:szCs w:val="21"/>
                <w:highlight w:val="none"/>
                <w:lang w:val="en-US" w:eastAsia="zh-CN"/>
              </w:rPr>
              <w:t>12</w:t>
            </w:r>
            <w:r>
              <w:rPr>
                <w:rFonts w:hint="default" w:ascii="Times New Roman" w:hAnsi="Times New Roman" w:cs="Times New Roman"/>
                <w:color w:val="auto"/>
                <w:szCs w:val="21"/>
                <w:highlight w:val="none"/>
              </w:rPr>
              <w:t>t/d，</w:t>
            </w:r>
            <w:r>
              <w:rPr>
                <w:rFonts w:hint="eastAsia" w:cs="Times New Roman"/>
                <w:color w:val="auto"/>
                <w:szCs w:val="21"/>
                <w:highlight w:val="none"/>
                <w:lang w:val="en-US" w:eastAsia="zh-CN"/>
              </w:rPr>
              <w:t>4200</w:t>
            </w:r>
            <w:r>
              <w:rPr>
                <w:rFonts w:hint="default" w:ascii="Times New Roman" w:hAnsi="Times New Roman" w:cs="Times New Roman"/>
                <w:color w:val="auto"/>
                <w:szCs w:val="21"/>
                <w:highlight w:val="none"/>
              </w:rPr>
              <w:t>t/a</w:t>
            </w:r>
            <w:r>
              <w:rPr>
                <w:rFonts w:hint="eastAsia" w:cs="Times New Roman"/>
                <w:color w:val="auto"/>
                <w:szCs w:val="21"/>
                <w:highlight w:val="none"/>
                <w:lang w:eastAsia="zh-CN"/>
              </w:rPr>
              <w:t>。</w:t>
            </w:r>
          </w:p>
          <w:p>
            <w:pPr>
              <w:keepNext w:val="0"/>
              <w:keepLines w:val="0"/>
              <w:suppressLineNumbers w:val="0"/>
              <w:spacing w:before="0" w:beforeAutospacing="0" w:after="0" w:afterAutospacing="0" w:line="360" w:lineRule="auto"/>
              <w:ind w:left="0" w:right="0" w:firstLine="420" w:firstLineChars="200"/>
              <w:rPr>
                <w:rFonts w:hint="eastAsia" w:eastAsia="宋体"/>
                <w:color w:val="auto"/>
                <w:sz w:val="24"/>
                <w:highlight w:val="yellow"/>
                <w:lang w:eastAsia="zh-CN"/>
              </w:rPr>
            </w:pPr>
            <w:r>
              <w:rPr>
                <w:rFonts w:hint="eastAsia" w:cs="Times New Roman"/>
                <w:bCs/>
                <w:color w:val="auto"/>
                <w:spacing w:val="0"/>
                <w:sz w:val="21"/>
                <w:szCs w:val="21"/>
                <w:highlight w:val="none"/>
                <w:lang w:eastAsia="zh-CN"/>
              </w:rPr>
              <w:t>②</w:t>
            </w:r>
            <w:r>
              <w:rPr>
                <w:rFonts w:hint="default"/>
                <w:color w:val="auto"/>
                <w:sz w:val="21"/>
                <w:szCs w:val="21"/>
                <w:highlight w:val="none"/>
              </w:rPr>
              <w:t>生产用水</w:t>
            </w:r>
          </w:p>
          <w:p>
            <w:pPr>
              <w:keepNext w:val="0"/>
              <w:keepLines w:val="0"/>
              <w:suppressLineNumbers w:val="0"/>
              <w:spacing w:before="0" w:beforeAutospacing="0" w:after="0" w:afterAutospacing="0" w:line="360" w:lineRule="auto"/>
              <w:ind w:left="0" w:right="0" w:firstLine="420" w:firstLineChars="200"/>
              <w:rPr>
                <w:rFonts w:hint="default"/>
                <w:color w:val="auto"/>
                <w:sz w:val="21"/>
                <w:szCs w:val="21"/>
                <w:highlight w:val="none"/>
              </w:rPr>
            </w:pPr>
            <w:r>
              <w:rPr>
                <w:rFonts w:hint="default"/>
                <w:color w:val="auto"/>
                <w:sz w:val="21"/>
                <w:szCs w:val="21"/>
                <w:highlight w:val="none"/>
              </w:rPr>
              <w:t>本项目使用原料肉均为精肉冻肉，无须清洗，可直接进行加工。</w:t>
            </w:r>
          </w:p>
          <w:p>
            <w:pPr>
              <w:keepNext w:val="0"/>
              <w:keepLines w:val="0"/>
              <w:suppressLineNumbers w:val="0"/>
              <w:spacing w:before="0" w:beforeAutospacing="0" w:after="0" w:afterAutospacing="0" w:line="360" w:lineRule="auto"/>
              <w:ind w:left="0" w:right="0" w:firstLine="420" w:firstLineChars="200"/>
              <w:rPr>
                <w:rFonts w:hint="eastAsia"/>
                <w:color w:val="auto"/>
                <w:sz w:val="21"/>
                <w:szCs w:val="21"/>
                <w:highlight w:val="none"/>
                <w:lang w:eastAsia="zh-CN"/>
              </w:rPr>
            </w:pPr>
            <w:r>
              <w:rPr>
                <w:rFonts w:hint="default"/>
                <w:color w:val="auto"/>
                <w:sz w:val="21"/>
                <w:szCs w:val="21"/>
                <w:highlight w:val="none"/>
              </w:rPr>
              <w:t>根据</w:t>
            </w:r>
            <w:r>
              <w:rPr>
                <w:rFonts w:hint="eastAsia"/>
                <w:color w:val="auto"/>
                <w:sz w:val="21"/>
                <w:szCs w:val="21"/>
                <w:highlight w:val="none"/>
                <w:lang w:eastAsia="zh-CN"/>
              </w:rPr>
              <w:t>《排放源统计调查产排污核算方法和系数手册2021》—135屠宰及肉类加工行业系数手册—</w:t>
            </w:r>
            <w:r>
              <w:rPr>
                <w:rFonts w:hint="eastAsia"/>
                <w:color w:val="auto"/>
                <w:sz w:val="21"/>
                <w:szCs w:val="21"/>
                <w:highlight w:val="none"/>
                <w:lang w:val="en-US" w:eastAsia="zh-CN"/>
              </w:rPr>
              <w:t>1353 肉制品及副产品加工行业产污系数表中，“熏煮火腿、熏煮香肠、香肠制品、血布丁、发酵香肠、培根、火腿、肉灌肠、生鲜香肠”工业废水量产污系数为12.2</w:t>
            </w:r>
            <w:r>
              <w:rPr>
                <w:rFonts w:hint="default"/>
                <w:color w:val="auto"/>
                <w:sz w:val="21"/>
                <w:szCs w:val="21"/>
                <w:highlight w:val="none"/>
              </w:rPr>
              <w:t>吨/吨-产品</w:t>
            </w:r>
            <w:r>
              <w:rPr>
                <w:rFonts w:hint="eastAsia"/>
                <w:color w:val="auto"/>
                <w:sz w:val="21"/>
                <w:szCs w:val="21"/>
                <w:highlight w:val="none"/>
                <w:lang w:val="en-US" w:eastAsia="zh-CN"/>
              </w:rPr>
              <w:t xml:space="preserve"> ，“酱卤制品、糟肉制品、肉松、肉干、肉脯、血肠、调理肉制品、肉糕”工业废水量产污系数为18.7</w:t>
            </w:r>
            <w:r>
              <w:rPr>
                <w:rFonts w:hint="default"/>
                <w:color w:val="auto"/>
                <w:sz w:val="21"/>
                <w:szCs w:val="21"/>
                <w:highlight w:val="none"/>
              </w:rPr>
              <w:t>吨/吨-产品</w:t>
            </w:r>
            <w:r>
              <w:rPr>
                <w:rFonts w:hint="eastAsia"/>
                <w:color w:val="auto"/>
                <w:sz w:val="21"/>
                <w:szCs w:val="21"/>
                <w:highlight w:val="none"/>
                <w:lang w:val="en-US" w:eastAsia="zh-CN"/>
              </w:rPr>
              <w:t>。</w:t>
            </w:r>
            <w:r>
              <w:rPr>
                <w:rFonts w:hint="default"/>
                <w:color w:val="auto"/>
                <w:sz w:val="21"/>
                <w:szCs w:val="21"/>
                <w:highlight w:val="none"/>
              </w:rPr>
              <w:t>本项目</w:t>
            </w:r>
            <w:r>
              <w:rPr>
                <w:rFonts w:hint="eastAsia"/>
                <w:color w:val="auto"/>
                <w:sz w:val="21"/>
                <w:szCs w:val="21"/>
                <w:highlight w:val="none"/>
                <w:lang w:val="en-US" w:eastAsia="zh-CN"/>
              </w:rPr>
              <w:t>红肠、儿童肠</w:t>
            </w:r>
            <w:r>
              <w:rPr>
                <w:rFonts w:hint="default"/>
                <w:color w:val="auto"/>
                <w:sz w:val="21"/>
                <w:szCs w:val="21"/>
                <w:highlight w:val="none"/>
              </w:rPr>
              <w:t>和松仁</w:t>
            </w:r>
            <w:r>
              <w:rPr>
                <w:rFonts w:hint="eastAsia"/>
                <w:color w:val="auto"/>
                <w:sz w:val="21"/>
                <w:szCs w:val="21"/>
                <w:highlight w:val="none"/>
                <w:lang w:val="en-US" w:eastAsia="zh-CN"/>
              </w:rPr>
              <w:t>烤肠</w:t>
            </w:r>
            <w:r>
              <w:rPr>
                <w:rFonts w:hint="default"/>
                <w:color w:val="auto"/>
                <w:sz w:val="21"/>
                <w:szCs w:val="21"/>
                <w:highlight w:val="none"/>
              </w:rPr>
              <w:t>合计产量</w:t>
            </w:r>
            <w:r>
              <w:rPr>
                <w:rFonts w:hint="eastAsia"/>
                <w:color w:val="auto"/>
                <w:sz w:val="21"/>
                <w:szCs w:val="21"/>
                <w:highlight w:val="none"/>
                <w:lang w:val="en-US" w:eastAsia="zh-CN"/>
              </w:rPr>
              <w:t>320</w:t>
            </w:r>
            <w:r>
              <w:rPr>
                <w:rFonts w:hint="default"/>
                <w:color w:val="auto"/>
                <w:sz w:val="21"/>
                <w:szCs w:val="21"/>
                <w:highlight w:val="none"/>
              </w:rPr>
              <w:t>0t/a，工业废水排放量为</w:t>
            </w:r>
            <w:r>
              <w:rPr>
                <w:rFonts w:hint="eastAsia"/>
                <w:color w:val="auto"/>
                <w:sz w:val="21"/>
                <w:szCs w:val="21"/>
                <w:highlight w:val="none"/>
                <w:lang w:val="en-US" w:eastAsia="zh-CN"/>
              </w:rPr>
              <w:t>39040</w:t>
            </w:r>
            <w:r>
              <w:rPr>
                <w:rFonts w:hint="default"/>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用水量为48800</w:t>
            </w:r>
            <w:r>
              <w:rPr>
                <w:rFonts w:hint="default"/>
                <w:color w:val="auto"/>
                <w:sz w:val="21"/>
                <w:szCs w:val="21"/>
                <w:highlight w:val="none"/>
              </w:rPr>
              <w:t>t/a。</w:t>
            </w:r>
            <w:r>
              <w:rPr>
                <w:rFonts w:hint="eastAsia"/>
                <w:color w:val="auto"/>
                <w:sz w:val="21"/>
                <w:szCs w:val="21"/>
                <w:highlight w:val="none"/>
                <w:lang w:val="en-US" w:eastAsia="zh-CN"/>
              </w:rPr>
              <w:t>酱卤制品</w:t>
            </w:r>
            <w:r>
              <w:rPr>
                <w:rFonts w:hint="default"/>
                <w:color w:val="auto"/>
                <w:sz w:val="21"/>
                <w:szCs w:val="21"/>
                <w:highlight w:val="none"/>
              </w:rPr>
              <w:t>产量</w:t>
            </w:r>
            <w:r>
              <w:rPr>
                <w:rFonts w:hint="eastAsia"/>
                <w:color w:val="auto"/>
                <w:sz w:val="21"/>
                <w:szCs w:val="21"/>
                <w:highlight w:val="none"/>
                <w:lang w:val="en-US" w:eastAsia="zh-CN"/>
              </w:rPr>
              <w:t>50</w:t>
            </w:r>
            <w:r>
              <w:rPr>
                <w:rFonts w:hint="default"/>
                <w:color w:val="auto"/>
                <w:sz w:val="21"/>
                <w:szCs w:val="21"/>
                <w:highlight w:val="none"/>
              </w:rPr>
              <w:t>0t/a，工业废水排放量为</w:t>
            </w:r>
            <w:r>
              <w:rPr>
                <w:rFonts w:hint="eastAsia"/>
                <w:color w:val="auto"/>
                <w:sz w:val="21"/>
                <w:szCs w:val="21"/>
                <w:highlight w:val="none"/>
                <w:lang w:val="en-US" w:eastAsia="zh-CN"/>
              </w:rPr>
              <w:t>9350</w:t>
            </w:r>
            <w:r>
              <w:rPr>
                <w:rFonts w:hint="default"/>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用水量为11687.5</w:t>
            </w:r>
            <w:r>
              <w:rPr>
                <w:rFonts w:hint="default"/>
                <w:color w:val="auto"/>
                <w:sz w:val="21"/>
                <w:szCs w:val="21"/>
                <w:highlight w:val="none"/>
              </w:rPr>
              <w:t>t/a。</w:t>
            </w:r>
            <w:r>
              <w:rPr>
                <w:rFonts w:hint="eastAsia"/>
                <w:color w:val="auto"/>
                <w:sz w:val="21"/>
                <w:szCs w:val="21"/>
                <w:highlight w:val="none"/>
                <w:lang w:val="en-US" w:eastAsia="zh-CN"/>
              </w:rPr>
              <w:t>则本项目总生产用水为60487.5</w:t>
            </w:r>
            <w:r>
              <w:rPr>
                <w:rFonts w:hint="default"/>
                <w:color w:val="auto"/>
                <w:sz w:val="21"/>
                <w:szCs w:val="21"/>
                <w:highlight w:val="none"/>
              </w:rPr>
              <w:t>t/a</w:t>
            </w:r>
            <w:r>
              <w:rPr>
                <w:rFonts w:hint="eastAsia"/>
                <w:color w:val="auto"/>
                <w:sz w:val="21"/>
                <w:szCs w:val="21"/>
                <w:highlight w:val="none"/>
                <w:lang w:eastAsia="zh-CN"/>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宋体" w:hAnsi="宋体" w:cs="宋体"/>
                <w:color w:val="auto"/>
                <w:sz w:val="21"/>
                <w:szCs w:val="21"/>
                <w:highlight w:val="none"/>
              </w:rPr>
            </w:pPr>
            <w:r>
              <w:rPr>
                <w:rFonts w:hint="default"/>
                <w:color w:val="auto"/>
                <w:sz w:val="21"/>
                <w:szCs w:val="21"/>
                <w:highlight w:val="none"/>
              </w:rPr>
              <w:t>③</w:t>
            </w:r>
            <w:r>
              <w:rPr>
                <w:rFonts w:hint="eastAsia" w:ascii="宋体" w:hAnsi="宋体" w:cs="宋体"/>
                <w:color w:val="auto"/>
                <w:sz w:val="21"/>
                <w:szCs w:val="21"/>
                <w:highlight w:val="none"/>
              </w:rPr>
              <w:t>锅炉用水</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锅炉补给水由</w:t>
            </w:r>
            <w:r>
              <w:rPr>
                <w:rFonts w:hint="default" w:ascii="Times New Roman" w:hAnsi="Times New Roman" w:eastAsia="宋体" w:cs="Times New Roman"/>
                <w:color w:val="auto"/>
                <w:sz w:val="21"/>
                <w:szCs w:val="21"/>
                <w:highlight w:val="none"/>
                <w:lang w:val="en-US" w:eastAsia="zh-CN"/>
              </w:rPr>
              <w:t>软化水处理系统处理，软化水处理采用离子交换树脂，</w:t>
            </w:r>
            <w:r>
              <w:rPr>
                <w:rFonts w:hint="eastAsia" w:ascii="Times New Roman" w:hAnsi="Times New Roman" w:eastAsia="宋体" w:cs="Times New Roman"/>
                <w:color w:val="auto"/>
                <w:sz w:val="21"/>
                <w:szCs w:val="21"/>
                <w:highlight w:val="none"/>
                <w:lang w:val="en-US" w:eastAsia="zh-CN"/>
              </w:rPr>
              <w:t>处理能力6t/h，</w:t>
            </w:r>
            <w:r>
              <w:rPr>
                <w:rFonts w:hint="default" w:ascii="Times New Roman" w:hAnsi="Times New Roman" w:eastAsia="宋体" w:cs="Times New Roman"/>
                <w:color w:val="auto"/>
                <w:sz w:val="21"/>
                <w:szCs w:val="21"/>
                <w:highlight w:val="none"/>
              </w:rPr>
              <w:t>进行软化处理后，供给锅炉使用，软水制备率为80%。</w:t>
            </w:r>
            <w:r>
              <w:rPr>
                <w:rFonts w:hint="default" w:ascii="Times New Roman" w:hAnsi="Times New Roman" w:eastAsia="宋体" w:cs="Times New Roman"/>
                <w:color w:val="auto"/>
                <w:sz w:val="21"/>
                <w:szCs w:val="21"/>
                <w:highlight w:val="none"/>
                <w:lang w:val="en-US" w:eastAsia="zh-CN"/>
              </w:rPr>
              <w:t>处理后产生的废离子交换树脂，</w:t>
            </w:r>
            <w:r>
              <w:rPr>
                <w:rFonts w:hint="default" w:ascii="Times New Roman" w:hAnsi="Times New Roman" w:eastAsia="宋体" w:cs="Times New Roman"/>
                <w:color w:val="auto"/>
                <w:sz w:val="21"/>
                <w:szCs w:val="21"/>
                <w:highlight w:val="none"/>
              </w:rPr>
              <w:t>集中收集，</w:t>
            </w:r>
            <w:r>
              <w:rPr>
                <w:rFonts w:hint="default" w:ascii="Times New Roman" w:hAnsi="Times New Roman" w:eastAsia="宋体" w:cs="Times New Roman"/>
                <w:color w:val="auto"/>
                <w:sz w:val="21"/>
                <w:szCs w:val="21"/>
                <w:highlight w:val="none"/>
                <w:lang w:val="en-US" w:eastAsia="zh-CN"/>
              </w:rPr>
              <w:t>交由厂家再生处理</w:t>
            </w:r>
            <w:r>
              <w:rPr>
                <w:rFonts w:hint="eastAsia" w:ascii="Times New Roman" w:hAnsi="Times New Roman" w:eastAsia="宋体" w:cs="Times New Roman"/>
                <w:color w:val="auto"/>
                <w:sz w:val="21"/>
                <w:szCs w:val="21"/>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软化水制备及锅炉用水：本项目锅炉采用锅外水处理，则锅炉用水量为</w:t>
            </w:r>
            <w:r>
              <w:rPr>
                <w:rFonts w:hint="default" w:ascii="Times New Roman" w:hAnsi="Times New Roman" w:cs="Times New Roman"/>
                <w:color w:val="auto"/>
                <w:sz w:val="21"/>
                <w:szCs w:val="21"/>
                <w:highlight w:val="none"/>
                <w:lang w:val="en-US" w:eastAsia="zh-CN"/>
              </w:rPr>
              <w:t>13.54</w:t>
            </w:r>
            <w:r>
              <w:rPr>
                <w:rFonts w:hint="default" w:ascii="Times New Roman" w:hAnsi="Times New Roman" w:cs="Times New Roman"/>
                <w:color w:val="auto"/>
                <w:sz w:val="21"/>
                <w:szCs w:val="21"/>
                <w:highlight w:val="none"/>
              </w:rPr>
              <w:t>t/d，</w:t>
            </w:r>
            <w:r>
              <w:rPr>
                <w:rFonts w:hint="default" w:ascii="Times New Roman" w:hAnsi="Times New Roman" w:cs="Times New Roman"/>
                <w:color w:val="auto"/>
                <w:sz w:val="21"/>
                <w:szCs w:val="21"/>
                <w:highlight w:val="none"/>
                <w:lang w:val="en-US" w:eastAsia="zh-CN"/>
              </w:rPr>
              <w:t>4736.78</w:t>
            </w:r>
            <w:r>
              <w:rPr>
                <w:rFonts w:hint="default" w:ascii="Times New Roman" w:hAnsi="Times New Roman" w:cs="Times New Roman"/>
                <w:color w:val="auto"/>
                <w:sz w:val="21"/>
                <w:szCs w:val="21"/>
                <w:highlight w:val="none"/>
              </w:rPr>
              <w:t>t/a。</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综上，全年用水量为</w:t>
            </w:r>
            <w:r>
              <w:rPr>
                <w:rFonts w:hint="eastAsia" w:cs="Times New Roman"/>
                <w:color w:val="auto"/>
                <w:sz w:val="21"/>
                <w:szCs w:val="21"/>
                <w:highlight w:val="none"/>
                <w:lang w:val="en-US" w:eastAsia="zh-CN"/>
              </w:rPr>
              <w:t>69424.28</w:t>
            </w:r>
            <w:r>
              <w:rPr>
                <w:rFonts w:hint="default" w:ascii="Times New Roman" w:hAnsi="Times New Roman" w:cs="Times New Roman"/>
                <w:color w:val="auto"/>
                <w:sz w:val="21"/>
                <w:szCs w:val="21"/>
                <w:highlight w:val="none"/>
              </w:rPr>
              <w:t>t/a</w:t>
            </w:r>
            <w:r>
              <w:rPr>
                <w:rFonts w:hint="default" w:ascii="Times New Roman" w:hAnsi="Times New Roman" w:cs="Times New Roman"/>
                <w:color w:val="auto"/>
                <w:sz w:val="21"/>
                <w:szCs w:val="21"/>
                <w:highlight w:val="none"/>
                <w:lang w:val="en-US" w:eastAsia="zh-CN"/>
              </w:rPr>
              <w:t>。</w:t>
            </w:r>
          </w:p>
          <w:p>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pPr>
              <w:keepNext w:val="0"/>
              <w:keepLines w:val="0"/>
              <w:widowControl/>
              <w:suppressLineNumbers w:val="0"/>
              <w:spacing w:before="0" w:beforeAutospacing="0" w:after="0" w:afterAutospacing="0" w:line="360" w:lineRule="auto"/>
              <w:ind w:left="0" w:right="0" w:firstLine="420" w:firstLineChars="200"/>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①</w:t>
            </w:r>
            <w:r>
              <w:rPr>
                <w:rFonts w:hint="eastAsia" w:cs="Times New Roman"/>
                <w:color w:val="auto"/>
                <w:sz w:val="21"/>
                <w:szCs w:val="21"/>
                <w:highlight w:val="none"/>
                <w:lang w:eastAsia="zh-CN"/>
              </w:rPr>
              <w:t>生活污水</w:t>
            </w:r>
          </w:p>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cs="Times New Roman"/>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85%计，则本项目生活污水</w:t>
            </w:r>
            <w:r>
              <w:rPr>
                <w:rFonts w:hint="eastAsia"/>
                <w:color w:val="auto"/>
                <w:szCs w:val="21"/>
                <w:highlight w:val="none"/>
              </w:rPr>
              <w:t>（含食堂废水，经隔油处理后）</w:t>
            </w:r>
            <w:r>
              <w:rPr>
                <w:rFonts w:hint="eastAsia" w:cs="Times New Roman"/>
                <w:bCs/>
                <w:color w:val="auto"/>
                <w:sz w:val="21"/>
                <w:szCs w:val="21"/>
                <w:highlight w:val="none"/>
                <w:lang w:val="en-US" w:eastAsia="zh-CN"/>
              </w:rPr>
              <w:t>排水量为10.2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3570</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pPr>
              <w:pStyle w:val="2"/>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cs="Times New Roman"/>
                <w:bCs/>
                <w:color w:val="auto"/>
                <w:spacing w:val="0"/>
                <w:sz w:val="21"/>
                <w:szCs w:val="21"/>
                <w:highlight w:val="none"/>
                <w:lang w:val="en-US" w:eastAsia="zh-CN"/>
              </w:rPr>
            </w:pPr>
            <w:r>
              <w:rPr>
                <w:rFonts w:hint="default" w:ascii="Times New Roman" w:hAnsi="Times New Roman" w:cs="Times New Roman"/>
                <w:bCs/>
                <w:color w:val="auto"/>
                <w:spacing w:val="0"/>
                <w:sz w:val="21"/>
                <w:szCs w:val="21"/>
                <w:highlight w:val="none"/>
                <w:lang w:eastAsia="zh-CN"/>
              </w:rPr>
              <w:t>②</w:t>
            </w:r>
            <w:r>
              <w:rPr>
                <w:rFonts w:hint="eastAsia" w:cs="Times New Roman"/>
                <w:bCs/>
                <w:color w:val="auto"/>
                <w:spacing w:val="0"/>
                <w:sz w:val="21"/>
                <w:szCs w:val="21"/>
                <w:highlight w:val="none"/>
                <w:lang w:val="en-US" w:eastAsia="zh-CN"/>
              </w:rPr>
              <w:t>生产废水</w:t>
            </w:r>
          </w:p>
          <w:p>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eastAsia="宋体"/>
                <w:color w:val="auto"/>
                <w:highlight w:val="none"/>
                <w:lang w:val="en-US" w:eastAsia="zh-CN"/>
              </w:rPr>
            </w:pPr>
            <w:r>
              <w:rPr>
                <w:rFonts w:hint="eastAsia" w:cs="Times New Roman"/>
                <w:bCs/>
                <w:color w:val="auto"/>
                <w:spacing w:val="0"/>
                <w:sz w:val="21"/>
                <w:szCs w:val="21"/>
                <w:highlight w:val="none"/>
                <w:lang w:val="en-US" w:eastAsia="zh-CN"/>
              </w:rPr>
              <w:t>本项目熏</w:t>
            </w:r>
            <w:r>
              <w:rPr>
                <w:rFonts w:hint="default"/>
                <w:color w:val="auto"/>
                <w:sz w:val="21"/>
                <w:szCs w:val="21"/>
                <w:highlight w:val="none"/>
              </w:rPr>
              <w:t>煮香肠制品工业废水排放量为</w:t>
            </w:r>
            <w:r>
              <w:rPr>
                <w:rFonts w:hint="eastAsia"/>
                <w:color w:val="auto"/>
                <w:sz w:val="21"/>
                <w:szCs w:val="21"/>
                <w:highlight w:val="none"/>
                <w:lang w:val="en-US" w:eastAsia="zh-CN"/>
              </w:rPr>
              <w:t>39040</w:t>
            </w:r>
            <w:r>
              <w:rPr>
                <w:rFonts w:hint="default"/>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酱卤制品</w:t>
            </w:r>
            <w:r>
              <w:rPr>
                <w:rFonts w:hint="default"/>
                <w:color w:val="auto"/>
                <w:sz w:val="21"/>
                <w:szCs w:val="21"/>
                <w:highlight w:val="none"/>
              </w:rPr>
              <w:t>工业废水排放量为</w:t>
            </w:r>
            <w:r>
              <w:rPr>
                <w:rFonts w:hint="eastAsia"/>
                <w:color w:val="auto"/>
                <w:sz w:val="21"/>
                <w:szCs w:val="21"/>
                <w:highlight w:val="none"/>
                <w:lang w:val="en-US" w:eastAsia="zh-CN"/>
              </w:rPr>
              <w:t>9350</w:t>
            </w:r>
            <w:r>
              <w:rPr>
                <w:rFonts w:hint="default"/>
                <w:color w:val="auto"/>
                <w:sz w:val="21"/>
                <w:szCs w:val="21"/>
                <w:highlight w:val="none"/>
              </w:rPr>
              <w:t>t/a</w:t>
            </w:r>
            <w:r>
              <w:rPr>
                <w:rFonts w:hint="eastAsia"/>
                <w:color w:val="auto"/>
                <w:sz w:val="21"/>
                <w:szCs w:val="21"/>
                <w:highlight w:val="none"/>
                <w:lang w:eastAsia="zh-CN"/>
              </w:rPr>
              <w:t>，</w:t>
            </w:r>
            <w:r>
              <w:rPr>
                <w:rFonts w:hint="eastAsia" w:cs="Times New Roman"/>
                <w:bCs/>
                <w:color w:val="auto"/>
                <w:spacing w:val="0"/>
                <w:sz w:val="21"/>
                <w:szCs w:val="21"/>
                <w:highlight w:val="none"/>
                <w:lang w:val="en-US" w:eastAsia="zh-CN"/>
              </w:rPr>
              <w:t>生产废水总排放量为48390</w:t>
            </w:r>
            <w:r>
              <w:rPr>
                <w:rFonts w:hint="default"/>
                <w:color w:val="auto"/>
                <w:sz w:val="21"/>
                <w:szCs w:val="21"/>
                <w:highlight w:val="none"/>
              </w:rPr>
              <w:t>t/a</w:t>
            </w:r>
            <w:r>
              <w:rPr>
                <w:rFonts w:hint="eastAsia"/>
                <w:color w:val="auto"/>
                <w:sz w:val="21"/>
                <w:szCs w:val="21"/>
                <w:highlight w:val="none"/>
                <w:lang w:eastAsia="zh-CN"/>
              </w:rPr>
              <w:t>。</w:t>
            </w:r>
          </w:p>
          <w:p>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pacing w:val="0"/>
                <w:sz w:val="21"/>
                <w:szCs w:val="21"/>
                <w:highlight w:val="none"/>
                <w:lang w:eastAsia="zh-CN"/>
              </w:rPr>
              <w:t>③</w:t>
            </w:r>
            <w:r>
              <w:rPr>
                <w:rFonts w:hint="default" w:ascii="Times New Roman" w:hAnsi="Times New Roman" w:eastAsia="宋体" w:cs="Times New Roman"/>
                <w:color w:val="auto"/>
                <w:sz w:val="21"/>
                <w:szCs w:val="21"/>
                <w:highlight w:val="none"/>
              </w:rPr>
              <w:t>锅炉排污水及软化处理废水</w:t>
            </w:r>
          </w:p>
          <w:p>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yellow"/>
              </w:rPr>
            </w:pPr>
            <w:r>
              <w:rPr>
                <w:rFonts w:hint="eastAsia" w:ascii="宋体" w:hAnsi="宋体" w:cs="宋体"/>
                <w:color w:val="auto"/>
                <w:kern w:val="0"/>
                <w:szCs w:val="21"/>
                <w:highlight w:val="none"/>
              </w:rPr>
              <w:t>根据《排放源统计调查产排污核算方法和系数手册》中“</w:t>
            </w:r>
            <w:r>
              <w:rPr>
                <w:rFonts w:hint="default" w:ascii="Times New Roman" w:hAnsi="Times New Roman" w:cs="Times New Roman"/>
                <w:color w:val="auto"/>
                <w:kern w:val="0"/>
                <w:szCs w:val="21"/>
                <w:highlight w:val="none"/>
              </w:rPr>
              <w:t>4430</w:t>
            </w:r>
            <w:r>
              <w:rPr>
                <w:rFonts w:hint="eastAsia" w:ascii="宋体" w:hAnsi="宋体" w:cs="宋体"/>
                <w:color w:val="auto"/>
                <w:kern w:val="0"/>
                <w:szCs w:val="21"/>
                <w:highlight w:val="none"/>
              </w:rPr>
              <w:t>工业锅炉（热力供应）行业</w:t>
            </w:r>
            <w:r>
              <w:rPr>
                <w:rFonts w:hint="default" w:ascii="Times New Roman" w:hAnsi="Times New Roman" w:cs="Times New Roman"/>
                <w:color w:val="auto"/>
                <w:kern w:val="0"/>
                <w:szCs w:val="21"/>
                <w:highlight w:val="none"/>
              </w:rPr>
              <w:t>系数手册”中产污系数，</w:t>
            </w:r>
            <w:r>
              <w:rPr>
                <w:rFonts w:hint="eastAsia" w:cs="Times New Roman"/>
                <w:color w:val="auto"/>
                <w:kern w:val="0"/>
                <w:szCs w:val="21"/>
                <w:highlight w:val="none"/>
                <w:lang w:eastAsia="zh-CN"/>
              </w:rPr>
              <w:t>燃气蒸汽锅炉</w:t>
            </w:r>
            <w:r>
              <w:rPr>
                <w:rFonts w:hint="default" w:ascii="Times New Roman" w:hAnsi="Times New Roman" w:cs="Times New Roman"/>
                <w:color w:val="auto"/>
                <w:kern w:val="0"/>
                <w:szCs w:val="21"/>
                <w:highlight w:val="none"/>
              </w:rPr>
              <w:t>（锅外水处理）废水产生系数为13.56吨/万立方米-天然气，本项目年燃烧天然气</w:t>
            </w:r>
            <w:r>
              <w:rPr>
                <w:rFonts w:hint="default" w:ascii="Times New Roman" w:hAnsi="Times New Roman" w:cs="Times New Roman"/>
                <w:color w:val="auto"/>
                <w:kern w:val="0"/>
                <w:szCs w:val="21"/>
                <w:highlight w:val="none"/>
                <w:lang w:val="en-US" w:eastAsia="zh-CN"/>
              </w:rPr>
              <w:t>279.456</w:t>
            </w:r>
            <w:r>
              <w:rPr>
                <w:rFonts w:hint="default" w:ascii="Times New Roman" w:hAnsi="Times New Roman" w:cs="Times New Roman"/>
                <w:color w:val="auto"/>
                <w:kern w:val="0"/>
                <w:szCs w:val="21"/>
                <w:highlight w:val="none"/>
              </w:rPr>
              <w:t>万m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，则锅炉排污水和软化处理废水总的产生量为</w:t>
            </w:r>
            <w:r>
              <w:rPr>
                <w:rFonts w:hint="default" w:ascii="Times New Roman" w:hAnsi="Times New Roman" w:cs="Times New Roman"/>
                <w:bCs/>
                <w:color w:val="auto"/>
                <w:szCs w:val="21"/>
                <w:highlight w:val="none"/>
                <w:lang w:val="en-US" w:eastAsia="zh-CN"/>
              </w:rPr>
              <w:t>10.83</w:t>
            </w:r>
            <w:r>
              <w:rPr>
                <w:rFonts w:hint="default" w:ascii="Times New Roman" w:hAnsi="Times New Roman" w:cs="Times New Roman"/>
                <w:bCs/>
                <w:color w:val="auto"/>
                <w:szCs w:val="21"/>
                <w:highlight w:val="none"/>
              </w:rPr>
              <w:t>t/d，</w:t>
            </w:r>
            <w:r>
              <w:rPr>
                <w:rFonts w:hint="default" w:ascii="Times New Roman" w:hAnsi="Times New Roman" w:cs="Times New Roman"/>
                <w:bCs/>
                <w:color w:val="auto"/>
                <w:szCs w:val="21"/>
                <w:highlight w:val="none"/>
                <w:lang w:val="en-US" w:eastAsia="zh-CN"/>
              </w:rPr>
              <w:t>3789.42</w:t>
            </w:r>
            <w:r>
              <w:rPr>
                <w:rFonts w:hint="default" w:ascii="Times New Roman" w:hAnsi="Times New Roman" w:cs="Times New Roman"/>
                <w:bCs/>
                <w:color w:val="auto"/>
                <w:szCs w:val="21"/>
                <w:highlight w:val="none"/>
              </w:rPr>
              <w:t>t/a</w:t>
            </w:r>
            <w:r>
              <w:rPr>
                <w:rFonts w:hint="default" w:ascii="Times New Roman" w:hAnsi="Times New Roman" w:cs="Times New Roman"/>
                <w:color w:val="auto"/>
                <w:kern w:val="0"/>
                <w:szCs w:val="21"/>
                <w:highlight w:val="none"/>
              </w:rPr>
              <w:t>。</w:t>
            </w:r>
          </w:p>
          <w:p>
            <w:pPr>
              <w:pStyle w:val="30"/>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eastAsia="宋体"/>
                <w:color w:val="auto"/>
                <w:highlight w:val="none"/>
                <w:lang w:val="en-US" w:eastAsia="zh-CN"/>
              </w:rPr>
            </w:pPr>
            <w:r>
              <w:rPr>
                <w:rFonts w:hint="eastAsia" w:eastAsia="宋体"/>
                <w:color w:val="auto"/>
                <w:highlight w:val="none"/>
                <w:lang w:val="en-US" w:eastAsia="zh-CN"/>
              </w:rPr>
              <w:object>
                <v:shape id="_x0000_i1025" o:spt="75" type="#_x0000_t75" style="height:163.5pt;width:395.3pt;" o:ole="t" filled="f" o:preferrelative="t" stroked="f" coordsize="21600,21600">
                  <v:path/>
                  <v:fill on="f" focussize="0,0"/>
                  <v:stroke on="f"/>
                  <v:imagedata r:id="rId11" o:title=""/>
                  <o:lock v:ext="edit" aspectratio="f"/>
                  <w10:wrap type="none"/>
                  <w10:anchorlock/>
                </v:shape>
                <o:OLEObject Type="Embed" ProgID="Visio.Drawing.11" ShapeID="_x0000_i1025" DrawAspect="Content" ObjectID="_1468075725" r:id="rId10">
                  <o:LockedField>false</o:LockedField>
                </o:OLEObject>
              </w:object>
            </w:r>
          </w:p>
          <w:p>
            <w:pPr>
              <w:pStyle w:val="30"/>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图2-</w:t>
            </w:r>
            <w:r>
              <w:rPr>
                <w:rFonts w:hint="default" w:ascii="Times New Roman" w:hAnsi="Times New Roman" w:eastAsia="宋体" w:cs="Times New Roman"/>
                <w:b/>
                <w:bCs/>
                <w:snapToGrid w:val="0"/>
                <w:color w:val="auto"/>
                <w:sz w:val="21"/>
                <w:szCs w:val="21"/>
                <w:highlight w:val="none"/>
                <w:lang w:val="en-US" w:eastAsia="zh-CN"/>
              </w:rPr>
              <w:t>1</w:t>
            </w:r>
            <w:r>
              <w:rPr>
                <w:rFonts w:hint="default" w:ascii="Times New Roman" w:hAnsi="Times New Roman" w:eastAsia="宋体" w:cs="Times New Roman"/>
                <w:b/>
                <w:bCs/>
                <w:snapToGrid w:val="0"/>
                <w:color w:val="auto"/>
                <w:sz w:val="21"/>
                <w:szCs w:val="21"/>
                <w:highlight w:val="none"/>
              </w:rPr>
              <w:t>本项目</w:t>
            </w:r>
            <w:r>
              <w:rPr>
                <w:rFonts w:hint="eastAsia" w:cs="Times New Roman"/>
                <w:b/>
                <w:bCs/>
                <w:snapToGrid w:val="0"/>
                <w:color w:val="auto"/>
                <w:sz w:val="21"/>
                <w:szCs w:val="21"/>
                <w:highlight w:val="none"/>
                <w:lang w:val="en-US" w:eastAsia="zh-CN"/>
              </w:rPr>
              <w:t>全年</w:t>
            </w:r>
            <w:r>
              <w:rPr>
                <w:rFonts w:hint="default" w:ascii="Times New Roman" w:hAnsi="Times New Roman" w:eastAsia="宋体" w:cs="Times New Roman"/>
                <w:b/>
                <w:bCs/>
                <w:snapToGrid w:val="0"/>
                <w:color w:val="auto"/>
                <w:sz w:val="21"/>
                <w:szCs w:val="21"/>
                <w:highlight w:val="none"/>
              </w:rPr>
              <w:t>水平衡图（单位：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a</w:t>
            </w:r>
            <w:r>
              <w:rPr>
                <w:rFonts w:hint="default" w:ascii="Times New Roman" w:hAnsi="Times New Roman" w:eastAsia="宋体" w:cs="Times New Roman"/>
                <w:b/>
                <w:bCs/>
                <w:snapToGrid w:val="0"/>
                <w:color w:val="auto"/>
                <w:sz w:val="21"/>
                <w:szCs w:val="21"/>
                <w:highlight w:val="none"/>
              </w:rPr>
              <w:t>）</w:t>
            </w:r>
          </w:p>
          <w:p>
            <w:pPr>
              <w:pStyle w:val="31"/>
              <w:keepNext w:val="0"/>
              <w:keepLines w:val="0"/>
              <w:suppressLineNumbers w:val="0"/>
              <w:spacing w:before="0" w:beforeAutospacing="0" w:after="0" w:afterAutospacing="0"/>
              <w:ind w:left="0" w:leftChars="0" w:right="0" w:firstLine="0" w:firstLineChars="0"/>
              <w:jc w:val="center"/>
              <w:rPr>
                <w:rFonts w:hint="eastAsia"/>
                <w:color w:val="auto"/>
                <w:lang w:eastAsia="zh-CN"/>
              </w:rPr>
            </w:pPr>
            <w:r>
              <w:rPr>
                <w:rFonts w:hint="eastAsia"/>
                <w:color w:val="auto"/>
                <w:lang w:eastAsia="zh-CN"/>
              </w:rPr>
              <w:object>
                <v:shape id="_x0000_i1026" o:spt="75" type="#_x0000_t75" style="height:171.75pt;width:423.75pt;" o:ole="t" filled="f" o:preferrelative="t" stroked="f" coordsize="21600,21600">
                  <v:path/>
                  <v:fill on="f" focussize="0,0"/>
                  <v:stroke on="f"/>
                  <v:imagedata r:id="rId13" o:title=""/>
                  <o:lock v:ext="edit" aspectratio="f"/>
                  <w10:wrap type="none"/>
                  <w10:anchorlock/>
                </v:shape>
                <o:OLEObject Type="Embed" ProgID="Visio.Drawing.11" ShapeID="_x0000_i1026" DrawAspect="Content" ObjectID="_1468075726" r:id="rId12">
                  <o:LockedField>false</o:LockedField>
                </o:OLEObject>
              </w:object>
            </w:r>
          </w:p>
          <w:p>
            <w:pPr>
              <w:pStyle w:val="19"/>
              <w:keepNext w:val="0"/>
              <w:keepLines w:val="0"/>
              <w:suppressLineNumbers w:val="0"/>
              <w:spacing w:before="0" w:beforeAutospacing="0" w:after="0" w:afterAutospacing="0"/>
              <w:ind w:left="0" w:right="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图2-</w:t>
            </w:r>
            <w:r>
              <w:rPr>
                <w:rFonts w:hint="eastAsia" w:ascii="Times New Roman" w:hAnsi="Times New Roman" w:eastAsia="宋体" w:cs="Times New Roman"/>
                <w:b/>
                <w:bCs/>
                <w:snapToGrid w:val="0"/>
                <w:color w:val="auto"/>
                <w:sz w:val="21"/>
                <w:szCs w:val="21"/>
                <w:highlight w:val="none"/>
                <w:lang w:val="en-US" w:eastAsia="zh-CN"/>
              </w:rPr>
              <w:t>2</w:t>
            </w:r>
            <w:r>
              <w:rPr>
                <w:rFonts w:hint="default" w:ascii="Times New Roman" w:hAnsi="Times New Roman" w:eastAsia="宋体" w:cs="Times New Roman"/>
                <w:b/>
                <w:bCs/>
                <w:snapToGrid w:val="0"/>
                <w:color w:val="auto"/>
                <w:sz w:val="21"/>
                <w:szCs w:val="21"/>
                <w:highlight w:val="none"/>
              </w:rPr>
              <w:t>本项目</w:t>
            </w:r>
            <w:r>
              <w:rPr>
                <w:rFonts w:hint="eastAsia" w:ascii="Times New Roman" w:hAnsi="Times New Roman" w:eastAsia="宋体" w:cs="Times New Roman"/>
                <w:b/>
                <w:bCs/>
                <w:snapToGrid w:val="0"/>
                <w:color w:val="auto"/>
                <w:sz w:val="21"/>
                <w:szCs w:val="21"/>
                <w:highlight w:val="none"/>
                <w:lang w:val="en-US" w:eastAsia="zh-CN"/>
              </w:rPr>
              <w:t>供暖期</w:t>
            </w:r>
            <w:r>
              <w:rPr>
                <w:rFonts w:hint="default" w:ascii="Times New Roman" w:hAnsi="Times New Roman" w:eastAsia="宋体" w:cs="Times New Roman"/>
                <w:b/>
                <w:bCs/>
                <w:snapToGrid w:val="0"/>
                <w:color w:val="auto"/>
                <w:sz w:val="21"/>
                <w:szCs w:val="21"/>
                <w:highlight w:val="none"/>
              </w:rPr>
              <w:t>水平衡图（</w:t>
            </w:r>
            <w:r>
              <w:rPr>
                <w:rFonts w:hint="eastAsia" w:ascii="Times New Roman" w:hAnsi="Times New Roman" w:eastAsia="宋体" w:cs="Times New Roman"/>
                <w:b/>
                <w:bCs/>
                <w:snapToGrid w:val="0"/>
                <w:color w:val="auto"/>
                <w:sz w:val="21"/>
                <w:szCs w:val="21"/>
                <w:highlight w:val="none"/>
                <w:lang w:val="en-US" w:eastAsia="zh-CN"/>
              </w:rPr>
              <w:t>供暖期180天，</w:t>
            </w:r>
            <w:r>
              <w:rPr>
                <w:rFonts w:hint="default" w:ascii="Times New Roman" w:hAnsi="Times New Roman" w:eastAsia="宋体" w:cs="Times New Roman"/>
                <w:b/>
                <w:bCs/>
                <w:snapToGrid w:val="0"/>
                <w:color w:val="auto"/>
                <w:sz w:val="21"/>
                <w:szCs w:val="21"/>
                <w:highlight w:val="none"/>
              </w:rPr>
              <w:t>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a</w:t>
            </w:r>
            <w:r>
              <w:rPr>
                <w:rFonts w:hint="default" w:ascii="Times New Roman" w:hAnsi="Times New Roman" w:eastAsia="宋体" w:cs="Times New Roman"/>
                <w:b/>
                <w:bCs/>
                <w:snapToGrid w:val="0"/>
                <w:color w:val="auto"/>
                <w:sz w:val="21"/>
                <w:szCs w:val="21"/>
                <w:highlight w:val="none"/>
              </w:rPr>
              <w:t>）</w:t>
            </w:r>
          </w:p>
          <w:p>
            <w:pPr>
              <w:pStyle w:val="19"/>
              <w:keepNext w:val="0"/>
              <w:keepLines w:val="0"/>
              <w:suppressLineNumbers w:val="0"/>
              <w:spacing w:before="0" w:beforeAutospacing="0" w:after="0" w:afterAutospacing="0"/>
              <w:ind w:left="0" w:right="0"/>
              <w:jc w:val="center"/>
              <w:rPr>
                <w:rFonts w:hint="default" w:ascii="Times New Roman" w:hAnsi="Times New Roman" w:eastAsia="宋体" w:cs="Times New Roman"/>
                <w:b/>
                <w:bCs/>
                <w:snapToGrid w:val="0"/>
                <w:color w:val="auto"/>
                <w:sz w:val="21"/>
                <w:szCs w:val="21"/>
                <w:highlight w:val="none"/>
              </w:rPr>
            </w:pPr>
          </w:p>
          <w:p>
            <w:pPr>
              <w:pStyle w:val="19"/>
              <w:keepNext w:val="0"/>
              <w:keepLines w:val="0"/>
              <w:suppressLineNumbers w:val="0"/>
              <w:spacing w:before="0" w:beforeAutospacing="0" w:after="0" w:afterAutospacing="0"/>
              <w:ind w:left="0" w:right="0"/>
              <w:jc w:val="both"/>
              <w:rPr>
                <w:rFonts w:hint="eastAsia" w:ascii="Times New Roman" w:hAnsi="Times New Roman" w:eastAsia="宋体" w:cs="Times New Roman"/>
                <w:b/>
                <w:bCs/>
                <w:snapToGrid w:val="0"/>
                <w:color w:val="auto"/>
                <w:sz w:val="21"/>
                <w:szCs w:val="21"/>
                <w:highlight w:val="none"/>
                <w:lang w:val="en-US" w:eastAsia="zh-CN"/>
              </w:rPr>
            </w:pPr>
          </w:p>
          <w:p>
            <w:pPr>
              <w:keepNext w:val="0"/>
              <w:keepLines w:val="0"/>
              <w:suppressLineNumbers w:val="0"/>
              <w:spacing w:before="0" w:beforeAutospacing="0" w:after="0" w:afterAutospacing="0"/>
              <w:ind w:left="0" w:right="0"/>
              <w:jc w:val="center"/>
              <w:rPr>
                <w:rFonts w:hint="eastAsia"/>
                <w:color w:val="auto"/>
                <w:lang w:eastAsia="zh-CN"/>
              </w:rPr>
            </w:pPr>
            <w:r>
              <w:rPr>
                <w:rFonts w:hint="eastAsia"/>
                <w:color w:val="auto"/>
                <w:lang w:eastAsia="zh-CN"/>
              </w:rPr>
              <w:object>
                <v:shape id="_x0000_i1027" o:spt="75" type="#_x0000_t75" style="height:171.75pt;width:423.75pt;" o:ole="t" filled="f" o:preferrelative="t" stroked="f" coordsize="21600,21600">
                  <v:path/>
                  <v:fill on="f" focussize="0,0"/>
                  <v:stroke on="f"/>
                  <v:imagedata r:id="rId15" o:title=""/>
                  <o:lock v:ext="edit" aspectratio="f"/>
                  <w10:wrap type="none"/>
                  <w10:anchorlock/>
                </v:shape>
                <o:OLEObject Type="Embed" ProgID="Visio.Drawing.11" ShapeID="_x0000_i1027" DrawAspect="Content" ObjectID="_1468075727" r:id="rId14">
                  <o:LockedField>false</o:LockedField>
                </o:OLEObject>
              </w:object>
            </w:r>
          </w:p>
          <w:p>
            <w:pPr>
              <w:pStyle w:val="19"/>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b/>
                <w:bCs/>
                <w:snapToGrid w:val="0"/>
                <w:color w:val="auto"/>
                <w:sz w:val="21"/>
                <w:szCs w:val="21"/>
                <w:highlight w:val="none"/>
              </w:rPr>
              <w:t>图2-</w:t>
            </w:r>
            <w:r>
              <w:rPr>
                <w:rFonts w:hint="eastAsia" w:ascii="Times New Roman" w:hAnsi="Times New Roman" w:eastAsia="宋体" w:cs="Times New Roman"/>
                <w:b/>
                <w:bCs/>
                <w:snapToGrid w:val="0"/>
                <w:color w:val="auto"/>
                <w:sz w:val="21"/>
                <w:szCs w:val="21"/>
                <w:highlight w:val="none"/>
                <w:lang w:val="en-US" w:eastAsia="zh-CN"/>
              </w:rPr>
              <w:t>3</w:t>
            </w:r>
            <w:r>
              <w:rPr>
                <w:rFonts w:hint="default" w:ascii="Times New Roman" w:hAnsi="Times New Roman" w:eastAsia="宋体" w:cs="Times New Roman"/>
                <w:b/>
                <w:bCs/>
                <w:snapToGrid w:val="0"/>
                <w:color w:val="auto"/>
                <w:sz w:val="21"/>
                <w:szCs w:val="21"/>
                <w:highlight w:val="none"/>
              </w:rPr>
              <w:t>本项目</w:t>
            </w:r>
            <w:r>
              <w:rPr>
                <w:rFonts w:hint="eastAsia" w:ascii="Times New Roman" w:hAnsi="Times New Roman" w:eastAsia="宋体" w:cs="Times New Roman"/>
                <w:b/>
                <w:bCs/>
                <w:snapToGrid w:val="0"/>
                <w:color w:val="auto"/>
                <w:sz w:val="21"/>
                <w:szCs w:val="21"/>
                <w:highlight w:val="none"/>
                <w:lang w:val="en-US" w:eastAsia="zh-CN"/>
              </w:rPr>
              <w:t>非供暖期</w:t>
            </w:r>
            <w:r>
              <w:rPr>
                <w:rFonts w:hint="default" w:ascii="Times New Roman" w:hAnsi="Times New Roman" w:eastAsia="宋体" w:cs="Times New Roman"/>
                <w:b/>
                <w:bCs/>
                <w:snapToGrid w:val="0"/>
                <w:color w:val="auto"/>
                <w:sz w:val="21"/>
                <w:szCs w:val="21"/>
                <w:highlight w:val="none"/>
              </w:rPr>
              <w:t>水平衡图（</w:t>
            </w:r>
            <w:r>
              <w:rPr>
                <w:rFonts w:hint="eastAsia" w:ascii="Times New Roman" w:hAnsi="Times New Roman" w:eastAsia="宋体" w:cs="Times New Roman"/>
                <w:b/>
                <w:bCs/>
                <w:snapToGrid w:val="0"/>
                <w:color w:val="auto"/>
                <w:sz w:val="21"/>
                <w:szCs w:val="21"/>
                <w:highlight w:val="none"/>
                <w:lang w:val="en-US" w:eastAsia="zh-CN"/>
              </w:rPr>
              <w:t>非供暖期170天，</w:t>
            </w:r>
            <w:r>
              <w:rPr>
                <w:rFonts w:hint="default" w:ascii="Times New Roman" w:hAnsi="Times New Roman" w:eastAsia="宋体" w:cs="Times New Roman"/>
                <w:b/>
                <w:bCs/>
                <w:snapToGrid w:val="0"/>
                <w:color w:val="auto"/>
                <w:sz w:val="21"/>
                <w:szCs w:val="21"/>
                <w:highlight w:val="none"/>
              </w:rPr>
              <w:t>单位：</w:t>
            </w:r>
            <w:r>
              <w:rPr>
                <w:rFonts w:hint="default" w:ascii="Times New Roman" w:hAnsi="Times New Roman" w:eastAsia="宋体" w:cs="Times New Roman"/>
                <w:b/>
                <w:bCs/>
                <w:snapToGrid w:val="0"/>
                <w:color w:val="auto"/>
                <w:sz w:val="21"/>
                <w:szCs w:val="21"/>
                <w:highlight w:val="none"/>
                <w:lang w:val="en-US" w:eastAsia="zh-CN"/>
              </w:rPr>
              <w:t>t</w:t>
            </w:r>
            <w:r>
              <w:rPr>
                <w:rFonts w:hint="default" w:ascii="Times New Roman" w:hAnsi="Times New Roman" w:eastAsia="宋体" w:cs="Times New Roman"/>
                <w:b/>
                <w:bCs/>
                <w:snapToGrid w:val="0"/>
                <w:color w:val="auto"/>
                <w:sz w:val="21"/>
                <w:szCs w:val="21"/>
                <w:highlight w:val="none"/>
              </w:rPr>
              <w:t>/</w:t>
            </w:r>
            <w:r>
              <w:rPr>
                <w:rFonts w:hint="eastAsia" w:cs="Times New Roman"/>
                <w:b/>
                <w:bCs/>
                <w:snapToGrid w:val="0"/>
                <w:color w:val="auto"/>
                <w:sz w:val="21"/>
                <w:szCs w:val="21"/>
                <w:highlight w:val="none"/>
                <w:lang w:val="en-US" w:eastAsia="zh-CN"/>
              </w:rPr>
              <w:t>a</w:t>
            </w:r>
            <w:r>
              <w:rPr>
                <w:rFonts w:hint="default" w:ascii="Times New Roman" w:hAnsi="Times New Roman" w:eastAsia="宋体" w:cs="Times New Roman"/>
                <w:b/>
                <w:bCs/>
                <w:snapToGrid w:val="0"/>
                <w:color w:val="auto"/>
                <w:sz w:val="21"/>
                <w:szCs w:val="21"/>
                <w:highlight w:val="none"/>
              </w:rPr>
              <w:t>）</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both"/>
              <w:textAlignment w:val="auto"/>
              <w:rPr>
                <w:rFonts w:hint="default" w:ascii="Times New Roman" w:hAnsi="Times New Roman" w:cs="Times New Roman"/>
                <w:color w:val="auto"/>
                <w:kern w:val="0"/>
                <w:szCs w:val="21"/>
                <w:highlight w:val="none"/>
              </w:rPr>
            </w:pPr>
            <w:r>
              <w:rPr>
                <w:rFonts w:hint="eastAsia" w:cs="Times New Roman"/>
                <w:color w:val="auto"/>
                <w:szCs w:val="21"/>
                <w:highlight w:val="none"/>
                <w:lang w:eastAsia="zh-CN"/>
              </w:rPr>
              <w:t>（</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eastAsia" w:cs="Times New Roman"/>
                <w:color w:val="auto"/>
                <w:szCs w:val="21"/>
                <w:highlight w:val="none"/>
                <w:lang w:val="en-US" w:eastAsia="zh-CN"/>
              </w:rPr>
              <w:t>供暖</w:t>
            </w:r>
            <w:r>
              <w:rPr>
                <w:rFonts w:hint="default" w:ascii="Times New Roman" w:hAnsi="Times New Roman" w:cs="Times New Roman"/>
                <w:color w:val="auto"/>
                <w:szCs w:val="21"/>
                <w:highlight w:val="none"/>
              </w:rPr>
              <w:t>：本项目采用1台</w:t>
            </w:r>
            <w:r>
              <w:rPr>
                <w:rFonts w:hint="eastAsia" w:cs="Times New Roman"/>
                <w:color w:val="auto"/>
                <w:sz w:val="21"/>
                <w:szCs w:val="21"/>
                <w:highlight w:val="none"/>
                <w:lang w:val="en-US" w:eastAsia="zh-CN"/>
              </w:rPr>
              <w:t>6t/h燃气蒸汽锅炉，</w:t>
            </w:r>
            <w:r>
              <w:rPr>
                <w:rFonts w:hint="default" w:ascii="Times New Roman" w:hAnsi="Times New Roman" w:cs="Times New Roman"/>
                <w:color w:val="auto"/>
                <w:szCs w:val="21"/>
                <w:highlight w:val="none"/>
              </w:rPr>
              <w:t>用于</w:t>
            </w:r>
            <w:r>
              <w:rPr>
                <w:rFonts w:hint="default" w:ascii="Times New Roman" w:hAnsi="Times New Roman" w:cs="Times New Roman"/>
                <w:color w:val="auto"/>
                <w:sz w:val="21"/>
                <w:szCs w:val="21"/>
                <w:highlight w:val="none"/>
                <w:lang w:val="en-US" w:eastAsia="zh-CN"/>
              </w:rPr>
              <w:t>厂区</w:t>
            </w:r>
            <w:r>
              <w:rPr>
                <w:rFonts w:hint="eastAsia" w:cs="Times New Roman"/>
                <w:color w:val="auto"/>
                <w:sz w:val="21"/>
                <w:szCs w:val="21"/>
                <w:highlight w:val="none"/>
                <w:lang w:val="en-US" w:eastAsia="zh-CN"/>
              </w:rPr>
              <w:t>常年生产用热及</w:t>
            </w:r>
            <w:r>
              <w:rPr>
                <w:rFonts w:hint="default" w:ascii="Times New Roman" w:hAnsi="Times New Roman" w:cs="Times New Roman"/>
                <w:color w:val="auto"/>
                <w:sz w:val="21"/>
                <w:szCs w:val="21"/>
                <w:highlight w:val="none"/>
                <w:lang w:val="en-US" w:eastAsia="zh-CN"/>
              </w:rPr>
              <w:t>冬季供暖</w:t>
            </w:r>
            <w:r>
              <w:rPr>
                <w:rFonts w:hint="default" w:ascii="Times New Roman" w:hAnsi="Times New Roman" w:eastAsia="宋体" w:cs="Times New Roman"/>
                <w:b w:val="0"/>
                <w:bCs w:val="0"/>
                <w:snapToGrid w:val="0"/>
                <w:color w:val="auto"/>
                <w:kern w:val="0"/>
                <w:sz w:val="18"/>
                <w:szCs w:val="18"/>
                <w:highlight w:val="none"/>
                <w:lang w:eastAsia="zh-CN"/>
              </w:rPr>
              <w:t>。</w:t>
            </w:r>
            <w:r>
              <w:rPr>
                <w:rFonts w:hint="eastAsia" w:cs="Times New Roman"/>
                <w:color w:val="auto"/>
                <w:kern w:val="21"/>
                <w:sz w:val="21"/>
                <w:szCs w:val="21"/>
                <w:highlight w:val="none"/>
                <w:lang w:val="en-US" w:eastAsia="zh-CN"/>
              </w:rPr>
              <w:t>供暖时间10月20日-次年4月20日，供暖期</w:t>
            </w:r>
            <w:r>
              <w:rPr>
                <w:rFonts w:hint="default" w:ascii="Times New Roman" w:hAnsi="Times New Roman" w:eastAsia="宋体" w:cs="Times New Roman"/>
                <w:color w:val="auto"/>
                <w:kern w:val="21"/>
                <w:sz w:val="21"/>
                <w:szCs w:val="21"/>
                <w:highlight w:val="none"/>
                <w:lang w:val="en-US" w:eastAsia="zh-CN"/>
              </w:rPr>
              <w:t>锅炉工作1</w:t>
            </w:r>
            <w:r>
              <w:rPr>
                <w:rFonts w:hint="eastAsia" w:cs="Times New Roman"/>
                <w:color w:val="auto"/>
                <w:kern w:val="21"/>
                <w:sz w:val="21"/>
                <w:szCs w:val="21"/>
                <w:highlight w:val="none"/>
                <w:lang w:val="en-US" w:eastAsia="zh-CN"/>
              </w:rPr>
              <w:t>80</w:t>
            </w:r>
            <w:r>
              <w:rPr>
                <w:rFonts w:hint="default" w:ascii="Times New Roman" w:hAnsi="Times New Roman" w:eastAsia="宋体" w:cs="Times New Roman"/>
                <w:color w:val="auto"/>
                <w:kern w:val="21"/>
                <w:sz w:val="21"/>
                <w:szCs w:val="21"/>
                <w:highlight w:val="none"/>
                <w:lang w:val="en-US" w:eastAsia="zh-CN"/>
              </w:rPr>
              <w:t>天，每天</w:t>
            </w:r>
            <w:r>
              <w:rPr>
                <w:rFonts w:hint="eastAsia" w:cs="Times New Roman"/>
                <w:color w:val="auto"/>
                <w:kern w:val="21"/>
                <w:sz w:val="21"/>
                <w:szCs w:val="21"/>
                <w:highlight w:val="none"/>
                <w:lang w:val="en-US" w:eastAsia="zh-CN"/>
              </w:rPr>
              <w:t>24</w:t>
            </w:r>
            <w:r>
              <w:rPr>
                <w:rFonts w:hint="default" w:ascii="Times New Roman" w:hAnsi="Times New Roman" w:eastAsia="宋体" w:cs="Times New Roman"/>
                <w:color w:val="auto"/>
                <w:kern w:val="21"/>
                <w:sz w:val="21"/>
                <w:szCs w:val="21"/>
                <w:highlight w:val="none"/>
                <w:lang w:val="en-US" w:eastAsia="zh-CN"/>
              </w:rPr>
              <w:t>小时</w:t>
            </w:r>
            <w:r>
              <w:rPr>
                <w:rFonts w:hint="eastAsia" w:eastAsia="宋体" w:cs="Times New Roman"/>
                <w:color w:val="auto"/>
                <w:kern w:val="21"/>
                <w:sz w:val="21"/>
                <w:szCs w:val="21"/>
                <w:highlight w:val="none"/>
                <w:lang w:val="en-US" w:eastAsia="zh-CN"/>
              </w:rPr>
              <w:t>，</w:t>
            </w:r>
            <w:r>
              <w:rPr>
                <w:rFonts w:hint="default" w:ascii="Times New Roman" w:hAnsi="Times New Roman" w:cs="Times New Roman"/>
                <w:color w:val="auto"/>
                <w:kern w:val="0"/>
                <w:szCs w:val="21"/>
                <w:highlight w:val="none"/>
              </w:rPr>
              <w:t>工作时间</w:t>
            </w:r>
            <w:r>
              <w:rPr>
                <w:rFonts w:hint="eastAsia" w:cs="Times New Roman"/>
                <w:color w:val="auto"/>
                <w:kern w:val="0"/>
                <w:szCs w:val="21"/>
                <w:highlight w:val="none"/>
                <w:lang w:val="en-US" w:eastAsia="zh-CN"/>
              </w:rPr>
              <w:t>4320</w:t>
            </w:r>
            <w:r>
              <w:rPr>
                <w:rFonts w:hint="default" w:ascii="Times New Roman" w:hAnsi="Times New Roman" w:cs="Times New Roman"/>
                <w:color w:val="auto"/>
                <w:kern w:val="0"/>
                <w:szCs w:val="21"/>
                <w:highlight w:val="none"/>
              </w:rPr>
              <w:t>h，</w:t>
            </w:r>
            <w:r>
              <w:rPr>
                <w:rFonts w:hint="eastAsia" w:cs="Times New Roman"/>
                <w:color w:val="auto"/>
                <w:kern w:val="0"/>
                <w:szCs w:val="21"/>
                <w:highlight w:val="none"/>
                <w:lang w:val="en-US" w:eastAsia="zh-CN"/>
              </w:rPr>
              <w:t>非供暖期</w:t>
            </w:r>
            <w:r>
              <w:rPr>
                <w:rFonts w:hint="default" w:ascii="Times New Roman" w:hAnsi="Times New Roman" w:eastAsia="宋体" w:cs="Times New Roman"/>
                <w:color w:val="auto"/>
                <w:kern w:val="21"/>
                <w:sz w:val="21"/>
                <w:szCs w:val="21"/>
                <w:highlight w:val="none"/>
                <w:lang w:val="en-US" w:eastAsia="zh-CN"/>
              </w:rPr>
              <w:t>锅炉工作1</w:t>
            </w:r>
            <w:r>
              <w:rPr>
                <w:rFonts w:hint="eastAsia" w:eastAsia="宋体" w:cs="Times New Roman"/>
                <w:color w:val="auto"/>
                <w:kern w:val="21"/>
                <w:sz w:val="21"/>
                <w:szCs w:val="21"/>
                <w:highlight w:val="none"/>
                <w:lang w:val="en-US" w:eastAsia="zh-CN"/>
              </w:rPr>
              <w:t>7</w:t>
            </w:r>
            <w:r>
              <w:rPr>
                <w:rFonts w:hint="eastAsia" w:cs="Times New Roman"/>
                <w:color w:val="auto"/>
                <w:kern w:val="21"/>
                <w:sz w:val="21"/>
                <w:szCs w:val="21"/>
                <w:highlight w:val="none"/>
                <w:lang w:val="en-US" w:eastAsia="zh-CN"/>
              </w:rPr>
              <w:t>0</w:t>
            </w:r>
            <w:r>
              <w:rPr>
                <w:rFonts w:hint="default" w:ascii="Times New Roman" w:hAnsi="Times New Roman" w:eastAsia="宋体" w:cs="Times New Roman"/>
                <w:color w:val="auto"/>
                <w:kern w:val="21"/>
                <w:sz w:val="21"/>
                <w:szCs w:val="21"/>
                <w:highlight w:val="none"/>
                <w:lang w:val="en-US" w:eastAsia="zh-CN"/>
              </w:rPr>
              <w:t>天，每天</w:t>
            </w:r>
            <w:r>
              <w:rPr>
                <w:rFonts w:hint="eastAsia" w:eastAsia="宋体" w:cs="Times New Roman"/>
                <w:color w:val="auto"/>
                <w:kern w:val="21"/>
                <w:sz w:val="21"/>
                <w:szCs w:val="21"/>
                <w:highlight w:val="none"/>
                <w:lang w:val="en-US" w:eastAsia="zh-CN"/>
              </w:rPr>
              <w:t>8</w:t>
            </w:r>
            <w:r>
              <w:rPr>
                <w:rFonts w:hint="default" w:ascii="Times New Roman" w:hAnsi="Times New Roman" w:eastAsia="宋体" w:cs="Times New Roman"/>
                <w:color w:val="auto"/>
                <w:kern w:val="21"/>
                <w:sz w:val="21"/>
                <w:szCs w:val="21"/>
                <w:highlight w:val="none"/>
                <w:lang w:val="en-US" w:eastAsia="zh-CN"/>
              </w:rPr>
              <w:t>小时</w:t>
            </w:r>
            <w:r>
              <w:rPr>
                <w:rFonts w:hint="eastAsia" w:eastAsia="宋体" w:cs="Times New Roman"/>
                <w:color w:val="auto"/>
                <w:kern w:val="21"/>
                <w:sz w:val="21"/>
                <w:szCs w:val="21"/>
                <w:highlight w:val="none"/>
                <w:lang w:val="en-US" w:eastAsia="zh-CN"/>
              </w:rPr>
              <w:t>，</w:t>
            </w:r>
            <w:r>
              <w:rPr>
                <w:rFonts w:hint="default" w:ascii="Times New Roman" w:hAnsi="Times New Roman" w:cs="Times New Roman"/>
                <w:color w:val="auto"/>
                <w:kern w:val="0"/>
                <w:szCs w:val="21"/>
                <w:highlight w:val="none"/>
              </w:rPr>
              <w:t>工作时间</w:t>
            </w:r>
            <w:r>
              <w:rPr>
                <w:rFonts w:hint="eastAsia" w:cs="Times New Roman"/>
                <w:color w:val="auto"/>
                <w:kern w:val="0"/>
                <w:szCs w:val="21"/>
                <w:highlight w:val="none"/>
                <w:lang w:val="en-US" w:eastAsia="zh-CN"/>
              </w:rPr>
              <w:t>1360</w:t>
            </w:r>
            <w:r>
              <w:rPr>
                <w:rFonts w:hint="default" w:ascii="Times New Roman" w:hAnsi="Times New Roman" w:cs="Times New Roman"/>
                <w:color w:val="auto"/>
                <w:kern w:val="0"/>
                <w:szCs w:val="21"/>
                <w:highlight w:val="none"/>
              </w:rPr>
              <w:t>h</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则锅炉年工作时间为5680h。</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本项目小时消耗天然气量采用额定功率，按最大小时燃料量进行计算。</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Cs/>
                <w:color w:val="auto"/>
                <w:szCs w:val="21"/>
                <w:highlight w:val="none"/>
              </w:rPr>
              <w:t>1吨锅炉有效吸热量为60万Kcal，本项目天然气热值为34.0MJ/m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（约为8095.4大卡），锅炉热效率为90%，则小时耗气量为：60万Kcal÷8095.4÷90%×</w:t>
            </w:r>
            <w:r>
              <w:rPr>
                <w:rFonts w:hint="default" w:ascii="Times New Roman" w:hAnsi="Times New Roman" w:cs="Times New Roman"/>
                <w:bCs/>
                <w:color w:val="auto"/>
                <w:szCs w:val="21"/>
                <w:highlight w:val="none"/>
                <w:lang w:val="en-US" w:eastAsia="zh-CN"/>
              </w:rPr>
              <w:t>6</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492</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/h</w:t>
            </w:r>
          </w:p>
          <w:p>
            <w:pPr>
              <w:pStyle w:val="30"/>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年燃气量</w:t>
            </w:r>
            <w:r>
              <w:rPr>
                <w:rFonts w:hint="eastAsia" w:cs="Times New Roman"/>
                <w:bCs/>
                <w:color w:val="auto"/>
                <w:szCs w:val="21"/>
                <w:highlight w:val="none"/>
                <w:lang w:eastAsia="zh-CN"/>
              </w:rPr>
              <w:t>：</w:t>
            </w:r>
            <w:r>
              <w:rPr>
                <w:rFonts w:hint="default" w:ascii="Times New Roman" w:hAnsi="Times New Roman" w:cs="Times New Roman"/>
                <w:bCs/>
                <w:color w:val="auto"/>
                <w:szCs w:val="21"/>
                <w:highlight w:val="none"/>
                <w:lang w:val="en-US" w:eastAsia="zh-CN"/>
              </w:rPr>
              <w:t>492</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/h×</w:t>
            </w:r>
            <w:r>
              <w:rPr>
                <w:rFonts w:hint="default" w:ascii="Times New Roman" w:hAnsi="Times New Roman" w:cs="Times New Roman"/>
                <w:bCs/>
                <w:color w:val="auto"/>
                <w:szCs w:val="21"/>
                <w:highlight w:val="none"/>
                <w:lang w:val="en-US" w:eastAsia="zh-CN"/>
              </w:rPr>
              <w:t>5680</w:t>
            </w: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279.456</w:t>
            </w:r>
            <w:r>
              <w:rPr>
                <w:rFonts w:hint="default" w:ascii="Times New Roman" w:hAnsi="Times New Roman" w:cs="Times New Roman"/>
                <w:bCs/>
                <w:color w:val="auto"/>
                <w:szCs w:val="21"/>
                <w:highlight w:val="none"/>
              </w:rPr>
              <w:t>万m</w:t>
            </w:r>
            <w:r>
              <w:rPr>
                <w:rFonts w:hint="default" w:ascii="Times New Roman" w:hAnsi="Times New Roman" w:cs="Times New Roman"/>
                <w:bCs/>
                <w:color w:val="auto"/>
                <w:szCs w:val="21"/>
                <w:highlight w:val="none"/>
                <w:vertAlign w:val="superscript"/>
              </w:rPr>
              <w:t>3</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因此本项目生产所需燃气</w:t>
            </w:r>
            <w:r>
              <w:rPr>
                <w:rFonts w:hint="default" w:ascii="Times New Roman" w:hAnsi="Times New Roman" w:cs="Times New Roman"/>
                <w:color w:val="auto"/>
                <w:kern w:val="0"/>
                <w:szCs w:val="21"/>
                <w:highlight w:val="none"/>
              </w:rPr>
              <w:t>量</w:t>
            </w:r>
            <w:r>
              <w:rPr>
                <w:rFonts w:hint="default" w:ascii="Times New Roman" w:hAnsi="Times New Roman" w:cs="Times New Roman"/>
                <w:color w:val="auto"/>
                <w:szCs w:val="21"/>
                <w:highlight w:val="none"/>
              </w:rPr>
              <w:t>为</w:t>
            </w:r>
            <w:r>
              <w:rPr>
                <w:rFonts w:hint="default" w:ascii="Times New Roman" w:hAnsi="Times New Roman" w:cs="Times New Roman"/>
                <w:bCs/>
                <w:color w:val="auto"/>
                <w:szCs w:val="21"/>
                <w:highlight w:val="none"/>
                <w:lang w:val="en-US" w:eastAsia="zh-CN"/>
              </w:rPr>
              <w:t>279.456</w:t>
            </w:r>
            <w:r>
              <w:rPr>
                <w:rFonts w:hint="default" w:ascii="Times New Roman" w:hAnsi="Times New Roman" w:cs="Times New Roman"/>
                <w:bCs/>
                <w:color w:val="auto"/>
                <w:szCs w:val="21"/>
                <w:highlight w:val="none"/>
              </w:rPr>
              <w:t>万m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/a。</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（4）依据生产工艺及企业提供，本项目产品熏制使用木头378t/a，使用果木粒26.25t/a，共404.25t/a。</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）供电：本项目供电由当地电网供给</w:t>
            </w:r>
            <w:r>
              <w:rPr>
                <w:rFonts w:hint="default" w:ascii="Times New Roman" w:hAnsi="Times New Roman" w:cs="Times New Roman"/>
                <w:color w:val="auto"/>
                <w:szCs w:val="21"/>
                <w:highlight w:val="none"/>
                <w:lang w:val="en-US" w:eastAsia="zh-CN"/>
              </w:rPr>
              <w:t>。</w:t>
            </w:r>
          </w:p>
          <w:p>
            <w:pPr>
              <w:pStyle w:val="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pPr>
              <w:keepNext w:val="0"/>
              <w:keepLines w:val="0"/>
              <w:widowControl/>
              <w:suppressLineNumbers w:val="0"/>
              <w:spacing w:before="0" w:beforeAutospacing="0" w:after="0" w:afterAutospacing="0" w:line="360" w:lineRule="auto"/>
              <w:ind w:left="0" w:right="0" w:firstLine="420" w:firstLineChars="200"/>
              <w:rPr>
                <w:rFonts w:hint="eastAsia" w:cs="Times New Roman"/>
                <w:b/>
                <w:color w:val="auto"/>
                <w:kern w:val="0"/>
                <w:sz w:val="21"/>
                <w:szCs w:val="21"/>
                <w:highlight w:val="none"/>
                <w:lang w:val="en-US" w:eastAsia="zh-CN" w:bidi="ar"/>
              </w:rPr>
            </w:pPr>
            <w:r>
              <w:rPr>
                <w:rFonts w:hint="default" w:ascii="Times New Roman" w:hAnsi="Times New Roman" w:cs="Times New Roman"/>
                <w:color w:val="auto"/>
                <w:kern w:val="21"/>
                <w:sz w:val="21"/>
                <w:szCs w:val="21"/>
                <w:highlight w:val="none"/>
              </w:rPr>
              <w:t>本工程</w:t>
            </w:r>
            <w:r>
              <w:rPr>
                <w:rFonts w:hint="eastAsia" w:cs="Times New Roman"/>
                <w:color w:val="auto"/>
                <w:kern w:val="21"/>
                <w:sz w:val="21"/>
                <w:szCs w:val="21"/>
                <w:highlight w:val="none"/>
                <w:lang w:val="en-US" w:eastAsia="zh-CN"/>
              </w:rPr>
              <w:t>生产车间位于厂区东南侧，食堂与宿舍位于厂区西北侧，污水处理站紧邻生产车间，位于车间西侧，1号厂房内为生产车间，内设锅炉间、成品冷库、包材库、包装间位于车间西侧，腌制间、滚揉间、灌肠间、蒸肠间、熏烤间位于车间东南侧，原料冷库、辅料库、配料间位于车间北侧，</w:t>
            </w:r>
            <w:r>
              <w:rPr>
                <w:rFonts w:hint="eastAsia" w:cs="Times New Roman"/>
                <w:color w:val="auto"/>
                <w:kern w:val="21"/>
                <w:sz w:val="21"/>
                <w:szCs w:val="21"/>
                <w:highlight w:val="none"/>
                <w:lang w:eastAsia="zh-CN"/>
              </w:rPr>
              <w:t>工艺流程布置合理，功能区分明确，交通便利，总体布局合理。</w:t>
            </w:r>
          </w:p>
          <w:p>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、环保投资</w:t>
            </w:r>
          </w:p>
          <w:p>
            <w:pPr>
              <w:keepNext w:val="0"/>
              <w:keepLines w:val="0"/>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eastAsia"/>
                <w:color w:val="auto"/>
                <w:sz w:val="21"/>
                <w:szCs w:val="21"/>
                <w:highlight w:val="none"/>
                <w:lang w:val="en-US" w:eastAsia="zh-CN"/>
              </w:rPr>
              <w:t>12000</w:t>
            </w:r>
            <w:r>
              <w:rPr>
                <w:rFonts w:hint="default"/>
                <w:color w:val="auto"/>
                <w:sz w:val="21"/>
                <w:szCs w:val="21"/>
                <w:highlight w:val="none"/>
              </w:rPr>
              <w:t>万元，其中环保投资</w:t>
            </w:r>
            <w:r>
              <w:rPr>
                <w:rFonts w:hint="eastAsia"/>
                <w:color w:val="auto"/>
                <w:sz w:val="21"/>
                <w:szCs w:val="21"/>
                <w:highlight w:val="none"/>
                <w:lang w:val="en-US" w:eastAsia="zh-CN"/>
              </w:rPr>
              <w:t>300</w:t>
            </w:r>
            <w:r>
              <w:rPr>
                <w:rFonts w:hint="default"/>
                <w:color w:val="auto"/>
                <w:sz w:val="21"/>
                <w:szCs w:val="21"/>
                <w:highlight w:val="none"/>
              </w:rPr>
              <w:t>万元，占总投资的</w:t>
            </w:r>
            <w:r>
              <w:rPr>
                <w:rFonts w:hint="eastAsia"/>
                <w:color w:val="auto"/>
                <w:sz w:val="21"/>
                <w:szCs w:val="21"/>
                <w:highlight w:val="none"/>
                <w:lang w:val="en-US" w:eastAsia="zh-CN"/>
              </w:rPr>
              <w:t>2.5</w:t>
            </w:r>
            <w:r>
              <w:rPr>
                <w:rFonts w:hint="default"/>
                <w:color w:val="auto"/>
                <w:sz w:val="21"/>
                <w:szCs w:val="21"/>
                <w:highlight w:val="none"/>
              </w:rPr>
              <w:t>%，详见表2-</w:t>
            </w:r>
            <w:r>
              <w:rPr>
                <w:rFonts w:hint="eastAsia"/>
                <w:color w:val="auto"/>
                <w:sz w:val="21"/>
                <w:szCs w:val="21"/>
                <w:highlight w:val="none"/>
                <w:lang w:val="en-US" w:eastAsia="zh-CN"/>
              </w:rPr>
              <w:t>5</w:t>
            </w:r>
            <w:r>
              <w:rPr>
                <w:rFonts w:hint="default"/>
                <w:color w:val="auto"/>
                <w:sz w:val="21"/>
                <w:szCs w:val="21"/>
                <w:highlight w:val="none"/>
              </w:rPr>
              <w:t>。</w:t>
            </w:r>
          </w:p>
          <w:p>
            <w:pPr>
              <w:keepNext w:val="0"/>
              <w:keepLines w:val="0"/>
              <w:suppressLineNumbers w:val="0"/>
              <w:spacing w:before="0" w:beforeAutospacing="0" w:after="0" w:afterAutospacing="0"/>
              <w:ind w:left="0" w:right="0" w:firstLine="422" w:firstLineChars="200"/>
              <w:jc w:val="center"/>
              <w:rPr>
                <w:rFonts w:hint="default"/>
                <w:b/>
                <w:color w:val="auto"/>
                <w:sz w:val="24"/>
                <w:szCs w:val="28"/>
                <w:highlight w:val="none"/>
              </w:rPr>
            </w:pPr>
            <w:r>
              <w:rPr>
                <w:rFonts w:hint="default"/>
                <w:b/>
                <w:color w:val="auto"/>
                <w:szCs w:val="21"/>
                <w:highlight w:val="none"/>
              </w:rPr>
              <w:t>表2-</w:t>
            </w:r>
            <w:r>
              <w:rPr>
                <w:rFonts w:hint="eastAsia"/>
                <w:b/>
                <w:color w:val="auto"/>
                <w:szCs w:val="21"/>
                <w:highlight w:val="none"/>
                <w:lang w:val="en-US" w:eastAsia="zh-CN"/>
              </w:rPr>
              <w:t xml:space="preserve">5 </w:t>
            </w:r>
            <w:r>
              <w:rPr>
                <w:rFonts w:hint="default"/>
                <w:b/>
                <w:color w:val="auto"/>
                <w:szCs w:val="21"/>
                <w:highlight w:val="none"/>
              </w:rPr>
              <w:t>环保投资一览表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1895"/>
              <w:gridCol w:w="3889"/>
              <w:gridCol w:w="14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eastAsia="zh-CN"/>
                    </w:rPr>
                    <w:t>序号</w:t>
                  </w:r>
                </w:p>
              </w:tc>
              <w:tc>
                <w:tcPr>
                  <w:tcW w:w="1790"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3673"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362"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1790"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废气治理</w:t>
                  </w:r>
                </w:p>
              </w:tc>
              <w:tc>
                <w:tcPr>
                  <w:tcW w:w="3673" w:type="dxa"/>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燃气蒸汽锅炉</w:t>
                  </w:r>
                  <w:r>
                    <w:rPr>
                      <w:rFonts w:hint="default" w:ascii="Times New Roman" w:hAnsi="Times New Roman" w:cs="Times New Roman"/>
                      <w:color w:val="auto"/>
                      <w:sz w:val="18"/>
                      <w:szCs w:val="18"/>
                      <w:highlight w:val="none"/>
                    </w:rPr>
                    <w:t>烟气采用低氮燃烧器，经一根</w:t>
                  </w:r>
                  <w:r>
                    <w:rPr>
                      <w:rFonts w:hint="eastAsia" w:cs="Times New Roman"/>
                      <w:color w:val="auto"/>
                      <w:sz w:val="18"/>
                      <w:szCs w:val="18"/>
                      <w:highlight w:val="none"/>
                      <w:lang w:val="en-US" w:eastAsia="zh-CN"/>
                    </w:rPr>
                    <w:t>27</w:t>
                  </w:r>
                  <w:r>
                    <w:rPr>
                      <w:rFonts w:hint="default" w:ascii="Times New Roman" w:hAnsi="Times New Roman" w:cs="Times New Roman"/>
                      <w:color w:val="auto"/>
                      <w:sz w:val="18"/>
                      <w:szCs w:val="18"/>
                      <w:highlight w:val="none"/>
                    </w:rPr>
                    <w:t>m高</w:t>
                  </w:r>
                  <w:r>
                    <w:rPr>
                      <w:rFonts w:hint="default" w:ascii="Times New Roman" w:hAnsi="Times New Roman" w:cs="Times New Roman"/>
                      <w:color w:val="auto"/>
                      <w:sz w:val="18"/>
                      <w:szCs w:val="18"/>
                      <w:highlight w:val="none"/>
                      <w:lang w:val="en-US" w:eastAsia="zh-CN"/>
                    </w:rPr>
                    <w:t>烟囱</w:t>
                  </w:r>
                  <w:r>
                    <w:rPr>
                      <w:rFonts w:hint="default" w:ascii="Times New Roman" w:hAnsi="Times New Roman" w:cs="Times New Roman"/>
                      <w:color w:val="auto"/>
                      <w:sz w:val="18"/>
                      <w:szCs w:val="18"/>
                      <w:highlight w:val="none"/>
                    </w:rPr>
                    <w:t>排放</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熏</w:t>
                  </w:r>
                  <w:r>
                    <w:rPr>
                      <w:rFonts w:hint="eastAsia" w:cs="Times New Roman"/>
                      <w:color w:val="auto"/>
                      <w:sz w:val="18"/>
                      <w:szCs w:val="18"/>
                      <w:highlight w:val="none"/>
                      <w:lang w:val="en-US" w:eastAsia="zh-CN"/>
                    </w:rPr>
                    <w:t>烤</w:t>
                  </w:r>
                  <w:r>
                    <w:rPr>
                      <w:rFonts w:hint="default" w:ascii="Times New Roman" w:hAnsi="Times New Roman" w:cs="Times New Roman"/>
                      <w:color w:val="auto"/>
                      <w:sz w:val="18"/>
                      <w:szCs w:val="18"/>
                      <w:highlight w:val="none"/>
                    </w:rPr>
                    <w:t>间产生的废气经静电除尘器处理+低温等离子体净化装置处理后，通过一根</w:t>
                  </w:r>
                  <w:r>
                    <w:rPr>
                      <w:rFonts w:hint="eastAsia" w:cs="Times New Roman"/>
                      <w:color w:val="auto"/>
                      <w:sz w:val="18"/>
                      <w:szCs w:val="18"/>
                      <w:highlight w:val="none"/>
                      <w:lang w:val="en-US" w:eastAsia="zh-CN"/>
                    </w:rPr>
                    <w:t>27</w:t>
                  </w:r>
                  <w:r>
                    <w:rPr>
                      <w:rFonts w:hint="default" w:ascii="Times New Roman" w:hAnsi="Times New Roman" w:cs="Times New Roman"/>
                      <w:color w:val="auto"/>
                      <w:sz w:val="18"/>
                      <w:szCs w:val="18"/>
                      <w:highlight w:val="none"/>
                    </w:rPr>
                    <w:t>m高排气筒排放</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污水处理站恶臭气体统一收集，经活性炭吸附后通过15m排气筒排放</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bCs/>
                      <w:color w:val="auto"/>
                      <w:sz w:val="18"/>
                      <w:szCs w:val="18"/>
                      <w:highlight w:val="none"/>
                    </w:rPr>
                    <w:t>食堂油烟经油烟净化器处理后</w:t>
                  </w:r>
                  <w:r>
                    <w:rPr>
                      <w:rFonts w:hint="default" w:ascii="Times New Roman" w:hAnsi="Times New Roman" w:eastAsia="宋体" w:cs="Times New Roman"/>
                      <w:snapToGrid w:val="0"/>
                      <w:color w:val="auto"/>
                      <w:kern w:val="0"/>
                      <w:sz w:val="18"/>
                      <w:szCs w:val="18"/>
                      <w:highlight w:val="none"/>
                    </w:rPr>
                    <w:t>经专用烟道排出</w:t>
                  </w:r>
                </w:p>
              </w:tc>
              <w:tc>
                <w:tcPr>
                  <w:tcW w:w="1362"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1790"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噪声</w:t>
                  </w:r>
                </w:p>
              </w:tc>
              <w:tc>
                <w:tcPr>
                  <w:tcW w:w="3673"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安装消声器措施</w:t>
                  </w:r>
                  <w:r>
                    <w:rPr>
                      <w:rFonts w:hint="default" w:ascii="Times New Roman" w:hAnsi="Times New Roman" w:cs="Times New Roman"/>
                      <w:color w:val="auto"/>
                      <w:sz w:val="18"/>
                      <w:szCs w:val="18"/>
                      <w:highlight w:val="none"/>
                      <w:lang w:val="en-US" w:eastAsia="zh-CN"/>
                    </w:rPr>
                    <w:t>等</w:t>
                  </w:r>
                </w:p>
              </w:tc>
              <w:tc>
                <w:tcPr>
                  <w:tcW w:w="136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p>
              </w:tc>
              <w:tc>
                <w:tcPr>
                  <w:tcW w:w="1790"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废水处理</w:t>
                  </w:r>
                </w:p>
              </w:tc>
              <w:tc>
                <w:tcPr>
                  <w:tcW w:w="3673"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rPr>
                    <w:t>生活污水</w:t>
                  </w:r>
                  <w:r>
                    <w:rPr>
                      <w:rFonts w:hint="default" w:ascii="Times New Roman" w:hAnsi="Times New Roman" w:cs="Times New Roman"/>
                      <w:color w:val="auto"/>
                      <w:sz w:val="18"/>
                      <w:szCs w:val="18"/>
                      <w:highlight w:val="none"/>
                      <w:lang w:val="en-US" w:eastAsia="zh-CN"/>
                    </w:rPr>
                    <w:t>和锅炉排污水及软化处理废水和生产废水</w:t>
                  </w:r>
                  <w:r>
                    <w:rPr>
                      <w:rFonts w:hint="default" w:ascii="Times New Roman" w:hAnsi="Times New Roman" w:cs="Times New Roman"/>
                      <w:color w:val="auto"/>
                      <w:sz w:val="18"/>
                      <w:szCs w:val="18"/>
                      <w:highlight w:val="none"/>
                    </w:rPr>
                    <w:t>经过</w:t>
                  </w:r>
                  <w:r>
                    <w:rPr>
                      <w:rFonts w:hint="default" w:ascii="Times New Roman" w:hAnsi="Times New Roman" w:cs="Times New Roman"/>
                      <w:color w:val="auto"/>
                      <w:sz w:val="18"/>
                      <w:szCs w:val="18"/>
                      <w:highlight w:val="none"/>
                      <w:lang w:val="en-US" w:eastAsia="zh-CN"/>
                    </w:rPr>
                    <w:t>厂区污水处理站（气浮+AO+MBR+消毒）</w:t>
                  </w:r>
                  <w:r>
                    <w:rPr>
                      <w:rFonts w:hint="default" w:ascii="Times New Roman" w:hAnsi="Times New Roman" w:cs="Times New Roman"/>
                      <w:color w:val="auto"/>
                      <w:sz w:val="18"/>
                      <w:szCs w:val="18"/>
                      <w:highlight w:val="none"/>
                    </w:rPr>
                    <w:t>处理后，设计处理规模由原有</w:t>
                  </w:r>
                  <w:r>
                    <w:rPr>
                      <w:rFonts w:hint="default" w:ascii="Times New Roman" w:hAnsi="Times New Roman" w:cs="Times New Roman"/>
                      <w:color w:val="auto"/>
                      <w:sz w:val="18"/>
                      <w:szCs w:val="18"/>
                      <w:highlight w:val="none"/>
                      <w:lang w:val="en-US" w:eastAsia="zh-CN"/>
                    </w:rPr>
                    <w:t>150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/d，一座</w:t>
                  </w:r>
                  <w:r>
                    <w:rPr>
                      <w:rFonts w:hint="eastAsia" w:ascii="Times New Roman" w:hAnsi="Times New Roman" w:cs="Times New Roman"/>
                      <w:color w:val="auto"/>
                      <w:sz w:val="18"/>
                      <w:szCs w:val="18"/>
                      <w:highlight w:val="none"/>
                      <w:lang w:val="en-US" w:eastAsia="zh-CN"/>
                    </w:rPr>
                    <w:t>150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事故水池</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val="en-US" w:eastAsia="zh-CN"/>
                    </w:rPr>
                    <w:t>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1790"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固废处理</w:t>
                  </w:r>
                </w:p>
              </w:tc>
              <w:tc>
                <w:tcPr>
                  <w:tcW w:w="3673"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专用收集箱</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收集袋</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p>
              </w:tc>
              <w:tc>
                <w:tcPr>
                  <w:tcW w:w="1790"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环境管理</w:t>
                  </w:r>
                </w:p>
              </w:tc>
              <w:tc>
                <w:tcPr>
                  <w:tcW w:w="3673"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厂区环境管理</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w:t>
                  </w:r>
                </w:p>
              </w:tc>
              <w:tc>
                <w:tcPr>
                  <w:tcW w:w="1790"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监测费用</w:t>
                  </w:r>
                </w:p>
              </w:tc>
              <w:tc>
                <w:tcPr>
                  <w:tcW w:w="3673"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厂区废气废水噪声自行监测</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9"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5463" w:type="dxa"/>
                  <w:gridSpan w:val="2"/>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2" w:type="dxa"/>
                  <w:gridSpan w:val="3"/>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环保投资（万元）</w:t>
                  </w:r>
                </w:p>
              </w:tc>
              <w:tc>
                <w:tcPr>
                  <w:tcW w:w="1362" w:type="dxa"/>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2" w:type="dxa"/>
                  <w:gridSpan w:val="3"/>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总投资（万元）</w:t>
                  </w:r>
                </w:p>
              </w:tc>
              <w:tc>
                <w:tcPr>
                  <w:tcW w:w="1362"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12000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2" w:type="dxa"/>
                  <w:gridSpan w:val="3"/>
                  <w:noWrap w:val="0"/>
                  <w:vAlign w:val="center"/>
                </w:tcPr>
                <w:p>
                  <w:pPr>
                    <w:pStyle w:val="7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eastAsia="zh-CN"/>
                    </w:rPr>
                    <w:t>占总投资比例（%）</w:t>
                  </w:r>
                </w:p>
              </w:tc>
              <w:tc>
                <w:tcPr>
                  <w:tcW w:w="1362" w:type="dxa"/>
                  <w:noWrap w:val="0"/>
                  <w:vAlign w:val="center"/>
                </w:tcPr>
                <w:p>
                  <w:pPr>
                    <w:pStyle w:val="94"/>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r>
          </w:tbl>
          <w:p>
            <w:pPr>
              <w:pStyle w:val="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2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220" w:type="dxa"/>
            <w:vAlign w:val="center"/>
          </w:tcPr>
          <w:p>
            <w:pPr>
              <w:keepNext w:val="0"/>
              <w:keepLines w:val="0"/>
              <w:numPr>
                <w:ilvl w:val="0"/>
                <w:numId w:val="5"/>
              </w:numPr>
              <w:suppressLineNumbers w:val="0"/>
              <w:spacing w:before="0" w:beforeAutospacing="0" w:after="0" w:afterAutospacing="0" w:line="360" w:lineRule="auto"/>
              <w:ind w:right="0"/>
              <w:rPr>
                <w:rFonts w:hint="default"/>
                <w:b/>
                <w:bCs/>
                <w:color w:val="auto"/>
                <w:szCs w:val="21"/>
                <w:highlight w:val="none"/>
              </w:rPr>
            </w:pPr>
            <w:r>
              <w:rPr>
                <w:rFonts w:hint="default"/>
                <w:b/>
                <w:bCs/>
                <w:color w:val="auto"/>
                <w:szCs w:val="21"/>
                <w:highlight w:val="none"/>
              </w:rPr>
              <w:t>施工期工艺流程分析</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拟建项目施工期主要分为场地平整、基础工程、主体工程、装饰工程、安装工程等，其建设过程中产生的噪声、扬尘、施工废气、固体废物、施工废水等污染物，其污染物排放量随工序的施工强度变化而变化，施工期结束后环境影响也随之消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Cs w:val="21"/>
                <w:highlight w:val="none"/>
              </w:rPr>
            </w:pPr>
            <w:r>
              <w:rPr>
                <w:rFonts w:hint="default"/>
                <w:color w:val="auto"/>
                <w:sz w:val="21"/>
                <w:szCs w:val="21"/>
                <w:highlight w:val="none"/>
              </w:rPr>
              <w:t>施工期的具体工艺流程及产污环节见下图。</w:t>
            </w:r>
          </w:p>
          <w:p>
            <w:pPr>
              <w:keepNext w:val="0"/>
              <w:keepLines w:val="0"/>
              <w:suppressLineNumbers w:val="0"/>
              <w:spacing w:before="0" w:beforeAutospacing="0" w:after="0" w:afterAutospacing="0" w:line="360" w:lineRule="auto"/>
              <w:ind w:left="0" w:right="0"/>
              <w:jc w:val="center"/>
              <w:rPr>
                <w:rFonts w:hint="default"/>
                <w:color w:val="auto"/>
                <w:highlight w:val="none"/>
              </w:rPr>
            </w:pPr>
            <w:r>
              <w:rPr>
                <w:rFonts w:hint="default"/>
                <w:color w:val="auto"/>
                <w:highlight w:val="none"/>
              </w:rPr>
              <w:drawing>
                <wp:inline distT="0" distB="0" distL="114300" distR="114300">
                  <wp:extent cx="4500880" cy="1442085"/>
                  <wp:effectExtent l="0" t="0" r="13970" b="5715"/>
                  <wp:docPr id="2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4"/>
                          <pic:cNvPicPr>
                            <a:picLocks noChangeAspect="1"/>
                          </pic:cNvPicPr>
                        </pic:nvPicPr>
                        <pic:blipFill>
                          <a:blip r:embed="rId16"/>
                          <a:stretch>
                            <a:fillRect/>
                          </a:stretch>
                        </pic:blipFill>
                        <pic:spPr>
                          <a:xfrm>
                            <a:off x="0" y="0"/>
                            <a:ext cx="4500880" cy="1442085"/>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jc w:val="center"/>
              <w:rPr>
                <w:rFonts w:hint="default"/>
                <w:b/>
                <w:bCs/>
                <w:color w:val="auto"/>
                <w:szCs w:val="21"/>
                <w:highlight w:val="none"/>
              </w:rPr>
            </w:pPr>
            <w:r>
              <w:rPr>
                <w:rFonts w:hint="default"/>
                <w:b/>
                <w:bCs/>
                <w:color w:val="auto"/>
                <w:szCs w:val="21"/>
                <w:highlight w:val="none"/>
              </w:rPr>
              <w:t>图2-</w:t>
            </w:r>
            <w:r>
              <w:rPr>
                <w:rFonts w:hint="eastAsia"/>
                <w:b/>
                <w:bCs/>
                <w:color w:val="auto"/>
                <w:szCs w:val="21"/>
                <w:highlight w:val="none"/>
                <w:lang w:val="en-US" w:eastAsia="zh-CN"/>
              </w:rPr>
              <w:t>4</w:t>
            </w:r>
            <w:r>
              <w:rPr>
                <w:rFonts w:hint="default"/>
                <w:b/>
                <w:bCs/>
                <w:color w:val="auto"/>
                <w:szCs w:val="21"/>
                <w:highlight w:val="none"/>
              </w:rPr>
              <w:t>项目施工期工艺流程及产污环节示意图</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2" w:firstLineChars="200"/>
              <w:textAlignment w:val="auto"/>
              <w:rPr>
                <w:rFonts w:hint="default"/>
                <w:color w:val="auto"/>
                <w:szCs w:val="21"/>
                <w:highlight w:val="none"/>
              </w:rPr>
            </w:pPr>
            <w:r>
              <w:rPr>
                <w:rFonts w:hint="default"/>
                <w:b/>
                <w:bCs/>
                <w:color w:val="auto"/>
                <w:szCs w:val="21"/>
                <w:highlight w:val="none"/>
              </w:rPr>
              <w:t>施工期主要污染工序：</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（1）废气</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主要为场地平整、基础开挖、建筑材料运输及装卸、弃土堆存等过程产生的扬尘，施工机械和施工运输车辆产生的机动车尾气</w:t>
            </w:r>
            <w:r>
              <w:rPr>
                <w:rFonts w:hint="eastAsia"/>
                <w:color w:val="auto"/>
                <w:szCs w:val="21"/>
                <w:highlight w:val="none"/>
              </w:rPr>
              <w:t>。</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（2）废水</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主要是在建设施工过程中产生的泥浆废水、混凝土养护废水、各种车辆冲洗废水，施工人员产生的生活污</w:t>
            </w:r>
            <w:r>
              <w:rPr>
                <w:rFonts w:hint="eastAsia"/>
                <w:color w:val="auto"/>
                <w:szCs w:val="21"/>
                <w:highlight w:val="none"/>
              </w:rPr>
              <w:t>水</w:t>
            </w:r>
            <w:r>
              <w:rPr>
                <w:rFonts w:hint="default"/>
                <w:color w:val="auto"/>
                <w:szCs w:val="21"/>
                <w:highlight w:val="none"/>
              </w:rPr>
              <w:t>。</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（3）噪声</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主要是施工过程中装载机、推土机、挖掘机、轮式机、起重机、钻机、搅拌机、运输车辆等运行时产生的噪声。</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（4）固体废物</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eastAsia" w:cs="Times New Roman"/>
                <w:b w:val="0"/>
                <w:bCs/>
                <w:color w:val="auto"/>
                <w:sz w:val="21"/>
                <w:szCs w:val="21"/>
                <w:highlight w:val="none"/>
                <w:lang w:eastAsia="zh-CN"/>
              </w:rPr>
            </w:pPr>
            <w:r>
              <w:rPr>
                <w:rFonts w:hint="default"/>
                <w:color w:val="auto"/>
                <w:szCs w:val="21"/>
                <w:highlight w:val="none"/>
              </w:rPr>
              <w:t>主要为建筑废弃材料和施工人员生活垃圾。</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113" w:righ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肉灌制品（红肠、儿童肠、松仁烤肠）</w:t>
            </w:r>
            <w:r>
              <w:rPr>
                <w:rFonts w:hint="default" w:ascii="Times New Roman" w:hAnsi="Times New Roman" w:eastAsia="宋体" w:cs="Times New Roman"/>
                <w:color w:val="auto"/>
                <w:sz w:val="21"/>
                <w:szCs w:val="21"/>
                <w:highlight w:val="none"/>
                <w:lang w:val="en-US" w:eastAsia="zh-CN"/>
              </w:rPr>
              <w:t>工艺流程</w:t>
            </w: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object>
                <v:shape id="_x0000_i1028" o:spt="75" type="#_x0000_t75" style="height:264.75pt;width:249pt;" o:ole="t" filled="f" o:preferrelative="t" stroked="f" coordsize="21600,21600">
                  <v:path/>
                  <v:fill on="f" focussize="0,0"/>
                  <v:stroke on="f"/>
                  <v:imagedata r:id="rId18" o:title=""/>
                  <o:lock v:ext="edit" aspectratio="f"/>
                  <w10:wrap type="none"/>
                  <w10:anchorlock/>
                </v:shape>
                <o:OLEObject Type="Embed" ProgID="Visio.Drawing.11" ShapeID="_x0000_i1028" DrawAspect="Content" ObjectID="_1468075728" r:id="rId17">
                  <o:LockedField>false</o:LockedField>
                </o:OLEObject>
              </w:object>
            </w:r>
          </w:p>
          <w:p>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5肉灌制品</w:t>
            </w:r>
            <w:r>
              <w:rPr>
                <w:rFonts w:hint="eastAsia" w:cs="Times New Roman"/>
                <w:b/>
                <w:bCs/>
                <w:color w:val="auto"/>
                <w:sz w:val="21"/>
                <w:szCs w:val="21"/>
                <w:highlight w:val="none"/>
                <w:lang w:val="en-US" w:eastAsia="zh-CN"/>
              </w:rPr>
              <w:t>（红肠、儿童肠、松仁烤肠）</w:t>
            </w:r>
            <w:r>
              <w:rPr>
                <w:rFonts w:hint="eastAsia" w:cs="Times New Roman"/>
                <w:b/>
                <w:bCs/>
                <w:snapToGrid w:val="0"/>
                <w:color w:val="auto"/>
                <w:szCs w:val="21"/>
                <w:highlight w:val="none"/>
                <w:lang w:eastAsia="zh-CN"/>
              </w:rPr>
              <w:t>生产</w:t>
            </w:r>
            <w:r>
              <w:rPr>
                <w:rFonts w:hint="default" w:ascii="Times New Roman" w:hAnsi="Times New Roman" w:eastAsia="宋体" w:cs="Times New Roman"/>
                <w:b/>
                <w:bCs/>
                <w:snapToGrid w:val="0"/>
                <w:color w:val="auto"/>
                <w:szCs w:val="21"/>
                <w:highlight w:val="none"/>
              </w:rPr>
              <w:t>流程及产污环节图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1"/>
                <w:sz w:val="21"/>
                <w:szCs w:val="21"/>
                <w:highlight w:val="none"/>
                <w:lang w:eastAsia="zh-CN"/>
              </w:rPr>
            </w:pPr>
            <w:r>
              <w:rPr>
                <w:rFonts w:hint="eastAsia" w:ascii="宋体" w:hAnsi="宋体" w:eastAsia="宋体" w:cs="宋体"/>
                <w:b/>
                <w:bCs/>
                <w:color w:val="auto"/>
                <w:kern w:val="21"/>
                <w:sz w:val="21"/>
                <w:szCs w:val="21"/>
                <w:highlight w:val="none"/>
                <w:lang w:eastAsia="zh-CN"/>
              </w:rPr>
              <w:t>工艺流程简述：</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①</w:t>
            </w:r>
            <w:r>
              <w:rPr>
                <w:rFonts w:hint="default"/>
                <w:color w:val="auto"/>
                <w:sz w:val="21"/>
                <w:szCs w:val="21"/>
                <w:highlight w:val="none"/>
              </w:rPr>
              <w:t>解冻、修整：在缓化间内进行自然解冻，解冻过程不加热。对解冻过的原料肉进行修整，此工序产生噪声</w:t>
            </w:r>
            <w:r>
              <w:rPr>
                <w:rFonts w:hint="eastAsia"/>
                <w:color w:val="auto"/>
                <w:sz w:val="21"/>
                <w:szCs w:val="21"/>
                <w:highlight w:val="none"/>
                <w:lang w:eastAsia="zh-CN"/>
              </w:rPr>
              <w:t>、</w:t>
            </w:r>
            <w:r>
              <w:rPr>
                <w:rFonts w:hint="eastAsia"/>
                <w:color w:val="auto"/>
                <w:sz w:val="21"/>
                <w:szCs w:val="21"/>
                <w:highlight w:val="none"/>
                <w:lang w:val="en-US" w:eastAsia="zh-CN"/>
              </w:rPr>
              <w:t>废水、固废</w:t>
            </w:r>
            <w:r>
              <w:rPr>
                <w:rFonts w:hint="default"/>
                <w:color w:val="auto"/>
                <w:sz w:val="21"/>
                <w:szCs w:val="21"/>
                <w:highlight w:val="none"/>
              </w:rPr>
              <w:t>；</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②</w:t>
            </w:r>
            <w:r>
              <w:rPr>
                <w:rFonts w:hint="default"/>
                <w:color w:val="auto"/>
                <w:sz w:val="21"/>
                <w:szCs w:val="21"/>
                <w:highlight w:val="none"/>
              </w:rPr>
              <w:t>绞制：将肉用冻肉绞肉机绞碎，此工序产生噪声；</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③原料配给及</w:t>
            </w:r>
            <w:r>
              <w:rPr>
                <w:rFonts w:hint="eastAsia"/>
                <w:color w:val="auto"/>
                <w:sz w:val="21"/>
                <w:szCs w:val="21"/>
                <w:highlight w:val="none"/>
                <w:lang w:val="en-US" w:eastAsia="zh-CN"/>
              </w:rPr>
              <w:t>搅</w:t>
            </w:r>
            <w:r>
              <w:rPr>
                <w:rFonts w:hint="default"/>
                <w:color w:val="auto"/>
                <w:sz w:val="21"/>
                <w:szCs w:val="21"/>
                <w:highlight w:val="none"/>
              </w:rPr>
              <w:t>拌：加入调味品进行搅拌</w:t>
            </w:r>
            <w:r>
              <w:rPr>
                <w:rFonts w:hint="eastAsia"/>
                <w:color w:val="auto"/>
                <w:sz w:val="21"/>
                <w:szCs w:val="21"/>
                <w:highlight w:val="none"/>
                <w:lang w:val="en-US" w:eastAsia="zh-CN"/>
              </w:rPr>
              <w:t>及滚揉</w:t>
            </w:r>
            <w:r>
              <w:rPr>
                <w:rFonts w:hint="default"/>
                <w:color w:val="auto"/>
                <w:sz w:val="21"/>
                <w:szCs w:val="21"/>
                <w:highlight w:val="none"/>
              </w:rPr>
              <w:t>。拌馅是在拌馅机中进行的，拌制好的标准是馅中没有明显肌肉颗粒，脂肪块、调料混合均匀，</w:t>
            </w:r>
            <w:r>
              <w:rPr>
                <w:rFonts w:hint="eastAsia"/>
                <w:color w:val="auto"/>
                <w:sz w:val="21"/>
                <w:szCs w:val="21"/>
                <w:highlight w:val="none"/>
                <w:lang w:val="en-US" w:eastAsia="zh-CN"/>
              </w:rPr>
              <w:t>并进行腌制，</w:t>
            </w:r>
            <w:r>
              <w:rPr>
                <w:rFonts w:hint="default"/>
                <w:color w:val="auto"/>
                <w:sz w:val="21"/>
                <w:szCs w:val="21"/>
                <w:highlight w:val="none"/>
              </w:rPr>
              <w:t>馅富有弹性和粘稠性，此工序产生噪声</w:t>
            </w:r>
            <w:r>
              <w:rPr>
                <w:rFonts w:hint="eastAsia"/>
                <w:color w:val="auto"/>
                <w:sz w:val="21"/>
                <w:szCs w:val="21"/>
                <w:highlight w:val="none"/>
                <w:lang w:val="en-US" w:eastAsia="zh-CN"/>
              </w:rPr>
              <w:t>及设备清洗水</w:t>
            </w:r>
            <w:r>
              <w:rPr>
                <w:rFonts w:hint="default"/>
                <w:color w:val="auto"/>
                <w:sz w:val="21"/>
                <w:szCs w:val="21"/>
                <w:highlight w:val="none"/>
              </w:rPr>
              <w:t>；</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④</w:t>
            </w:r>
            <w:r>
              <w:rPr>
                <w:rFonts w:hint="default"/>
                <w:color w:val="auto"/>
                <w:sz w:val="21"/>
                <w:szCs w:val="21"/>
                <w:highlight w:val="none"/>
              </w:rPr>
              <w:t>灌制：本项目采用真空定量灌装机进行灌制，在真空的状态下完成灌装过程，有效的防</w:t>
            </w:r>
            <w:r>
              <w:rPr>
                <w:rFonts w:hint="eastAsia"/>
                <w:color w:val="auto"/>
                <w:sz w:val="21"/>
                <w:szCs w:val="21"/>
                <w:highlight w:val="none"/>
              </w:rPr>
              <w:t>止</w:t>
            </w:r>
            <w:r>
              <w:rPr>
                <w:rFonts w:hint="default"/>
                <w:color w:val="auto"/>
                <w:sz w:val="21"/>
                <w:szCs w:val="21"/>
                <w:highlight w:val="none"/>
              </w:rPr>
              <w:t>脂肪氧化，避免蛋白水解，减少细菌存活量，有效的保证产品的保质期和产品的颜色鲜亮，味道纯正，此工序产生噪声</w:t>
            </w:r>
            <w:r>
              <w:rPr>
                <w:rFonts w:hint="eastAsia"/>
                <w:color w:val="auto"/>
                <w:sz w:val="21"/>
                <w:szCs w:val="21"/>
                <w:highlight w:val="none"/>
                <w:lang w:val="en-US" w:eastAsia="zh-CN"/>
              </w:rPr>
              <w:t>及设备清洗水</w:t>
            </w:r>
            <w:r>
              <w:rPr>
                <w:rFonts w:hint="default"/>
                <w:color w:val="auto"/>
                <w:sz w:val="21"/>
                <w:szCs w:val="21"/>
                <w:highlight w:val="none"/>
              </w:rPr>
              <w:t>；</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⑤</w:t>
            </w:r>
            <w:r>
              <w:rPr>
                <w:rFonts w:hint="default"/>
                <w:color w:val="auto"/>
                <w:sz w:val="21"/>
                <w:szCs w:val="21"/>
                <w:highlight w:val="none"/>
              </w:rPr>
              <w:t>蒸煮：本项目采用蒸汽蒸制方法，热量来源于</w:t>
            </w:r>
            <w:r>
              <w:rPr>
                <w:rFonts w:hint="eastAsia"/>
                <w:color w:val="auto"/>
                <w:sz w:val="21"/>
                <w:szCs w:val="21"/>
                <w:highlight w:val="none"/>
                <w:lang w:val="en-US" w:eastAsia="zh-CN"/>
              </w:rPr>
              <w:t>天然气</w:t>
            </w:r>
            <w:r>
              <w:rPr>
                <w:rFonts w:hint="default"/>
                <w:color w:val="auto"/>
                <w:sz w:val="21"/>
                <w:szCs w:val="21"/>
                <w:highlight w:val="none"/>
              </w:rPr>
              <w:t>锅炉</w:t>
            </w:r>
            <w:r>
              <w:rPr>
                <w:rFonts w:hint="eastAsia"/>
                <w:color w:val="auto"/>
                <w:sz w:val="21"/>
                <w:szCs w:val="21"/>
                <w:highlight w:val="none"/>
                <w:lang w:eastAsia="zh-CN"/>
              </w:rPr>
              <w:t>，</w:t>
            </w:r>
            <w:r>
              <w:rPr>
                <w:rFonts w:hint="default"/>
                <w:color w:val="auto"/>
                <w:sz w:val="21"/>
                <w:szCs w:val="21"/>
                <w:highlight w:val="none"/>
              </w:rPr>
              <w:t>当肠体硬，弹力很强，说明已蒸制完成，此工序产生</w:t>
            </w:r>
            <w:r>
              <w:rPr>
                <w:rFonts w:hint="eastAsia"/>
                <w:color w:val="auto"/>
                <w:sz w:val="21"/>
                <w:szCs w:val="21"/>
                <w:highlight w:val="none"/>
                <w:lang w:val="en-US" w:eastAsia="zh-CN"/>
              </w:rPr>
              <w:t>废气、废水</w:t>
            </w:r>
            <w:r>
              <w:rPr>
                <w:rFonts w:hint="default"/>
                <w:color w:val="auto"/>
                <w:sz w:val="21"/>
                <w:szCs w:val="21"/>
                <w:highlight w:val="none"/>
              </w:rPr>
              <w:t>；</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rPr>
              <w:t>⑥</w:t>
            </w:r>
            <w:r>
              <w:rPr>
                <w:rFonts w:hint="default"/>
                <w:color w:val="auto"/>
                <w:sz w:val="21"/>
                <w:szCs w:val="21"/>
                <w:highlight w:val="none"/>
              </w:rPr>
              <w:t>熏</w:t>
            </w:r>
            <w:r>
              <w:rPr>
                <w:rFonts w:hint="eastAsia"/>
                <w:color w:val="auto"/>
                <w:sz w:val="21"/>
                <w:szCs w:val="21"/>
                <w:highlight w:val="none"/>
                <w:lang w:val="en-US" w:eastAsia="zh-CN"/>
              </w:rPr>
              <w:t>烤</w:t>
            </w:r>
            <w:r>
              <w:rPr>
                <w:rFonts w:hint="default"/>
                <w:color w:val="auto"/>
                <w:sz w:val="21"/>
                <w:szCs w:val="21"/>
                <w:highlight w:val="none"/>
              </w:rPr>
              <w:t>制：蒸熟后要</w:t>
            </w:r>
            <w:r>
              <w:rPr>
                <w:rFonts w:hint="eastAsia"/>
                <w:color w:val="auto"/>
                <w:sz w:val="21"/>
                <w:szCs w:val="21"/>
                <w:highlight w:val="none"/>
                <w:lang w:val="en-US" w:eastAsia="zh-CN"/>
              </w:rPr>
              <w:t>熏烤炉</w:t>
            </w:r>
            <w:r>
              <w:rPr>
                <w:rFonts w:hint="default"/>
                <w:color w:val="auto"/>
                <w:sz w:val="21"/>
                <w:szCs w:val="21"/>
                <w:highlight w:val="none"/>
              </w:rPr>
              <w:t>进行烟熏</w:t>
            </w:r>
            <w:r>
              <w:rPr>
                <w:rFonts w:hint="eastAsia"/>
                <w:color w:val="auto"/>
                <w:sz w:val="21"/>
                <w:szCs w:val="21"/>
                <w:highlight w:val="none"/>
                <w:lang w:val="en-US" w:eastAsia="zh-CN"/>
              </w:rPr>
              <w:t>及烤制</w:t>
            </w:r>
            <w:r>
              <w:rPr>
                <w:rFonts w:hint="default"/>
                <w:color w:val="auto"/>
                <w:sz w:val="21"/>
                <w:szCs w:val="21"/>
                <w:highlight w:val="none"/>
              </w:rPr>
              <w:t>，过程</w:t>
            </w:r>
            <w:r>
              <w:rPr>
                <w:rFonts w:hint="eastAsia"/>
                <w:color w:val="auto"/>
                <w:sz w:val="21"/>
                <w:szCs w:val="21"/>
                <w:highlight w:val="none"/>
                <w:lang w:val="en-US" w:eastAsia="zh-CN"/>
              </w:rPr>
              <w:t>中</w:t>
            </w:r>
            <w:r>
              <w:rPr>
                <w:rFonts w:hint="default"/>
                <w:color w:val="auto"/>
                <w:sz w:val="21"/>
                <w:szCs w:val="21"/>
                <w:highlight w:val="none"/>
              </w:rPr>
              <w:t>可除掉一部分水分，使肠体干燥有光泽，肠馅变鲜红色，肠衣表面起皱纹，使肠具有特殊的香味，并增加了防腐能力；本项目使用</w:t>
            </w:r>
            <w:r>
              <w:rPr>
                <w:rFonts w:hint="eastAsia"/>
                <w:color w:val="auto"/>
                <w:sz w:val="21"/>
                <w:szCs w:val="21"/>
                <w:highlight w:val="none"/>
              </w:rPr>
              <w:t>凯斯</w:t>
            </w:r>
            <w:r>
              <w:rPr>
                <w:rFonts w:hint="default"/>
                <w:color w:val="auto"/>
                <w:sz w:val="21"/>
                <w:szCs w:val="21"/>
                <w:highlight w:val="none"/>
              </w:rPr>
              <w:t>炉，此工序产生废气为肠体干燥散发的异味</w:t>
            </w:r>
            <w:r>
              <w:rPr>
                <w:rFonts w:hint="eastAsia"/>
                <w:color w:val="auto"/>
                <w:sz w:val="21"/>
                <w:szCs w:val="21"/>
                <w:highlight w:val="none"/>
              </w:rPr>
              <w:t>、烟尘</w:t>
            </w:r>
            <w:r>
              <w:rPr>
                <w:rFonts w:hint="eastAsia"/>
                <w:color w:val="auto"/>
                <w:sz w:val="21"/>
                <w:szCs w:val="21"/>
                <w:highlight w:val="none"/>
                <w:lang w:eastAsia="zh-CN"/>
              </w:rPr>
              <w:t>、</w:t>
            </w:r>
            <w:r>
              <w:rPr>
                <w:rFonts w:hint="eastAsia"/>
                <w:color w:val="auto"/>
                <w:sz w:val="21"/>
                <w:szCs w:val="21"/>
                <w:highlight w:val="none"/>
                <w:lang w:val="en-US" w:eastAsia="zh-CN"/>
              </w:rPr>
              <w:t>二氧化硫及氮氧化物。</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eastAsia="宋体"/>
                <w:color w:val="auto"/>
                <w:sz w:val="21"/>
                <w:szCs w:val="21"/>
                <w:highlight w:val="none"/>
                <w:lang w:val="en-US" w:eastAsia="zh-CN"/>
              </w:rPr>
            </w:pPr>
            <w:r>
              <w:rPr>
                <w:rFonts w:hint="eastAsia"/>
                <w:color w:val="auto"/>
                <w:sz w:val="21"/>
                <w:szCs w:val="21"/>
                <w:highlight w:val="none"/>
              </w:rPr>
              <w:t>⑦</w:t>
            </w:r>
            <w:r>
              <w:rPr>
                <w:rFonts w:hint="default"/>
                <w:color w:val="auto"/>
                <w:sz w:val="21"/>
                <w:szCs w:val="21"/>
                <w:highlight w:val="none"/>
              </w:rPr>
              <w:t>冷却、包装：将熏制后的产品进行</w:t>
            </w:r>
            <w:r>
              <w:rPr>
                <w:rFonts w:hint="eastAsia"/>
                <w:color w:val="auto"/>
                <w:sz w:val="21"/>
                <w:szCs w:val="21"/>
                <w:highlight w:val="none"/>
                <w:lang w:val="en-US" w:eastAsia="zh-CN"/>
              </w:rPr>
              <w:t>自然</w:t>
            </w:r>
            <w:r>
              <w:rPr>
                <w:rFonts w:hint="default"/>
                <w:color w:val="auto"/>
                <w:sz w:val="21"/>
                <w:szCs w:val="21"/>
                <w:highlight w:val="none"/>
              </w:rPr>
              <w:t>晾晒</w:t>
            </w:r>
            <w:r>
              <w:rPr>
                <w:rFonts w:hint="eastAsia"/>
                <w:color w:val="auto"/>
                <w:sz w:val="21"/>
                <w:szCs w:val="21"/>
                <w:highlight w:val="none"/>
                <w:lang w:eastAsia="zh-CN"/>
              </w:rPr>
              <w:t>，使得水分在此蒸发，</w:t>
            </w:r>
            <w:r>
              <w:rPr>
                <w:rFonts w:hint="default"/>
                <w:color w:val="auto"/>
                <w:sz w:val="21"/>
                <w:szCs w:val="21"/>
                <w:highlight w:val="none"/>
              </w:rPr>
              <w:t>冷却后包装入库。</w:t>
            </w:r>
            <w:r>
              <w:rPr>
                <w:rFonts w:hint="eastAsia"/>
                <w:color w:val="auto"/>
                <w:sz w:val="21"/>
                <w:szCs w:val="21"/>
                <w:highlight w:val="none"/>
                <w:lang w:val="en-US" w:eastAsia="zh-CN"/>
              </w:rPr>
              <w:t>此工序不涉及挥发性有机物排放。</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ascii="Times New Roman" w:hAnsi="Times New Roman" w:eastAsia="黑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本项目蒸煮和熏制采用凯斯炉一体机，蒸汽蒸煮时间位15-20min，蒸熟的肉制品在凯斯炉一体机内直接进行熏制，熏制时间为15min。</w:t>
            </w:r>
            <w:r>
              <w:rPr>
                <w:rFonts w:hint="default" w:ascii="Times New Roman" w:hAnsi="Times New Roman" w:eastAsia="宋体" w:cs="Times New Roman"/>
                <w:bCs/>
                <w:color w:val="auto"/>
                <w:sz w:val="21"/>
                <w:szCs w:val="21"/>
                <w:highlight w:val="none"/>
                <w:lang w:val="en-US" w:eastAsia="zh-CN"/>
              </w:rPr>
              <w:t>本项目产品熏制使用木头378t/a，使用果木粒26.25t/a，共404.25t/a。</w:t>
            </w:r>
          </w:p>
          <w:p>
            <w:pPr>
              <w:keepNext w:val="0"/>
              <w:keepLines w:val="0"/>
              <w:pageBreakBefore w:val="0"/>
              <w:widowControl w:val="0"/>
              <w:numPr>
                <w:ilvl w:val="0"/>
                <w:numId w:val="6"/>
              </w:numPr>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酱卤制品</w:t>
            </w:r>
            <w:r>
              <w:rPr>
                <w:rFonts w:hint="default" w:ascii="Times New Roman" w:hAnsi="Times New Roman" w:eastAsia="宋体" w:cs="Times New Roman"/>
                <w:color w:val="auto"/>
                <w:sz w:val="21"/>
                <w:szCs w:val="21"/>
                <w:highlight w:val="none"/>
                <w:lang w:val="en-US" w:eastAsia="zh-CN"/>
              </w:rPr>
              <w:t>工艺流程</w:t>
            </w:r>
          </w:p>
          <w:p>
            <w:pPr>
              <w:pStyle w:val="42"/>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default"/>
                <w:color w:val="auto"/>
                <w:highlight w:val="none"/>
                <w:lang w:val="en-US" w:eastAsia="zh-CN"/>
              </w:rPr>
              <w:object>
                <v:shape id="_x0000_i1029" o:spt="75" type="#_x0000_t75" style="height:258.75pt;width:234pt;" o:ole="t" filled="f" o:preferrelative="t" stroked="f" coordsize="21600,21600">
                  <v:path/>
                  <v:fill on="f" focussize="0,0"/>
                  <v:stroke on="f"/>
                  <v:imagedata r:id="rId20" o:title=""/>
                  <o:lock v:ext="edit" aspectratio="f"/>
                  <w10:wrap type="none"/>
                  <w10:anchorlock/>
                </v:shape>
                <o:OLEObject Type="Embed" ProgID="Visio.Drawing.11" ShapeID="_x0000_i1029" DrawAspect="Content" ObjectID="_1468075729" r:id="rId19">
                  <o:LockedField>false</o:LockedField>
                </o:OLEObject>
              </w:objec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b/>
                <w:bCs/>
                <w:snapToGrid w:val="0"/>
                <w:color w:val="auto"/>
                <w:szCs w:val="21"/>
                <w:highlight w:val="none"/>
                <w:lang w:eastAsia="zh-CN"/>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6 酱卤制品</w:t>
            </w:r>
            <w:r>
              <w:rPr>
                <w:rFonts w:hint="eastAsia" w:cs="Times New Roman"/>
                <w:b/>
                <w:bCs/>
                <w:snapToGrid w:val="0"/>
                <w:color w:val="auto"/>
                <w:szCs w:val="21"/>
                <w:highlight w:val="none"/>
                <w:lang w:eastAsia="zh-CN"/>
              </w:rPr>
              <w:t>生产</w:t>
            </w:r>
            <w:r>
              <w:rPr>
                <w:rFonts w:hint="default" w:ascii="Times New Roman" w:hAnsi="Times New Roman" w:eastAsia="宋体" w:cs="Times New Roman"/>
                <w:b/>
                <w:bCs/>
                <w:snapToGrid w:val="0"/>
                <w:color w:val="auto"/>
                <w:szCs w:val="21"/>
                <w:highlight w:val="none"/>
              </w:rPr>
              <w:t>流程及产污环节图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color w:val="auto"/>
                <w:highlight w:val="none"/>
                <w:lang w:eastAsia="zh-CN"/>
              </w:rPr>
            </w:pPr>
            <w:r>
              <w:rPr>
                <w:rFonts w:hint="eastAsia"/>
                <w:b/>
                <w:bCs/>
                <w:color w:val="auto"/>
                <w:highlight w:val="none"/>
                <w:lang w:eastAsia="zh-CN"/>
              </w:rPr>
              <w:t>工艺流程简述：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eastAsia"/>
                <w:color w:val="auto"/>
                <w:highlight w:val="none"/>
              </w:rPr>
              <w:t>①</w:t>
            </w:r>
            <w:r>
              <w:rPr>
                <w:rFonts w:hint="default"/>
                <w:color w:val="auto"/>
                <w:highlight w:val="none"/>
              </w:rPr>
              <w:t>解冻、修整：在缓化间内进行自然解冻，解冻过程不加热。对解冻过的原料肉进行修整，此工序产生噪声</w:t>
            </w:r>
            <w:r>
              <w:rPr>
                <w:rFonts w:hint="eastAsia"/>
                <w:color w:val="auto"/>
                <w:highlight w:val="none"/>
                <w:lang w:eastAsia="zh-CN"/>
              </w:rPr>
              <w:t>、</w:t>
            </w:r>
            <w:r>
              <w:rPr>
                <w:rFonts w:hint="eastAsia"/>
                <w:color w:val="auto"/>
                <w:highlight w:val="none"/>
                <w:lang w:val="en-US" w:eastAsia="zh-CN"/>
              </w:rPr>
              <w:t>废水、固废</w:t>
            </w:r>
            <w:r>
              <w:rPr>
                <w:rFonts w:hint="default"/>
                <w:color w:val="auto"/>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eastAsia"/>
                <w:color w:val="auto"/>
                <w:highlight w:val="none"/>
              </w:rPr>
              <w:t>②</w:t>
            </w:r>
            <w:r>
              <w:rPr>
                <w:rFonts w:hint="eastAsia"/>
                <w:color w:val="auto"/>
                <w:highlight w:val="none"/>
                <w:lang w:val="en-US" w:eastAsia="zh-CN"/>
              </w:rPr>
              <w:t>卤煮</w:t>
            </w:r>
            <w:r>
              <w:rPr>
                <w:rFonts w:hint="default"/>
                <w:color w:val="auto"/>
                <w:highlight w:val="none"/>
              </w:rPr>
              <w:t>：</w:t>
            </w:r>
            <w:r>
              <w:rPr>
                <w:rFonts w:hint="eastAsia"/>
                <w:color w:val="auto"/>
                <w:highlight w:val="none"/>
                <w:lang w:val="en-US" w:eastAsia="zh-CN"/>
              </w:rPr>
              <w:t>将肉类与配置好的卤肉调料一起放入夹层锅内进行卤煮</w:t>
            </w:r>
            <w:r>
              <w:rPr>
                <w:rFonts w:hint="default"/>
                <w:color w:val="auto"/>
                <w:highlight w:val="none"/>
              </w:rPr>
              <w:t>，</w:t>
            </w:r>
            <w:r>
              <w:rPr>
                <w:rFonts w:hint="eastAsia"/>
                <w:color w:val="auto"/>
                <w:highlight w:val="none"/>
                <w:lang w:val="en-US" w:eastAsia="zh-CN"/>
              </w:rPr>
              <w:t>卤煮时间约为40-60min，卤煮温度为70-100℃，卤煮过程中水分全部蒸发或进入产品，有少量老汤对下批产品进行卤制。</w:t>
            </w:r>
            <w:r>
              <w:rPr>
                <w:rFonts w:hint="default"/>
                <w:color w:val="auto"/>
                <w:highlight w:val="none"/>
              </w:rPr>
              <w:t>此工序产生</w:t>
            </w:r>
            <w:r>
              <w:rPr>
                <w:rFonts w:hint="eastAsia"/>
                <w:color w:val="auto"/>
                <w:highlight w:val="none"/>
                <w:lang w:val="en-US" w:eastAsia="zh-CN"/>
              </w:rPr>
              <w:t>废气</w:t>
            </w:r>
            <w:r>
              <w:rPr>
                <w:rFonts w:hint="default"/>
                <w:color w:val="auto"/>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eastAsia"/>
                <w:color w:val="auto"/>
                <w:highlight w:val="none"/>
              </w:rPr>
              <w:t>③</w:t>
            </w:r>
            <w:r>
              <w:rPr>
                <w:rFonts w:hint="default"/>
                <w:color w:val="auto"/>
                <w:highlight w:val="none"/>
              </w:rPr>
              <w:t>熏制：</w:t>
            </w:r>
            <w:r>
              <w:rPr>
                <w:rFonts w:hint="eastAsia"/>
                <w:color w:val="auto"/>
                <w:highlight w:val="none"/>
                <w:lang w:val="en-US" w:eastAsia="zh-CN"/>
              </w:rPr>
              <w:t>卤煮出锅后</w:t>
            </w:r>
            <w:r>
              <w:rPr>
                <w:rFonts w:hint="default"/>
                <w:color w:val="auto"/>
                <w:highlight w:val="none"/>
              </w:rPr>
              <w:t>要进行</w:t>
            </w:r>
            <w:r>
              <w:rPr>
                <w:rFonts w:hint="eastAsia"/>
                <w:color w:val="auto"/>
                <w:highlight w:val="none"/>
                <w:lang w:val="en-US" w:eastAsia="zh-CN"/>
              </w:rPr>
              <w:t>糖</w:t>
            </w:r>
            <w:r>
              <w:rPr>
                <w:rFonts w:hint="default"/>
                <w:color w:val="auto"/>
                <w:highlight w:val="none"/>
              </w:rPr>
              <w:t>熏，</w:t>
            </w:r>
            <w:r>
              <w:rPr>
                <w:rFonts w:hint="eastAsia"/>
                <w:color w:val="auto"/>
                <w:highlight w:val="none"/>
                <w:lang w:val="en-US" w:eastAsia="zh-CN"/>
              </w:rPr>
              <w:t>熏制时间约为30分钟。</w:t>
            </w:r>
            <w:r>
              <w:rPr>
                <w:rFonts w:hint="default"/>
                <w:color w:val="auto"/>
                <w:highlight w:val="none"/>
              </w:rPr>
              <w:t>此工序产生废气；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eastAsia"/>
                <w:color w:val="auto"/>
                <w:highlight w:val="none"/>
              </w:rPr>
              <w:t>④</w:t>
            </w:r>
            <w:r>
              <w:rPr>
                <w:rFonts w:hint="default"/>
                <w:color w:val="auto"/>
                <w:highlight w:val="none"/>
              </w:rPr>
              <w:t>冷却、包装：</w:t>
            </w:r>
            <w:r>
              <w:rPr>
                <w:rFonts w:hint="eastAsia"/>
                <w:color w:val="auto"/>
                <w:highlight w:val="none"/>
                <w:lang w:val="en-US" w:eastAsia="zh-CN"/>
              </w:rPr>
              <w:t>肉制品在常温下自然冷却</w:t>
            </w:r>
            <w:r>
              <w:rPr>
                <w:rFonts w:hint="default"/>
                <w:color w:val="auto"/>
                <w:highlight w:val="none"/>
              </w:rPr>
              <w:t>后包装入库。</w:t>
            </w:r>
            <w:r>
              <w:rPr>
                <w:rFonts w:hint="eastAsia"/>
                <w:color w:val="auto"/>
                <w:sz w:val="21"/>
                <w:szCs w:val="21"/>
                <w:highlight w:val="none"/>
                <w:lang w:val="en-US" w:eastAsia="zh-CN"/>
              </w:rPr>
              <w:t>此工序不涉及挥发性有机物排放。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color w:val="auto"/>
                <w:highlight w:val="none"/>
                <w:lang w:val="en-US" w:eastAsia="zh-CN"/>
              </w:rPr>
              <w:t>本项目生产过程中产污如下：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highlight w:val="none"/>
              </w:rPr>
              <w:t>废气：本项目废气为</w:t>
            </w:r>
            <w:r>
              <w:rPr>
                <w:rFonts w:hint="default"/>
                <w:color w:val="auto"/>
                <w:highlight w:val="none"/>
                <w:lang w:val="en-US" w:eastAsia="zh-CN"/>
              </w:rPr>
              <w:t>锅炉废气、熏制</w:t>
            </w:r>
            <w:r>
              <w:rPr>
                <w:rFonts w:hint="eastAsia"/>
                <w:color w:val="auto"/>
                <w:highlight w:val="none"/>
                <w:lang w:val="en-US" w:eastAsia="zh-CN"/>
              </w:rPr>
              <w:t>烤制</w:t>
            </w:r>
            <w:r>
              <w:rPr>
                <w:rFonts w:hint="default"/>
                <w:color w:val="auto"/>
                <w:highlight w:val="none"/>
                <w:lang w:val="en-US" w:eastAsia="zh-CN"/>
              </w:rPr>
              <w:t>废气、蒸煮废气、污水处理站废气及油烟废气</w:t>
            </w:r>
            <w:r>
              <w:rPr>
                <w:rFonts w:hint="default"/>
                <w:color w:val="auto"/>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color w:val="auto"/>
                <w:highlight w:val="none"/>
                <w:lang w:val="en-US" w:eastAsia="zh-CN"/>
              </w:rPr>
              <w:t>废水：本项目废水为生产废水（包括蒸煮废水、设备冲洗等）、锅炉排污水及软化处理废水和生活污水。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highlight w:val="none"/>
              </w:rPr>
              <w:t>噪声：本项目噪声主要来自生产设备运行时产生的噪声，噪声级约在70~80dB 左右，</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color w:val="auto"/>
                <w:highlight w:val="none"/>
              </w:rPr>
              <w:t>固废：本项目固废主要为</w:t>
            </w:r>
            <w:r>
              <w:rPr>
                <w:rFonts w:hint="default"/>
                <w:color w:val="auto"/>
                <w:highlight w:val="none"/>
                <w:lang w:val="en-US" w:eastAsia="zh-CN"/>
              </w:rPr>
              <w:t>生活垃圾、</w:t>
            </w:r>
            <w:r>
              <w:rPr>
                <w:rFonts w:hint="default"/>
                <w:color w:val="auto"/>
                <w:highlight w:val="none"/>
              </w:rPr>
              <w:t>餐馀废物、废油脂</w:t>
            </w:r>
            <w:r>
              <w:rPr>
                <w:rFonts w:hint="default"/>
                <w:color w:val="auto"/>
                <w:highlight w:val="none"/>
                <w:lang w:eastAsia="zh-CN"/>
              </w:rPr>
              <w:t>、</w:t>
            </w:r>
            <w:r>
              <w:rPr>
                <w:rFonts w:hint="default"/>
                <w:color w:val="auto"/>
                <w:highlight w:val="none"/>
              </w:rPr>
              <w:t>废离子交换树脂</w:t>
            </w:r>
            <w:r>
              <w:rPr>
                <w:rFonts w:hint="default"/>
                <w:color w:val="auto"/>
                <w:highlight w:val="none"/>
                <w:lang w:eastAsia="zh-CN"/>
              </w:rPr>
              <w:t>、</w:t>
            </w:r>
            <w:r>
              <w:rPr>
                <w:rFonts w:hint="default"/>
                <w:color w:val="auto"/>
                <w:highlight w:val="none"/>
              </w:rPr>
              <w:t>废包装物</w:t>
            </w:r>
            <w:r>
              <w:rPr>
                <w:rFonts w:hint="default"/>
                <w:color w:val="auto"/>
                <w:highlight w:val="none"/>
                <w:lang w:eastAsia="zh-CN"/>
              </w:rPr>
              <w:t>、</w:t>
            </w:r>
            <w:r>
              <w:rPr>
                <w:rFonts w:hint="default"/>
                <w:color w:val="auto"/>
                <w:highlight w:val="none"/>
                <w:lang w:val="en-US" w:eastAsia="zh-CN"/>
              </w:rPr>
              <w:t>污水处理站污泥</w:t>
            </w:r>
            <w:r>
              <w:rPr>
                <w:rFonts w:hint="default"/>
                <w:color w:val="auto"/>
                <w:highlight w:val="none"/>
                <w:lang w:eastAsia="zh-CN"/>
              </w:rPr>
              <w:t>、</w:t>
            </w:r>
            <w:r>
              <w:rPr>
                <w:rFonts w:hint="default"/>
                <w:color w:val="auto"/>
                <w:highlight w:val="none"/>
                <w:lang w:val="en-US" w:eastAsia="zh-CN"/>
              </w:rPr>
              <w:t>废活性炭，烟熏炉炉渣</w:t>
            </w:r>
            <w:r>
              <w:rPr>
                <w:rFonts w:hint="default"/>
                <w:color w:val="auto"/>
                <w:highlight w:val="none"/>
                <w:lang w:val="en-US"/>
              </w:rPr>
              <w:t>、</w:t>
            </w:r>
            <w:r>
              <w:rPr>
                <w:rFonts w:hint="default"/>
                <w:color w:val="auto"/>
                <w:highlight w:val="none"/>
                <w:lang w:val="en-US" w:eastAsia="zh-CN"/>
              </w:rPr>
              <w:t>电除尘器收尘、</w:t>
            </w:r>
            <w:r>
              <w:rPr>
                <w:rFonts w:hint="default" w:ascii="Times New Roman" w:hAnsi="Times New Roman" w:eastAsia="宋体" w:cs="Times New Roman"/>
                <w:color w:val="auto"/>
                <w:sz w:val="21"/>
                <w:szCs w:val="21"/>
                <w:highlight w:val="none"/>
                <w:lang w:val="en-US" w:eastAsia="zh-CN"/>
              </w:rPr>
              <w:t>加工废料</w:t>
            </w:r>
            <w:r>
              <w:rPr>
                <w:rFonts w:hint="eastAsia" w:cs="Times New Roman"/>
                <w:color w:val="auto"/>
                <w:sz w:val="21"/>
                <w:szCs w:val="21"/>
                <w:highlight w:val="none"/>
                <w:lang w:val="en-US" w:eastAsia="zh-CN"/>
              </w:rPr>
              <w:t>及不合格品、维修产生废机油</w:t>
            </w:r>
            <w:r>
              <w:rPr>
                <w:rFonts w:hint="default"/>
                <w:color w:val="auto"/>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本项目运营期工程主要排污节点见表</w:t>
            </w:r>
            <w:r>
              <w:rPr>
                <w:rFonts w:hint="eastAsia" w:ascii="Times New Roman" w:hAnsi="Times New Roman" w:eastAsia="宋体" w:cs="Times New Roman"/>
                <w:color w:val="auto"/>
                <w:spacing w:val="0"/>
                <w:sz w:val="21"/>
                <w:szCs w:val="21"/>
                <w:lang w:val="en-US" w:eastAsia="zh-CN"/>
              </w:rPr>
              <w:t>2</w:t>
            </w:r>
            <w:r>
              <w:rPr>
                <w:rFonts w:hint="default" w:ascii="Times New Roman" w:hAnsi="Times New Roman" w:eastAsia="宋体" w:cs="Times New Roman"/>
                <w:color w:val="auto"/>
                <w:spacing w:val="0"/>
                <w:sz w:val="21"/>
                <w:szCs w:val="21"/>
                <w:lang w:val="en-US" w:eastAsia="zh-CN"/>
              </w:rPr>
              <w:t>-</w:t>
            </w:r>
            <w:r>
              <w:rPr>
                <w:rFonts w:hint="eastAsia" w:eastAsia="宋体" w:cs="Times New Roman"/>
                <w:color w:val="auto"/>
                <w:spacing w:val="0"/>
                <w:sz w:val="21"/>
                <w:szCs w:val="21"/>
                <w:lang w:val="en-US" w:eastAsia="zh-CN"/>
              </w:rPr>
              <w:t>6</w:t>
            </w:r>
            <w:r>
              <w:rPr>
                <w:rFonts w:hint="default" w:ascii="Times New Roman" w:hAnsi="Times New Roman" w:eastAsia="宋体" w:cs="Times New Roman"/>
                <w:color w:val="auto"/>
                <w:spacing w:val="0"/>
                <w:sz w:val="21"/>
                <w:szCs w:val="21"/>
                <w:lang w:val="en-US" w:eastAsia="zh-CN"/>
              </w:rPr>
              <w:t>。</w:t>
            </w:r>
          </w:p>
          <w:p>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lang w:val="en-US" w:eastAsia="zh-CN" w:bidi="ar-SA"/>
              </w:rPr>
            </w:pPr>
            <w:r>
              <w:rPr>
                <w:rFonts w:hint="default" w:ascii="Times New Roman" w:hAnsi="Times New Roman" w:eastAsia="宋体" w:cs="Times New Roman"/>
                <w:b/>
                <w:bCs/>
                <w:color w:val="auto"/>
                <w:spacing w:val="0"/>
                <w:kern w:val="0"/>
                <w:sz w:val="21"/>
                <w:szCs w:val="21"/>
                <w:lang w:val="en-US" w:eastAsia="zh-CN" w:bidi="ar-SA"/>
              </w:rPr>
              <w:t>表</w:t>
            </w:r>
            <w:r>
              <w:rPr>
                <w:rFonts w:hint="eastAsia" w:ascii="Times New Roman" w:hAnsi="Times New Roman" w:eastAsia="宋体" w:cs="Times New Roman"/>
                <w:b/>
                <w:bCs/>
                <w:color w:val="auto"/>
                <w:spacing w:val="0"/>
                <w:kern w:val="0"/>
                <w:sz w:val="21"/>
                <w:szCs w:val="21"/>
                <w:lang w:val="en-US" w:eastAsia="zh-CN" w:bidi="ar-SA"/>
              </w:rPr>
              <w:t>2</w:t>
            </w:r>
            <w:r>
              <w:rPr>
                <w:rFonts w:hint="default" w:ascii="Times New Roman" w:hAnsi="Times New Roman" w:eastAsia="宋体" w:cs="Times New Roman"/>
                <w:b/>
                <w:bCs/>
                <w:color w:val="auto"/>
                <w:spacing w:val="0"/>
                <w:kern w:val="0"/>
                <w:sz w:val="21"/>
                <w:szCs w:val="21"/>
                <w:lang w:val="en-US" w:eastAsia="zh-CN" w:bidi="ar-SA"/>
              </w:rPr>
              <w:t>-</w:t>
            </w:r>
            <w:r>
              <w:rPr>
                <w:rFonts w:hint="eastAsia" w:eastAsia="宋体" w:cs="Times New Roman"/>
                <w:b/>
                <w:bCs/>
                <w:color w:val="auto"/>
                <w:spacing w:val="0"/>
                <w:kern w:val="0"/>
                <w:sz w:val="21"/>
                <w:szCs w:val="21"/>
                <w:lang w:val="en-US" w:eastAsia="zh-CN" w:bidi="ar-SA"/>
              </w:rPr>
              <w:t>6</w:t>
            </w:r>
            <w:r>
              <w:rPr>
                <w:rFonts w:hint="default" w:ascii="Times New Roman" w:hAnsi="Times New Roman" w:eastAsia="宋体" w:cs="Times New Roman"/>
                <w:b/>
                <w:bCs/>
                <w:color w:val="auto"/>
                <w:spacing w:val="0"/>
                <w:kern w:val="0"/>
                <w:sz w:val="21"/>
                <w:szCs w:val="21"/>
                <w:lang w:val="en-US" w:eastAsia="zh-CN" w:bidi="ar-SA"/>
              </w:rPr>
              <w:t xml:space="preserve"> 本项目运营期工程主要排污节点一览表</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605"/>
              <w:gridCol w:w="1645"/>
              <w:gridCol w:w="1090"/>
              <w:gridCol w:w="341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9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41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废气</w:t>
                  </w:r>
                </w:p>
              </w:tc>
              <w:tc>
                <w:tcPr>
                  <w:tcW w:w="160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eastAsia="zh-CN"/>
                    </w:rPr>
                    <w:t>锅炉（</w:t>
                  </w:r>
                  <w:r>
                    <w:rPr>
                      <w:rFonts w:hint="default" w:ascii="Times New Roman" w:hAnsi="Times New Roman" w:cs="Times New Roman"/>
                      <w:color w:val="auto"/>
                      <w:spacing w:val="0"/>
                      <w:sz w:val="18"/>
                      <w:szCs w:val="18"/>
                      <w:highlight w:val="none"/>
                      <w:lang w:val="en-US" w:eastAsia="zh-CN"/>
                    </w:rPr>
                    <w:t>1台</w:t>
                  </w:r>
                  <w:r>
                    <w:rPr>
                      <w:rFonts w:hint="default" w:ascii="Times New Roman" w:hAnsi="Times New Roman" w:cs="Times New Roman"/>
                      <w:color w:val="auto"/>
                      <w:spacing w:val="0"/>
                      <w:sz w:val="18"/>
                      <w:szCs w:val="18"/>
                      <w:highlight w:val="none"/>
                      <w:lang w:eastAsia="zh-CN"/>
                    </w:rPr>
                    <w:t>）</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val="en-US" w:eastAsia="zh-CN"/>
                    </w:rPr>
                    <w:t>SO</w:t>
                  </w:r>
                  <w:r>
                    <w:rPr>
                      <w:rFonts w:hint="default" w:ascii="Times New Roman" w:hAnsi="Times New Roman" w:cs="Times New Roman"/>
                      <w:color w:val="auto"/>
                      <w:spacing w:val="0"/>
                      <w:sz w:val="18"/>
                      <w:szCs w:val="18"/>
                      <w:highlight w:val="none"/>
                      <w:vertAlign w:val="subscript"/>
                      <w:lang w:val="en-US" w:eastAsia="zh-CN"/>
                    </w:rPr>
                    <w:t>2</w:t>
                  </w:r>
                  <w:r>
                    <w:rPr>
                      <w:rFonts w:hint="default" w:ascii="Times New Roman" w:hAnsi="Times New Roman" w:cs="Times New Roman"/>
                      <w:color w:val="auto"/>
                      <w:spacing w:val="0"/>
                      <w:sz w:val="18"/>
                      <w:szCs w:val="18"/>
                      <w:highlight w:val="none"/>
                      <w:lang w:val="en-US" w:eastAsia="zh-CN"/>
                    </w:rPr>
                    <w:t>、NOx、颗粒物、林格曼黑度</w:t>
                  </w:r>
                </w:p>
              </w:tc>
              <w:tc>
                <w:tcPr>
                  <w:tcW w:w="1090" w:type="dxa"/>
                  <w:vMerge w:val="restart"/>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rPr>
                    <w:t>连续</w:t>
                  </w:r>
                </w:p>
              </w:tc>
              <w:tc>
                <w:tcPr>
                  <w:tcW w:w="341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低氮燃烧器，排入一根</w:t>
                  </w:r>
                  <w:r>
                    <w:rPr>
                      <w:rFonts w:hint="default" w:ascii="Times New Roman" w:hAnsi="Times New Roman" w:cs="Times New Roman"/>
                      <w:color w:val="auto"/>
                      <w:sz w:val="18"/>
                      <w:szCs w:val="18"/>
                      <w:highlight w:val="none"/>
                      <w:lang w:val="en-US" w:eastAsia="zh-CN"/>
                    </w:rPr>
                    <w:t>27</w:t>
                  </w:r>
                  <w:r>
                    <w:rPr>
                      <w:rFonts w:hint="default" w:ascii="Times New Roman" w:hAnsi="Times New Roman" w:eastAsia="宋体" w:cs="Times New Roman"/>
                      <w:color w:val="auto"/>
                      <w:sz w:val="18"/>
                      <w:szCs w:val="18"/>
                      <w:highlight w:val="none"/>
                    </w:rPr>
                    <w:t>m高烟囱DA001排放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蒸煮</w:t>
                  </w:r>
                </w:p>
              </w:tc>
              <w:tc>
                <w:tcPr>
                  <w:tcW w:w="164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default" w:ascii="Times New Roman" w:hAnsi="Times New Roman" w:eastAsia="宋体" w:cs="Times New Roman"/>
                      <w:color w:val="auto"/>
                      <w:sz w:val="18"/>
                      <w:szCs w:val="18"/>
                      <w:highlight w:val="none"/>
                    </w:rPr>
                    <w:t>臭气浓度</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415" w:type="dxa"/>
                  <w:vMerge w:val="restart"/>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lang w:eastAsia="zh-CN"/>
                    </w:rPr>
                  </w:pPr>
                  <w:r>
                    <w:rPr>
                      <w:rFonts w:hint="default" w:ascii="Times New Roman" w:hAnsi="Times New Roman" w:eastAsia="宋体" w:cs="Times New Roman"/>
                      <w:color w:val="auto"/>
                      <w:sz w:val="18"/>
                      <w:szCs w:val="18"/>
                      <w:highlight w:val="none"/>
                    </w:rPr>
                    <w:t>静电除尘器+低温等离子体净化装置，通过一根</w:t>
                  </w:r>
                  <w:r>
                    <w:rPr>
                      <w:rFonts w:hint="default" w:ascii="Times New Roman" w:hAnsi="Times New Roman" w:cs="Times New Roman"/>
                      <w:color w:val="auto"/>
                      <w:sz w:val="18"/>
                      <w:szCs w:val="18"/>
                      <w:highlight w:val="none"/>
                      <w:lang w:val="en-US" w:eastAsia="zh-CN"/>
                    </w:rPr>
                    <w:t>27</w:t>
                  </w:r>
                  <w:r>
                    <w:rPr>
                      <w:rFonts w:hint="default" w:ascii="Times New Roman" w:hAnsi="Times New Roman" w:eastAsia="宋体" w:cs="Times New Roman"/>
                      <w:color w:val="auto"/>
                      <w:sz w:val="18"/>
                      <w:szCs w:val="18"/>
                      <w:highlight w:val="none"/>
                    </w:rPr>
                    <w:t>m高排气筒DA002排放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eastAsia="zh-CN"/>
                    </w:rPr>
                  </w:pPr>
                  <w:r>
                    <w:rPr>
                      <w:rFonts w:hint="default" w:ascii="Times New Roman" w:hAnsi="Times New Roman" w:cs="Times New Roman"/>
                      <w:color w:val="auto"/>
                      <w:sz w:val="18"/>
                      <w:szCs w:val="18"/>
                      <w:highlight w:val="none"/>
                      <w:lang w:val="en-US" w:eastAsia="zh-CN"/>
                    </w:rPr>
                    <w:t>烟熏烤制</w:t>
                  </w:r>
                  <w:r>
                    <w:rPr>
                      <w:rFonts w:hint="default" w:ascii="Times New Roman" w:hAnsi="Times New Roman" w:eastAsia="宋体" w:cs="Times New Roman"/>
                      <w:color w:val="auto"/>
                      <w:sz w:val="18"/>
                      <w:szCs w:val="18"/>
                      <w:highlight w:val="none"/>
                    </w:rPr>
                    <w:t>烟熏炉</w:t>
                  </w:r>
                </w:p>
              </w:tc>
              <w:tc>
                <w:tcPr>
                  <w:tcW w:w="164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default" w:ascii="Times New Roman" w:hAnsi="Times New Roman" w:eastAsia="宋体" w:cs="Times New Roman"/>
                      <w:color w:val="auto"/>
                      <w:sz w:val="18"/>
                      <w:szCs w:val="18"/>
                      <w:highlight w:val="none"/>
                    </w:rPr>
                    <w:t>二氧化硫、氮氧化物、</w:t>
                  </w:r>
                  <w:r>
                    <w:rPr>
                      <w:rFonts w:hint="default" w:ascii="Times New Roman" w:hAnsi="Times New Roman" w:cs="Times New Roman"/>
                      <w:color w:val="auto"/>
                      <w:sz w:val="18"/>
                      <w:szCs w:val="18"/>
                      <w:highlight w:val="none"/>
                      <w:lang w:val="en-US" w:eastAsia="zh-CN"/>
                    </w:rPr>
                    <w:t>烟尘、臭气浓度</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415"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污水处理站</w:t>
                  </w:r>
                </w:p>
              </w:tc>
              <w:tc>
                <w:tcPr>
                  <w:tcW w:w="164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default" w:ascii="Times New Roman" w:hAnsi="Times New Roman" w:eastAsia="宋体" w:cs="Times New Roman"/>
                      <w:color w:val="auto"/>
                      <w:sz w:val="18"/>
                      <w:szCs w:val="18"/>
                      <w:highlight w:val="none"/>
                    </w:rPr>
                    <w:t>臭气浓度、氨、硫化氢</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lang w:eastAsia="zh-CN"/>
                    </w:rPr>
                  </w:pPr>
                  <w:r>
                    <w:rPr>
                      <w:rFonts w:hint="default" w:ascii="Times New Roman" w:hAnsi="Times New Roman" w:eastAsia="宋体" w:cs="Times New Roman"/>
                      <w:color w:val="auto"/>
                      <w:sz w:val="18"/>
                      <w:szCs w:val="18"/>
                      <w:highlight w:val="none"/>
                    </w:rPr>
                    <w:t>污水处理站恶臭气体统一收集，经活性炭吸附后通过15m排气筒排放，吸附效率90%，DA003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厨房油烟</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lang w:val="en-US" w:eastAsia="zh-CN"/>
                    </w:rPr>
                  </w:pPr>
                  <w:r>
                    <w:rPr>
                      <w:rFonts w:hint="default" w:ascii="Times New Roman" w:hAnsi="Times New Roman" w:eastAsia="宋体" w:cs="Times New Roman"/>
                      <w:color w:val="auto"/>
                      <w:sz w:val="18"/>
                      <w:szCs w:val="18"/>
                      <w:highlight w:val="none"/>
                    </w:rPr>
                    <w:t>油烟废气</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lang w:eastAsia="zh-CN"/>
                    </w:rPr>
                  </w:pPr>
                  <w:r>
                    <w:rPr>
                      <w:rFonts w:hint="default" w:ascii="Times New Roman" w:hAnsi="Times New Roman" w:eastAsia="宋体" w:cs="Times New Roman"/>
                      <w:bCs/>
                      <w:color w:val="auto"/>
                      <w:sz w:val="18"/>
                      <w:szCs w:val="18"/>
                      <w:highlight w:val="none"/>
                    </w:rPr>
                    <w:t>油烟净化器</w:t>
                  </w:r>
                  <w:r>
                    <w:rPr>
                      <w:rFonts w:hint="default" w:ascii="Times New Roman" w:hAnsi="Times New Roman" w:cs="Times New Roman"/>
                      <w:bCs/>
                      <w:color w:val="auto"/>
                      <w:sz w:val="18"/>
                      <w:szCs w:val="18"/>
                      <w:highlight w:val="none"/>
                      <w:lang w:val="en-US" w:eastAsia="zh-CN"/>
                    </w:rPr>
                    <w:t>处理后</w:t>
                  </w:r>
                  <w:r>
                    <w:rPr>
                      <w:rFonts w:hint="default" w:ascii="Times New Roman" w:hAnsi="Times New Roman" w:eastAsia="宋体" w:cs="Times New Roman"/>
                      <w:snapToGrid w:val="0"/>
                      <w:color w:val="auto"/>
                      <w:kern w:val="0"/>
                      <w:sz w:val="18"/>
                      <w:szCs w:val="18"/>
                      <w:highlight w:val="none"/>
                    </w:rPr>
                    <w:t>经专用烟道排出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eastAsia="zh-CN"/>
                    </w:rPr>
                    <w:t>生活污水</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SS</w:t>
                  </w:r>
                  <w:r>
                    <w:rPr>
                      <w:rFonts w:hint="default" w:ascii="Times New Roman" w:hAnsi="Times New Roman" w:eastAsia="宋体" w:cs="Times New Roman"/>
                      <w:color w:val="auto"/>
                      <w:kern w:val="21"/>
                      <w:sz w:val="18"/>
                      <w:szCs w:val="18"/>
                      <w:highlight w:val="none"/>
                    </w:rPr>
                    <w:t>、</w:t>
                  </w:r>
                  <w:r>
                    <w:rPr>
                      <w:rFonts w:hint="default" w:ascii="Times New Roman" w:hAnsi="Times New Roman" w:eastAsia="宋体" w:cs="Times New Roman"/>
                      <w:color w:val="auto"/>
                      <w:sz w:val="18"/>
                      <w:szCs w:val="18"/>
                      <w:highlight w:val="none"/>
                    </w:rPr>
                    <w:t>pH、</w:t>
                  </w:r>
                  <w:r>
                    <w:rPr>
                      <w:rFonts w:hint="default" w:ascii="Times New Roman" w:hAnsi="Times New Roman" w:eastAsia="宋体" w:cs="Times New Roman"/>
                      <w:color w:val="auto"/>
                      <w:kern w:val="21"/>
                      <w:sz w:val="18"/>
                      <w:szCs w:val="18"/>
                      <w:highlight w:val="none"/>
                      <w:lang w:val="en-US" w:eastAsia="zh-CN"/>
                    </w:rPr>
                    <w:t>BOD</w:t>
                  </w:r>
                  <w:r>
                    <w:rPr>
                      <w:rFonts w:hint="default" w:ascii="Times New Roman" w:hAnsi="Times New Roman" w:eastAsia="宋体" w:cs="Times New Roman"/>
                      <w:color w:val="auto"/>
                      <w:kern w:val="21"/>
                      <w:sz w:val="18"/>
                      <w:szCs w:val="18"/>
                      <w:highlight w:val="none"/>
                      <w:vertAlign w:val="subscript"/>
                      <w:lang w:val="en-US" w:eastAsia="zh-CN"/>
                    </w:rPr>
                    <w:t>5</w:t>
                  </w:r>
                </w:p>
              </w:tc>
              <w:tc>
                <w:tcPr>
                  <w:tcW w:w="1090"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cs="Times New Roman"/>
                      <w:color w:val="auto"/>
                      <w:spacing w:val="0"/>
                      <w:sz w:val="18"/>
                      <w:szCs w:val="18"/>
                      <w:highlight w:val="none"/>
                    </w:rPr>
                    <w:t>间断</w:t>
                  </w:r>
                </w:p>
              </w:tc>
              <w:tc>
                <w:tcPr>
                  <w:tcW w:w="3415"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经过</w:t>
                  </w:r>
                  <w:r>
                    <w:rPr>
                      <w:rFonts w:hint="default" w:ascii="Times New Roman" w:hAnsi="Times New Roman" w:eastAsia="宋体" w:cs="Times New Roman"/>
                      <w:color w:val="auto"/>
                      <w:sz w:val="18"/>
                      <w:szCs w:val="18"/>
                      <w:highlight w:val="none"/>
                      <w:lang w:val="en-US" w:eastAsia="zh-CN"/>
                    </w:rPr>
                    <w:t>厂区污水处理站（气浮+AO+MBR+消毒）</w:t>
                  </w:r>
                  <w:r>
                    <w:rPr>
                      <w:rFonts w:hint="default" w:ascii="Times New Roman" w:hAnsi="Times New Roman" w:eastAsia="宋体" w:cs="Times New Roman"/>
                      <w:color w:val="auto"/>
                      <w:sz w:val="18"/>
                      <w:szCs w:val="18"/>
                      <w:highlight w:val="none"/>
                    </w:rPr>
                    <w:t>处理后，满足《肉类加工工业水污染物排放标准》（GB13457-92）表3中“肉制品加工”中三级标准，经</w:t>
                  </w:r>
                  <w:r>
                    <w:rPr>
                      <w:rFonts w:hint="default" w:ascii="Times New Roman" w:hAnsi="Times New Roman" w:eastAsia="宋体" w:cs="Times New Roman"/>
                      <w:color w:val="auto"/>
                      <w:sz w:val="18"/>
                      <w:szCs w:val="18"/>
                      <w:highlight w:val="none"/>
                      <w:lang w:val="en-US" w:eastAsia="zh-CN"/>
                    </w:rPr>
                    <w:t>双城</w:t>
                  </w:r>
                  <w:r>
                    <w:rPr>
                      <w:rFonts w:hint="default" w:ascii="Times New Roman" w:hAnsi="Times New Roman" w:eastAsia="宋体" w:cs="Times New Roman"/>
                      <w:color w:val="auto"/>
                      <w:sz w:val="18"/>
                      <w:szCs w:val="18"/>
                      <w:highlight w:val="none"/>
                    </w:rPr>
                    <w:t>污水处理厂处理</w:t>
                  </w:r>
                  <w:r>
                    <w:rPr>
                      <w:rFonts w:hint="default" w:ascii="Times New Roman" w:hAnsi="Times New Roman" w:eastAsia="宋体" w:cs="Times New Roman"/>
                      <w:color w:val="auto"/>
                      <w:sz w:val="18"/>
                      <w:szCs w:val="18"/>
                      <w:highlight w:val="none"/>
                      <w:lang w:val="en-US" w:eastAsia="zh-CN"/>
                    </w:rPr>
                    <w:t>达标</w:t>
                  </w:r>
                  <w:r>
                    <w:rPr>
                      <w:rFonts w:hint="default" w:ascii="Times New Roman" w:hAnsi="Times New Roman" w:eastAsia="宋体" w:cs="Times New Roman"/>
                      <w:color w:val="auto"/>
                      <w:sz w:val="18"/>
                      <w:szCs w:val="18"/>
                      <w:highlight w:val="none"/>
                    </w:rPr>
                    <w:t>后排入</w:t>
                  </w:r>
                  <w:r>
                    <w:rPr>
                      <w:rFonts w:hint="default" w:ascii="Times New Roman" w:hAnsi="Times New Roman" w:eastAsia="宋体" w:cs="Times New Roman"/>
                      <w:color w:val="auto"/>
                      <w:sz w:val="18"/>
                      <w:szCs w:val="18"/>
                      <w:highlight w:val="none"/>
                      <w:lang w:val="en-US" w:eastAsia="zh-CN"/>
                    </w:rPr>
                    <w:t>拉林河</w:t>
                  </w:r>
                  <w:r>
                    <w:rPr>
                      <w:rFonts w:hint="default" w:ascii="Times New Roman" w:hAnsi="Times New Roman" w:eastAsia="宋体" w:cs="Times New Roman"/>
                      <w:color w:val="auto"/>
                      <w:sz w:val="18"/>
                      <w:szCs w:val="18"/>
                      <w:highlight w:val="none"/>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锅炉排污水及软化处理废水</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z w:val="18"/>
                      <w:szCs w:val="18"/>
                      <w:highlight w:val="none"/>
                    </w:rPr>
                    <w:t>COD、溶解性总固体</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生产废水</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BOD</w:t>
                  </w:r>
                  <w:r>
                    <w:rPr>
                      <w:rFonts w:hint="default" w:ascii="Times New Roman" w:hAnsi="Times New Roman" w:eastAsia="宋体" w:cs="Times New Roman"/>
                      <w:color w:val="auto"/>
                      <w:kern w:val="21"/>
                      <w:sz w:val="18"/>
                      <w:szCs w:val="18"/>
                      <w:highlight w:val="none"/>
                      <w:vertAlign w:val="subscript"/>
                      <w:lang w:val="en-US" w:eastAsia="zh-CN"/>
                    </w:rPr>
                    <w:t>5</w:t>
                  </w:r>
                  <w:r>
                    <w:rPr>
                      <w:rFonts w:hint="default" w:ascii="Times New Roman" w:hAnsi="Times New Roman" w:eastAsia="宋体" w:cs="Times New Roman"/>
                      <w:color w:val="auto"/>
                      <w:kern w:val="21"/>
                      <w:sz w:val="18"/>
                      <w:szCs w:val="18"/>
                      <w:highlight w:val="none"/>
                      <w:vertAlign w:val="baseline"/>
                      <w:lang w:val="en-US" w:eastAsia="zh-CN"/>
                    </w:rPr>
                    <w:t>、总氮</w:t>
                  </w:r>
                  <w:r>
                    <w:rPr>
                      <w:rFonts w:hint="default" w:ascii="Times New Roman" w:hAnsi="Times New Roman" w:cs="Times New Roman"/>
                      <w:color w:val="auto"/>
                      <w:kern w:val="21"/>
                      <w:sz w:val="18"/>
                      <w:szCs w:val="18"/>
                      <w:highlight w:val="none"/>
                      <w:vertAlign w:val="baseline"/>
                      <w:lang w:val="en-US" w:eastAsia="zh-CN"/>
                    </w:rPr>
                    <w:t>、总磷</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9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41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安装消声器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固体废物</w:t>
                  </w:r>
                </w:p>
              </w:tc>
              <w:tc>
                <w:tcPr>
                  <w:tcW w:w="160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18"/>
                      <w:szCs w:val="18"/>
                      <w:lang w:val="en-US" w:eastAsia="zh-CN" w:bidi="ar-SA"/>
                    </w:rPr>
                  </w:pPr>
                  <w:r>
                    <w:rPr>
                      <w:rFonts w:hint="default" w:ascii="Times New Roman" w:hAnsi="Times New Roman" w:eastAsia="宋体" w:cs="Times New Roman"/>
                      <w:bCs/>
                      <w:color w:val="auto"/>
                      <w:sz w:val="18"/>
                      <w:szCs w:val="18"/>
                      <w:highlight w:val="none"/>
                      <w:lang w:val="en-US" w:eastAsia="zh-CN"/>
                    </w:rPr>
                    <w:t>员工</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生活垃圾</w:t>
                  </w:r>
                </w:p>
              </w:tc>
              <w:tc>
                <w:tcPr>
                  <w:tcW w:w="1090"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cs="Times New Roman"/>
                      <w:color w:val="auto"/>
                      <w:spacing w:val="0"/>
                      <w:sz w:val="18"/>
                      <w:szCs w:val="18"/>
                      <w:highlight w:val="none"/>
                    </w:rPr>
                    <w:t>间断</w:t>
                  </w: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市政部门定期清运处理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restar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bCs/>
                      <w:color w:val="auto"/>
                      <w:sz w:val="18"/>
                      <w:szCs w:val="18"/>
                      <w:highlight w:val="none"/>
                      <w:lang w:val="en-US" w:eastAsia="zh-CN"/>
                    </w:rPr>
                    <w:t>食堂</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rPr>
                    <w:t>餐馀废物</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餐馀废物</w:t>
                  </w:r>
                  <w:r>
                    <w:rPr>
                      <w:rFonts w:hint="default" w:ascii="Times New Roman" w:hAnsi="Times New Roman"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废油脂</w:t>
                  </w:r>
                  <w:r>
                    <w:rPr>
                      <w:rFonts w:hint="default" w:ascii="Times New Roman" w:hAnsi="Times New Roman" w:cs="Times New Roman"/>
                      <w:color w:val="auto"/>
                      <w:sz w:val="18"/>
                      <w:szCs w:val="18"/>
                      <w:highlight w:val="none"/>
                      <w:lang w:val="en-US" w:eastAsia="zh-CN"/>
                    </w:rPr>
                    <w:t>按《哈尔滨市城市餐厨废弃物管理办法》相关要求，由有资质单位处理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tabs>
                      <w:tab w:val="left" w:pos="327"/>
                    </w:tabs>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18"/>
                      <w:szCs w:val="18"/>
                      <w:lang w:val="en-US" w:eastAsia="zh-CN" w:bidi="ar-SA"/>
                    </w:rPr>
                  </w:pPr>
                </w:p>
              </w:tc>
              <w:tc>
                <w:tcPr>
                  <w:tcW w:w="1645"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rPr>
                    <w:t>废油脂</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交由厂家再生处理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bCs/>
                      <w:color w:val="auto"/>
                      <w:sz w:val="18"/>
                      <w:szCs w:val="18"/>
                      <w:highlight w:val="none"/>
                    </w:rPr>
                    <w:t>锅炉</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废离子交换树脂</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restar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生产</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rPr>
                    <w:t>废包装物</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外售综合利用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烟熏炉炉渣</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外售，综合利用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静电除尘器收尘</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加工废料</w:t>
                  </w:r>
                  <w:r>
                    <w:rPr>
                      <w:rFonts w:hint="default" w:ascii="Times New Roman" w:hAnsi="Times New Roman" w:cs="Times New Roman"/>
                      <w:color w:val="auto"/>
                      <w:sz w:val="18"/>
                      <w:szCs w:val="18"/>
                      <w:highlight w:val="none"/>
                      <w:lang w:val="en-US" w:eastAsia="zh-CN"/>
                    </w:rPr>
                    <w:t>及不合格品</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由市政部门统一处理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restart"/>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污水处理站</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污泥</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pacing w:val="0"/>
                      <w:kern w:val="2"/>
                      <w:sz w:val="18"/>
                      <w:szCs w:val="18"/>
                      <w:highlight w:val="none"/>
                      <w:lang w:val="en-US" w:eastAsia="zh-CN" w:bidi="ar-SA"/>
                    </w:rPr>
                    <w:t>由市政部门统一处理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605" w:type="dxa"/>
                  <w:vMerge w:val="continue"/>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eastAsia="宋体" w:cs="Times New Roman"/>
                      <w:color w:val="auto"/>
                      <w:sz w:val="18"/>
                      <w:szCs w:val="18"/>
                      <w:highlight w:val="none"/>
                      <w:lang w:val="en-US" w:eastAsia="zh-CN"/>
                    </w:rPr>
                    <w:t>废活性炭</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605" w:type="dxa"/>
                  <w:tcBorders>
                    <w:tl2br w:val="nil"/>
                    <w:tr2bl w:val="nil"/>
                  </w:tcBorders>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cs="Times New Roman"/>
                      <w:color w:val="auto"/>
                      <w:sz w:val="18"/>
                      <w:szCs w:val="18"/>
                      <w:highlight w:val="none"/>
                      <w:lang w:val="en-US" w:eastAsia="zh-CN"/>
                    </w:rPr>
                    <w:t>维修</w:t>
                  </w:r>
                </w:p>
              </w:tc>
              <w:tc>
                <w:tcPr>
                  <w:tcW w:w="1645"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lang w:val="en-US" w:eastAsia="zh-CN" w:bidi="ar-SA"/>
                    </w:rPr>
                  </w:pPr>
                  <w:r>
                    <w:rPr>
                      <w:rFonts w:hint="default" w:ascii="Times New Roman" w:hAnsi="Times New Roman" w:cs="Times New Roman"/>
                      <w:color w:val="auto"/>
                      <w:sz w:val="18"/>
                      <w:szCs w:val="18"/>
                      <w:highlight w:val="none"/>
                      <w:lang w:val="en-US" w:eastAsia="zh-CN"/>
                    </w:rPr>
                    <w:t>废机油</w:t>
                  </w:r>
                </w:p>
              </w:tc>
              <w:tc>
                <w:tcPr>
                  <w:tcW w:w="1090"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415"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有资质单位处置</w:t>
                  </w:r>
                </w:p>
              </w:tc>
            </w:tr>
          </w:tbl>
          <w:p>
            <w:pPr>
              <w:pStyle w:val="30"/>
              <w:keepNext w:val="0"/>
              <w:keepLines w:val="0"/>
              <w:suppressLineNumbers w:val="0"/>
              <w:spacing w:before="0" w:beforeAutospacing="0" w:after="0" w:afterAutospacing="0"/>
              <w:ind w:left="0" w:right="0"/>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8" w:hRule="atLeast"/>
          <w:jc w:val="center"/>
        </w:trPr>
        <w:tc>
          <w:tcPr>
            <w:tcW w:w="82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eastAsia"/>
                <w:color w:val="auto"/>
                <w:sz w:val="21"/>
                <w:szCs w:val="21"/>
                <w:highlight w:val="none"/>
              </w:rPr>
              <w:t>本项目为新建项目，</w:t>
            </w:r>
            <w:r>
              <w:rPr>
                <w:rFonts w:hint="eastAsia"/>
                <w:color w:val="auto"/>
                <w:sz w:val="21"/>
                <w:szCs w:val="21"/>
                <w:highlight w:val="none"/>
                <w:lang w:val="en-US" w:eastAsia="zh-CN"/>
              </w:rPr>
              <w:t>一期工程：1#厂房为新建厂房，并</w:t>
            </w:r>
            <w:r>
              <w:rPr>
                <w:rFonts w:hint="eastAsia" w:cs="Times New Roman"/>
                <w:color w:val="auto"/>
                <w:sz w:val="21"/>
                <w:szCs w:val="21"/>
                <w:highlight w:val="none"/>
                <w:lang w:val="en-US" w:eastAsia="zh-CN"/>
              </w:rPr>
              <w:t>利用</w:t>
            </w:r>
            <w:r>
              <w:rPr>
                <w:rFonts w:hint="default" w:ascii="Times New Roman" w:hAnsi="Times New Roman" w:eastAsia="宋体" w:cs="Times New Roman"/>
                <w:color w:val="auto"/>
                <w:sz w:val="21"/>
                <w:szCs w:val="21"/>
                <w:highlight w:val="none"/>
                <w:lang w:eastAsia="zh-CN"/>
              </w:rPr>
              <w:t>现有闲置</w:t>
            </w:r>
            <w:r>
              <w:rPr>
                <w:rFonts w:hint="eastAsia" w:cs="Times New Roman"/>
                <w:color w:val="auto"/>
                <w:sz w:val="21"/>
                <w:szCs w:val="21"/>
                <w:highlight w:val="none"/>
                <w:lang w:val="en-US" w:eastAsia="zh-CN"/>
              </w:rPr>
              <w:t>1#号楼</w:t>
            </w:r>
            <w:r>
              <w:rPr>
                <w:rFonts w:hint="default" w:ascii="Times New Roman" w:hAnsi="Times New Roman" w:eastAsia="宋体" w:cs="Times New Roman"/>
                <w:color w:val="auto"/>
                <w:sz w:val="21"/>
                <w:szCs w:val="21"/>
                <w:highlight w:val="none"/>
                <w:lang w:eastAsia="zh-CN"/>
              </w:rPr>
              <w:t>进行建设</w:t>
            </w:r>
            <w:r>
              <w:rPr>
                <w:rFonts w:hint="eastAsia" w:ascii="Times New Roman" w:hAnsi="Times New Roman" w:eastAsia="宋体" w:cs="Times New Roman"/>
                <w:color w:val="auto"/>
                <w:sz w:val="21"/>
                <w:szCs w:val="21"/>
                <w:highlight w:val="none"/>
                <w:lang w:eastAsia="zh-CN"/>
              </w:rPr>
              <w:t>及环保设备安装</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二期工程</w:t>
            </w:r>
            <w:r>
              <w:rPr>
                <w:rFonts w:hint="eastAsia" w:ascii="宋体" w:hAnsi="宋体" w:eastAsia="宋体" w:cs="宋体"/>
                <w:color w:val="auto"/>
                <w:sz w:val="21"/>
                <w:szCs w:val="21"/>
                <w:highlight w:val="none"/>
                <w:lang w:val="en-US" w:eastAsia="zh-CN"/>
              </w:rPr>
              <w:t>:新建</w:t>
            </w:r>
            <w:r>
              <w:rPr>
                <w:rFonts w:hint="eastAsia" w:cs="Times New Roman"/>
                <w:color w:val="auto"/>
                <w:kern w:val="21"/>
                <w:sz w:val="21"/>
                <w:szCs w:val="21"/>
                <w:highlight w:val="none"/>
                <w:lang w:val="en-US" w:eastAsia="zh-CN"/>
              </w:rPr>
              <w:t>2#厂房，无具体生产内容，故本项目</w:t>
            </w:r>
            <w:r>
              <w:rPr>
                <w:rFonts w:hint="default" w:ascii="Times New Roman" w:hAnsi="Times New Roman" w:eastAsia="宋体" w:cs="Times New Roman"/>
                <w:color w:val="auto"/>
                <w:sz w:val="21"/>
                <w:szCs w:val="21"/>
                <w:highlight w:val="none"/>
              </w:rPr>
              <w:t>无原有环境问题。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auto"/>
                <w:kern w:val="21"/>
                <w:szCs w:val="21"/>
                <w:highlight w:val="none"/>
                <w:lang w:val="en-US" w:eastAsia="zh-CN"/>
              </w:rPr>
            </w:pPr>
          </w:p>
        </w:tc>
      </w:tr>
    </w:tbl>
    <w:p>
      <w:pPr>
        <w:pStyle w:val="28"/>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pPr>
        <w:pStyle w:val="28"/>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5"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5"/>
    </w:p>
    <w:tbl>
      <w:tblPr>
        <w:tblStyle w:val="32"/>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2"/>
        <w:gridCol w:w="82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pPr>
              <w:keepNext w:val="0"/>
              <w:keepLines w:val="0"/>
              <w:numPr>
                <w:ilvl w:val="0"/>
                <w:numId w:val="7"/>
              </w:numPr>
              <w:suppressLineNumbers w:val="0"/>
              <w:spacing w:before="0" w:beforeAutospacing="0" w:after="0" w:afterAutospacing="0" w:line="360" w:lineRule="auto"/>
              <w:ind w:left="0" w:right="0" w:firstLine="422" w:firstLineChars="200"/>
              <w:rPr>
                <w:rFonts w:hint="default"/>
                <w:b/>
                <w:bCs/>
                <w:color w:val="auto"/>
                <w:highlight w:val="none"/>
              </w:rPr>
            </w:pPr>
            <w:r>
              <w:rPr>
                <w:rFonts w:hint="default"/>
                <w:b/>
                <w:bCs/>
                <w:color w:val="auto"/>
                <w:highlight w:val="none"/>
              </w:rPr>
              <w:t>大气环境</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highlight w:val="none"/>
              </w:rPr>
            </w:pPr>
            <w:r>
              <w:rPr>
                <w:rFonts w:hint="default"/>
                <w:color w:val="auto"/>
                <w:sz w:val="21"/>
                <w:highlight w:val="none"/>
              </w:rPr>
              <w:t>根据《</w:t>
            </w:r>
            <w:r>
              <w:rPr>
                <w:rFonts w:hint="eastAsia"/>
                <w:color w:val="auto"/>
                <w:sz w:val="21"/>
                <w:highlight w:val="none"/>
                <w:lang w:val="en-US" w:eastAsia="zh-CN"/>
              </w:rPr>
              <w:t>哈尔滨市生态环境质量报告书（2022年）</w:t>
            </w:r>
            <w:r>
              <w:rPr>
                <w:rFonts w:hint="default"/>
                <w:color w:val="auto"/>
                <w:sz w:val="21"/>
                <w:highlight w:val="none"/>
              </w:rPr>
              <w:t>》</w:t>
            </w:r>
            <w:r>
              <w:rPr>
                <w:rFonts w:hint="default"/>
                <w:color w:val="auto"/>
                <w:highlight w:val="none"/>
              </w:rPr>
              <w:t>中公布的数据。</w:t>
            </w:r>
            <w:r>
              <w:rPr>
                <w:rFonts w:hint="eastAsia"/>
                <w:color w:val="auto"/>
                <w:highlight w:val="none"/>
                <w:lang w:val="en-US" w:eastAsia="zh-CN"/>
              </w:rPr>
              <w:t>2022年哈尔滨市各项污染物年均浓度综合情况如下表。</w:t>
            </w:r>
          </w:p>
          <w:p>
            <w:pPr>
              <w:keepNext w:val="0"/>
              <w:keepLines w:val="0"/>
              <w:suppressLineNumbers w:val="0"/>
              <w:adjustRightInd w:val="0"/>
              <w:snapToGrid w:val="0"/>
              <w:spacing w:before="0" w:beforeAutospacing="0" w:after="0" w:afterAutospacing="0"/>
              <w:ind w:left="0" w:right="0"/>
              <w:jc w:val="center"/>
              <w:rPr>
                <w:rFonts w:hint="default"/>
                <w:b/>
                <w:bCs/>
                <w:color w:val="auto"/>
                <w:highlight w:val="none"/>
              </w:rPr>
            </w:pPr>
            <w:r>
              <w:rPr>
                <w:rFonts w:hint="default"/>
                <w:b/>
                <w:bCs/>
                <w:color w:val="auto"/>
                <w:highlight w:val="none"/>
              </w:rPr>
              <w:t>表3-</w:t>
            </w:r>
            <w:r>
              <w:rPr>
                <w:rFonts w:hint="eastAsia"/>
                <w:b/>
                <w:bCs/>
                <w:color w:val="auto"/>
                <w:highlight w:val="none"/>
                <w:lang w:val="en-US" w:eastAsia="zh-CN"/>
              </w:rPr>
              <w:t xml:space="preserve">1 </w:t>
            </w:r>
            <w:r>
              <w:rPr>
                <w:rFonts w:hint="default"/>
                <w:b/>
                <w:bCs/>
                <w:color w:val="auto"/>
                <w:highlight w:val="none"/>
              </w:rPr>
              <w:t>哈尔滨市202</w:t>
            </w:r>
            <w:r>
              <w:rPr>
                <w:rFonts w:hint="eastAsia"/>
                <w:b/>
                <w:bCs/>
                <w:color w:val="auto"/>
                <w:highlight w:val="none"/>
                <w:lang w:val="en-US" w:eastAsia="zh-CN"/>
              </w:rPr>
              <w:t>2</w:t>
            </w:r>
            <w:r>
              <w:rPr>
                <w:rFonts w:hint="default"/>
                <w:b/>
                <w:bCs/>
                <w:color w:val="auto"/>
                <w:highlight w:val="none"/>
              </w:rPr>
              <w:t>年环境空气质量统计表   单位：μg/m</w:t>
            </w:r>
            <w:r>
              <w:rPr>
                <w:rFonts w:hint="default"/>
                <w:b/>
                <w:bCs/>
                <w:color w:val="auto"/>
                <w:highlight w:val="none"/>
                <w:vertAlign w:val="superscript"/>
              </w:rPr>
              <w:t>3</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992"/>
              <w:gridCol w:w="1049"/>
              <w:gridCol w:w="830"/>
              <w:gridCol w:w="940"/>
              <w:gridCol w:w="119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年评价指标</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现状浓度</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占标率</w:t>
                  </w:r>
                  <w:r>
                    <w:rPr>
                      <w:rFonts w:hint="default" w:ascii="Times New Roman" w:hAnsi="Times New Roman" w:eastAsia="宋体" w:cs="Times New Roman"/>
                      <w:color w:val="auto"/>
                      <w:sz w:val="18"/>
                      <w:szCs w:val="18"/>
                      <w:highlight w:val="none"/>
                      <w:lang w:val="en-US" w:eastAsia="zh-CN"/>
                    </w:rPr>
                    <w:t>%</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37</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35</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105.7</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超标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57</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81.4</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w:t>
                  </w:r>
                  <w:r>
                    <w:rPr>
                      <w:rFonts w:hint="default" w:ascii="Times New Roman" w:hAnsi="Times New Roman" w:eastAsia="宋体" w:cs="Times New Roman"/>
                      <w:color w:val="auto"/>
                      <w:sz w:val="18"/>
                      <w:szCs w:val="18"/>
                      <w:highlight w:val="none"/>
                      <w:lang w:val="en-US" w:eastAsia="zh-CN"/>
                    </w:rPr>
                    <w:t>7.5</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cs="Times New Roman"/>
                      <w:color w:val="auto"/>
                      <w:sz w:val="18"/>
                      <w:szCs w:val="18"/>
                      <w:highlight w:val="none"/>
                      <w:lang w:val="en-US" w:eastAsia="zh-CN"/>
                    </w:rPr>
                    <w:t>4</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3</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第95百分位数日平均浓度（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eastAsia" w:ascii="Times New Roman" w:hAnsi="Times New Roman" w:eastAsia="宋体" w:cs="Times New Roman"/>
                      <w:color w:val="auto"/>
                      <w:sz w:val="18"/>
                      <w:szCs w:val="18"/>
                      <w:highlight w:val="none"/>
                      <w:vertAlign w:val="baseline"/>
                      <w:lang w:eastAsia="zh-CN"/>
                    </w:rPr>
                    <w:t>）</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30.0</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O</w:t>
                  </w:r>
                  <w:r>
                    <w:rPr>
                      <w:rFonts w:hint="eastAsia" w:cs="Times New Roman"/>
                      <w:color w:val="auto"/>
                      <w:sz w:val="18"/>
                      <w:szCs w:val="18"/>
                      <w:highlight w:val="none"/>
                      <w:vertAlign w:val="subscript"/>
                      <w:lang w:val="en-US" w:eastAsia="zh-CN"/>
                    </w:rPr>
                    <w:t>3</w:t>
                  </w:r>
                </w:p>
              </w:tc>
              <w:tc>
                <w:tcPr>
                  <w:tcW w:w="2979"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eastAsia"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p>
              </w:tc>
              <w:tc>
                <w:tcPr>
                  <w:tcW w:w="104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cs="Times New Roman"/>
                      <w:color w:val="auto"/>
                      <w:sz w:val="18"/>
                      <w:szCs w:val="18"/>
                      <w:highlight w:val="none"/>
                      <w:lang w:val="en-US" w:eastAsia="zh-CN"/>
                    </w:rPr>
                    <w:t>16</w:t>
                  </w:r>
                </w:p>
              </w:tc>
              <w:tc>
                <w:tcPr>
                  <w:tcW w:w="82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936"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72.5</w:t>
                  </w:r>
                </w:p>
              </w:tc>
              <w:tc>
                <w:tcPr>
                  <w:tcW w:w="1185" w:type="dxa"/>
                  <w:tcBorders>
                    <w:tl2br w:val="nil"/>
                    <w:tr2bl w:val="nil"/>
                  </w:tcBorders>
                  <w:vAlign w:val="center"/>
                </w:tcPr>
                <w:p>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yellow"/>
                <w:lang w:val="en-US" w:eastAsia="zh-CN"/>
              </w:rPr>
            </w:pPr>
            <w:r>
              <w:rPr>
                <w:rFonts w:hint="eastAsia" w:cs="Times New Roman"/>
                <w:color w:val="auto"/>
                <w:sz w:val="21"/>
                <w:szCs w:val="21"/>
                <w:highlight w:val="none"/>
                <w:lang w:val="en-US" w:eastAsia="zh-CN"/>
              </w:rPr>
              <w:t>由表3-1可知，2022年哈尔滨市空气基本污染物中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val="en-US" w:eastAsia="zh-CN"/>
              </w:rPr>
              <w:t>年平均质量浓度满足</w:t>
            </w:r>
            <w:r>
              <w:rPr>
                <w:rFonts w:hint="default" w:ascii="Times New Roman" w:hAnsi="Times New Roman" w:cs="Times New Roman"/>
                <w:color w:val="auto"/>
                <w:kern w:val="0"/>
                <w:sz w:val="21"/>
                <w:szCs w:val="21"/>
                <w:highlight w:val="none"/>
              </w:rPr>
              <w:t>《环境空气质量标准》（GB3095-2012）中的二级标准</w:t>
            </w:r>
            <w:r>
              <w:rPr>
                <w:rFonts w:hint="eastAsia"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eastAsia="宋体" w:cs="Times New Roman"/>
                <w:color w:val="auto"/>
                <w:sz w:val="21"/>
                <w:szCs w:val="21"/>
                <w:highlight w:val="none"/>
                <w:vertAlign w:val="baseline"/>
                <w:lang w:val="en-US" w:eastAsia="zh-CN"/>
              </w:rPr>
              <w:t>未达到二级标准；</w:t>
            </w:r>
            <w:r>
              <w:rPr>
                <w:rFonts w:hint="default" w:ascii="Times New Roman" w:hAnsi="Times New Roman" w:eastAsia="宋体" w:cs="Times New Roman"/>
                <w:color w:val="auto"/>
                <w:sz w:val="21"/>
                <w:szCs w:val="21"/>
                <w:highlight w:val="none"/>
              </w:rPr>
              <w:t>CO</w:t>
            </w:r>
            <w:r>
              <w:rPr>
                <w:rFonts w:hint="eastAsia" w:cs="Times New Roman"/>
                <w:color w:val="auto"/>
                <w:sz w:val="21"/>
                <w:szCs w:val="21"/>
                <w:highlight w:val="none"/>
                <w:lang w:val="en-US" w:eastAsia="zh-CN"/>
              </w:rPr>
              <w:t>第95百分位数日平均浓度、O</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eastAsia"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eastAsia" w:ascii="Times New Roman" w:hAnsi="Times New Roman" w:eastAsia="宋体"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eastAsia" w:ascii="Times New Roman" w:hAnsi="Times New Roman"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因此判定本项目区域环境空气质量为未达标区。</w:t>
            </w:r>
            <w:r>
              <w:rPr>
                <w:rFonts w:hint="eastAsia"/>
                <w:color w:val="auto"/>
                <w:kern w:val="0"/>
                <w:szCs w:val="21"/>
                <w:lang w:eastAsia="zh-CN"/>
              </w:rPr>
              <w:t>哈尔滨市环境空气污染主要为燃煤污染，机动车排放已成为第二大贡献源。臭氧成为仅次于细颗粒物的首要污染物：供</w:t>
            </w:r>
            <w:r>
              <w:rPr>
                <w:rFonts w:hint="default"/>
                <w:color w:val="auto"/>
                <w:kern w:val="0"/>
                <w:szCs w:val="21"/>
              </w:rPr>
              <w:t>暖期污染</w:t>
            </w:r>
            <w:r>
              <w:rPr>
                <w:rFonts w:hint="eastAsia"/>
                <w:color w:val="auto"/>
                <w:kern w:val="0"/>
                <w:szCs w:val="21"/>
                <w:lang w:eastAsia="zh-CN"/>
              </w:rPr>
              <w:t>明显高于非供暖期，冬春季污染明显高于夏秋季；中心城区污染重于周边区县，北部地区好于南部地区，香坊区、南岗区等周边低矮面源较多的点位污染相对较重。</w:t>
            </w:r>
          </w:p>
          <w:p>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szCs w:val="21"/>
                <w:highlight w:val="none"/>
                <w:lang w:val="en-US" w:eastAsia="zh-CN"/>
              </w:rPr>
              <w:t>其他</w:t>
            </w:r>
            <w:r>
              <w:rPr>
                <w:rFonts w:hint="default" w:ascii="Times New Roman" w:hAnsi="Times New Roman" w:cs="Times New Roman"/>
                <w:color w:val="auto"/>
                <w:szCs w:val="21"/>
                <w:highlight w:val="none"/>
              </w:rPr>
              <w:t>污染物</w:t>
            </w:r>
            <w:r>
              <w:rPr>
                <w:rFonts w:hint="eastAsia" w:ascii="Times New Roman" w:hAnsi="Times New Roman" w:cs="Times New Roman"/>
                <w:color w:val="auto"/>
                <w:szCs w:val="21"/>
                <w:highlight w:val="none"/>
                <w:lang w:eastAsia="zh-CN"/>
              </w:rPr>
              <w:t>：</w:t>
            </w: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本项目</w:t>
            </w:r>
            <w:r>
              <w:rPr>
                <w:rFonts w:hint="default" w:ascii="Times New Roman" w:hAnsi="Times New Roman" w:eastAsia="宋体" w:cs="Times New Roman"/>
                <w:color w:val="auto"/>
                <w:szCs w:val="21"/>
                <w:highlight w:val="none"/>
                <w:lang w:val="en-US" w:eastAsia="zh-CN"/>
              </w:rPr>
              <w:t>其他</w:t>
            </w:r>
            <w:r>
              <w:rPr>
                <w:rFonts w:hint="default" w:ascii="Times New Roman" w:hAnsi="Times New Roman" w:eastAsia="宋体" w:cs="Times New Roman"/>
                <w:color w:val="auto"/>
                <w:szCs w:val="21"/>
                <w:highlight w:val="none"/>
              </w:rPr>
              <w:t>污染物为总悬浮颗粒物，</w:t>
            </w:r>
            <w:r>
              <w:rPr>
                <w:rFonts w:hint="default" w:ascii="Times New Roman" w:hAnsi="Times New Roman" w:eastAsia="宋体" w:cs="Times New Roman"/>
                <w:color w:val="auto"/>
                <w:szCs w:val="21"/>
                <w:highlight w:val="none"/>
                <w:lang w:val="en-US" w:eastAsia="zh-CN"/>
              </w:rPr>
              <w:t>引用</w:t>
            </w:r>
            <w:r>
              <w:rPr>
                <w:rFonts w:hint="default" w:ascii="Times New Roman" w:hAnsi="Times New Roman" w:eastAsia="宋体" w:cs="Times New Roman"/>
                <w:color w:val="auto"/>
              </w:rPr>
              <w:t>黑龙江克巽检测技术有限公司</w:t>
            </w:r>
            <w:r>
              <w:rPr>
                <w:rFonts w:hint="default" w:ascii="Times New Roman" w:hAnsi="Times New Roman" w:eastAsia="宋体" w:cs="Times New Roman"/>
                <w:color w:val="auto"/>
                <w:szCs w:val="21"/>
                <w:highlight w:val="none"/>
              </w:rPr>
              <w:t>于</w:t>
            </w:r>
            <w:r>
              <w:rPr>
                <w:rFonts w:hint="default" w:ascii="Times New Roman" w:hAnsi="Times New Roman" w:eastAsia="宋体" w:cs="Times New Roman"/>
                <w:color w:val="auto"/>
                <w:szCs w:val="21"/>
                <w:highlight w:val="none"/>
                <w:lang w:val="en-US" w:eastAsia="zh-CN"/>
              </w:rPr>
              <w:t>2023年6月8日出具的《</w:t>
            </w:r>
            <w:r>
              <w:rPr>
                <w:rFonts w:hint="default" w:ascii="Times New Roman" w:hAnsi="Times New Roman" w:eastAsia="宋体" w:cs="Times New Roman"/>
                <w:color w:val="auto"/>
              </w:rPr>
              <w:t>哈尔滨美鎏建筑石材加工有限公司碎石加工项目</w:t>
            </w:r>
            <w:r>
              <w:rPr>
                <w:rFonts w:hint="default" w:ascii="Times New Roman" w:hAnsi="Times New Roman" w:eastAsia="宋体" w:cs="Times New Roman"/>
                <w:color w:val="auto"/>
                <w:szCs w:val="21"/>
                <w:highlight w:val="none"/>
                <w:lang w:val="en-US" w:eastAsia="zh-CN"/>
              </w:rPr>
              <w:t>检测报告》（报告编号：</w:t>
            </w:r>
            <w:r>
              <w:rPr>
                <w:rFonts w:hint="default" w:ascii="Times New Roman" w:hAnsi="Times New Roman" w:eastAsia="宋体" w:cs="Times New Roman"/>
                <w:color w:val="auto"/>
              </w:rPr>
              <w:t>HKX0123059101</w:t>
            </w:r>
            <w:r>
              <w:rPr>
                <w:rFonts w:hint="default" w:ascii="Times New Roman" w:hAnsi="Times New Roman" w:eastAsia="宋体" w:cs="Times New Roman"/>
                <w:color w:val="auto"/>
                <w:szCs w:val="21"/>
                <w:highlight w:val="none"/>
                <w:lang w:val="en-US" w:eastAsia="zh-CN"/>
              </w:rPr>
              <w:t>），</w:t>
            </w:r>
            <w:r>
              <w:rPr>
                <w:rFonts w:hint="default" w:ascii="Times New Roman" w:hAnsi="Times New Roman" w:cs="Times New Roman"/>
                <w:color w:val="auto"/>
                <w:szCs w:val="21"/>
                <w:highlight w:val="none"/>
                <w:lang w:val="en-US" w:eastAsia="zh-CN"/>
              </w:rPr>
              <w:t>监测点位位于本项目的东北</w:t>
            </w:r>
            <w:r>
              <w:rPr>
                <w:rFonts w:hint="eastAsia" w:ascii="Times New Roman" w:hAnsi="Times New Roman" w:cs="Times New Roman"/>
                <w:color w:val="auto"/>
                <w:szCs w:val="21"/>
                <w:highlight w:val="none"/>
                <w:lang w:val="en-US" w:eastAsia="zh-CN"/>
              </w:rPr>
              <w:t>426</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lang w:val="en-US" w:eastAsia="zh-CN"/>
              </w:rPr>
              <w:t>米处。</w:t>
            </w:r>
            <w:r>
              <w:rPr>
                <w:rFonts w:hint="default" w:ascii="Times New Roman" w:hAnsi="Times New Roman" w:cs="Times New Roman"/>
                <w:color w:val="auto"/>
                <w:szCs w:val="21"/>
                <w:highlight w:val="none"/>
              </w:rPr>
              <w:t>202</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年</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月</w:t>
            </w:r>
            <w:r>
              <w:rPr>
                <w:rFonts w:hint="default" w:ascii="Times New Roman" w:hAnsi="Times New Roman" w:cs="Times New Roman"/>
                <w:color w:val="auto"/>
                <w:szCs w:val="21"/>
                <w:highlight w:val="none"/>
                <w:lang w:val="en-US" w:eastAsia="zh-CN"/>
              </w:rPr>
              <w:t>31</w:t>
            </w:r>
            <w:r>
              <w:rPr>
                <w:rFonts w:hint="default" w:ascii="Times New Roman" w:hAnsi="Times New Roman" w:cs="Times New Roman"/>
                <w:color w:val="auto"/>
                <w:szCs w:val="21"/>
                <w:highlight w:val="none"/>
              </w:rPr>
              <w:t>日~</w:t>
            </w:r>
            <w:r>
              <w:rPr>
                <w:rFonts w:hint="default"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rPr>
              <w:t>月</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日对项目所在区域进行监测，TSP连续监测24小时，监测点位见图3-</w:t>
            </w: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w:t>
            </w: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Cs w:val="21"/>
                <w:highlight w:val="none"/>
              </w:rPr>
            </w:pPr>
          </w:p>
          <w:p>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szCs w:val="21"/>
                <w:highlight w:val="none"/>
                <w:lang w:val="en-US" w:eastAsia="zh-CN"/>
              </w:rPr>
            </w:pP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color w:val="auto"/>
                <w:kern w:val="0"/>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3909060</wp:posOffset>
                      </wp:positionH>
                      <wp:positionV relativeFrom="paragraph">
                        <wp:posOffset>1677035</wp:posOffset>
                      </wp:positionV>
                      <wp:extent cx="845820" cy="694055"/>
                      <wp:effectExtent l="4445" t="4445" r="6985" b="6350"/>
                      <wp:wrapNone/>
                      <wp:docPr id="1" name="文本框 1"/>
                      <wp:cNvGraphicFramePr/>
                      <a:graphic xmlns:a="http://schemas.openxmlformats.org/drawingml/2006/main">
                        <a:graphicData uri="http://schemas.microsoft.com/office/word/2010/wordprocessingShape">
                          <wps:wsp>
                            <wps:cNvSpPr txBox="1"/>
                            <wps:spPr>
                              <a:xfrm>
                                <a:off x="0" y="0"/>
                                <a:ext cx="845820" cy="6940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18"/>
                                      <w:szCs w:val="18"/>
                                      <w:lang w:eastAsia="zh-CN"/>
                                    </w:rPr>
                                  </w:pPr>
                                  <w:r>
                                    <w:rPr>
                                      <w:rFonts w:hint="eastAsia"/>
                                      <w:sz w:val="18"/>
                                      <w:szCs w:val="18"/>
                                      <w:lang w:eastAsia="zh-CN"/>
                                    </w:rPr>
                                    <w:t>图例</w:t>
                                  </w:r>
                                </w:p>
                                <w:p>
                                  <w:pPr>
                                    <w:jc w:val="center"/>
                                    <w:rPr>
                                      <w:rFonts w:hint="eastAsia"/>
                                      <w:sz w:val="18"/>
                                      <w:szCs w:val="18"/>
                                      <w:lang w:eastAsia="zh-CN"/>
                                    </w:rPr>
                                  </w:pPr>
                                  <w:r>
                                    <w:rPr>
                                      <w:rFonts w:hint="eastAsia"/>
                                      <w:color w:val="FF0000"/>
                                      <w:sz w:val="18"/>
                                      <w:szCs w:val="18"/>
                                      <w:lang w:eastAsia="zh-CN"/>
                                    </w:rPr>
                                    <w:t>○</w:t>
                                  </w:r>
                                </w:p>
                                <w:p>
                                  <w:pPr>
                                    <w:jc w:val="center"/>
                                    <w:rPr>
                                      <w:rFonts w:hint="eastAsia" w:eastAsia="宋体"/>
                                      <w:lang w:eastAsia="zh-CN"/>
                                    </w:rPr>
                                  </w:pPr>
                                  <w:r>
                                    <w:rPr>
                                      <w:rFonts w:hint="eastAsia"/>
                                      <w:sz w:val="18"/>
                                      <w:szCs w:val="18"/>
                                      <w:lang w:eastAsia="zh-CN"/>
                                    </w:rPr>
                                    <w:t>监测点位</w:t>
                                  </w:r>
                                </w:p>
                              </w:txbxContent>
                            </wps:txbx>
                            <wps:bodyPr upright="1"/>
                          </wps:wsp>
                        </a:graphicData>
                      </a:graphic>
                    </wp:anchor>
                  </w:drawing>
                </mc:Choice>
                <mc:Fallback>
                  <w:pict>
                    <v:shape id="_x0000_s1026" o:spid="_x0000_s1026" o:spt="202" type="#_x0000_t202" style="position:absolute;left:0pt;margin-left:307.8pt;margin-top:132.05pt;height:54.65pt;width:66.6pt;z-index:251675648;mso-width-relative:page;mso-height-relative:page;" fillcolor="#FFFFFF" filled="t" stroked="t" coordsize="21600,21600" o:gfxdata="UEsDBAoAAAAAAIdO4kAAAAAAAAAAAAAAAAAEAAAAZHJzL1BLAwQUAAAACACHTuJATHhoK9sAAAAL&#10;AQAADwAAAGRycy9kb3ducmV2LnhtbE2PwU7DMBBE70j8g7VIXBB10gQnhDg9IIHgVkpVrm68TSLi&#10;dbDdtPw95gTH1T7NvKlXZzOyGZ0fLElIFwkwpNbqgToJ2/en2xKYD4q0Gi2hhG/0sGouL2pVaXui&#10;N5w3oWMxhHylJPQhTBXnvu3RKL+wE1L8HawzKsTTdVw7dYrhZuTLJBHcqIFiQ68mfOyx/dwcjYQy&#10;f5k//Gu23rXiMN6Hm2J+/nJSXl+lyQOwgOfwB8OvflSHJjrt7ZG0Z6MEkd6JiEpYijwFFokiL+OY&#10;vYSsyHLgTc3/b2h+AFBLAwQUAAAACACHTuJAKJ0y8QkCAAA1BAAADgAAAGRycy9lMm9Eb2MueG1s&#10;rVPNjtMwEL4j8Q6W7zRptV11o6YrQSkXBEgLD+DaTmLJf/K4TfoC8AacuHDnufocjJ3S/WEPPWwO&#10;ztjz+ZuZb8bL28FospcBlLM1nU5KSqTlTijb1vTb182bBSUQmRVMOytrepBAb1evXy17X8mZ65wW&#10;MhAksVD1vqZdjL4qCuCdNAwmzkuLzsYFwyJuQ1uIwHpkN7qYleV10bsgfHBcAuDpenTSE2O4hNA1&#10;jeJy7fjOSBtH1iA1i1gSdMoDXeVsm0by+LlpQEaia4qVxrxiELS3aS1WS1a1gflO8VMK7JIUntRk&#10;mLIY9Ey1ZpGRXVD/URnFgwPXxAl3phgLyYpgFdPyiTZ3HfMy14JSgz+LDi9Hyz/tvwSiBE4CJZYZ&#10;bPjx54/jrz/H39/JNMnTe6gQdecRF4e3bkjQ0zngYap6aIJJf6yHoB/FPZzFlUMkHA8XV/PFDD0c&#10;Xdc3V+V8nliK+8s+QPwgnSHJqGnA3mVJ2f4jxBH6D5JigdNKbJTWeRPa7TsdyJ5hnzf5O7E/gmlL&#10;+prezGdzzIPh8DY4NGgajwKAbXO8RzfgIXGZv+eIU2JrBt2YQGZIMFYZFWXIVieZeG8FiQePIlt8&#10;WzQlY6SgREt8isnKyMiUvgSJ2mmLEqYOjZ1IVhy2A9Ikc+vEAbu280G1HUqa+5bhOE1Z+9Pkp3F9&#10;uM+k96999R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MeGgr2wAAAAsBAAAPAAAAAAAAAAEAIAAA&#10;ACIAAABkcnMvZG93bnJldi54bWxQSwECFAAUAAAACACHTuJAKJ0y8QkCAAA1BAAADgAAAAAAAAAB&#10;ACAAAAAqAQAAZHJzL2Uyb0RvYy54bWxQSwUGAAAAAAYABgBZAQAApQUAAAAA&#10;">
                      <v:fill on="t" focussize="0,0"/>
                      <v:stroke color="#000000" joinstyle="miter"/>
                      <v:imagedata o:title=""/>
                      <o:lock v:ext="edit" aspectratio="f"/>
                      <v:textbox>
                        <w:txbxContent>
                          <w:p>
                            <w:pPr>
                              <w:jc w:val="center"/>
                              <w:rPr>
                                <w:rFonts w:hint="eastAsia"/>
                                <w:sz w:val="18"/>
                                <w:szCs w:val="18"/>
                                <w:lang w:eastAsia="zh-CN"/>
                              </w:rPr>
                            </w:pPr>
                            <w:r>
                              <w:rPr>
                                <w:rFonts w:hint="eastAsia"/>
                                <w:sz w:val="18"/>
                                <w:szCs w:val="18"/>
                                <w:lang w:eastAsia="zh-CN"/>
                              </w:rPr>
                              <w:t>图例</w:t>
                            </w:r>
                          </w:p>
                          <w:p>
                            <w:pPr>
                              <w:jc w:val="center"/>
                              <w:rPr>
                                <w:rFonts w:hint="eastAsia"/>
                                <w:sz w:val="18"/>
                                <w:szCs w:val="18"/>
                                <w:lang w:eastAsia="zh-CN"/>
                              </w:rPr>
                            </w:pPr>
                            <w:r>
                              <w:rPr>
                                <w:rFonts w:hint="eastAsia"/>
                                <w:color w:val="FF0000"/>
                                <w:sz w:val="18"/>
                                <w:szCs w:val="18"/>
                                <w:lang w:eastAsia="zh-CN"/>
                              </w:rPr>
                              <w:t>○</w:t>
                            </w:r>
                          </w:p>
                          <w:p>
                            <w:pPr>
                              <w:jc w:val="center"/>
                              <w:rPr>
                                <w:rFonts w:hint="eastAsia" w:eastAsia="宋体"/>
                                <w:lang w:eastAsia="zh-CN"/>
                              </w:rPr>
                            </w:pPr>
                            <w:r>
                              <w:rPr>
                                <w:rFonts w:hint="eastAsia"/>
                                <w:sz w:val="18"/>
                                <w:szCs w:val="18"/>
                                <w:lang w:eastAsia="zh-CN"/>
                              </w:rPr>
                              <w:t>监测点位</w:t>
                            </w:r>
                          </w:p>
                        </w:txbxContent>
                      </v:textbox>
                    </v:shape>
                  </w:pict>
                </mc:Fallback>
              </mc:AlternateContent>
            </w:r>
            <w:r>
              <w:rPr>
                <w:rFonts w:hint="default" w:ascii="Times New Roman" w:hAnsi="Times New Roman" w:cs="Times New Roman"/>
                <w:b/>
                <w:color w:val="auto"/>
                <w:kern w:val="0"/>
                <w:highlight w:val="none"/>
              </w:rPr>
              <w:drawing>
                <wp:inline distT="0" distB="0" distL="114300" distR="114300">
                  <wp:extent cx="4486275" cy="2385695"/>
                  <wp:effectExtent l="0" t="0" r="9525" b="14605"/>
                  <wp:docPr id="12" name="图片 12" descr="引用监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引用监测"/>
                          <pic:cNvPicPr>
                            <a:picLocks noChangeAspect="1"/>
                          </pic:cNvPicPr>
                        </pic:nvPicPr>
                        <pic:blipFill>
                          <a:blip r:embed="rId21"/>
                          <a:stretch>
                            <a:fillRect/>
                          </a:stretch>
                        </pic:blipFill>
                        <pic:spPr>
                          <a:xfrm>
                            <a:off x="0" y="0"/>
                            <a:ext cx="4486275" cy="2385695"/>
                          </a:xfrm>
                          <a:prstGeom prst="rect">
                            <a:avLst/>
                          </a:prstGeom>
                        </pic:spPr>
                      </pic:pic>
                    </a:graphicData>
                  </a:graphic>
                </wp:inline>
              </w:drawing>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kern w:val="0"/>
                <w:highlight w:val="none"/>
                <w:lang w:eastAsia="zh-CN"/>
              </w:rPr>
            </w:pPr>
            <w:r>
              <w:rPr>
                <w:rFonts w:hint="default" w:ascii="Times New Roman" w:hAnsi="Times New Roman" w:cs="Times New Roman"/>
                <w:b/>
                <w:color w:val="auto"/>
                <w:kern w:val="0"/>
                <w:highlight w:val="none"/>
              </w:rPr>
              <w:t>图3-</w:t>
            </w:r>
            <w:r>
              <w:rPr>
                <w:rFonts w:hint="default" w:ascii="Times New Roman" w:hAnsi="Times New Roman" w:cs="Times New Roman"/>
                <w:b/>
                <w:color w:val="auto"/>
                <w:kern w:val="0"/>
                <w:highlight w:val="none"/>
                <w:lang w:val="en-US" w:eastAsia="zh-CN"/>
              </w:rPr>
              <w:t>1</w:t>
            </w:r>
            <w:r>
              <w:rPr>
                <w:rFonts w:hint="eastAsia" w:cs="Times New Roman"/>
                <w:b/>
                <w:color w:val="auto"/>
                <w:kern w:val="0"/>
                <w:highlight w:val="none"/>
                <w:lang w:val="en-US" w:eastAsia="zh-CN"/>
              </w:rPr>
              <w:t xml:space="preserve"> </w:t>
            </w:r>
            <w:r>
              <w:rPr>
                <w:rFonts w:hint="default" w:ascii="Times New Roman" w:hAnsi="Times New Roman" w:cs="Times New Roman"/>
                <w:b/>
                <w:color w:val="auto"/>
                <w:kern w:val="0"/>
                <w:highlight w:val="none"/>
              </w:rPr>
              <w:t>大气监测点位图</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监测点基本信息见表3-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，评价结果见表3-</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rPr>
              <w:t xml:space="preserve"> 监测点基本信息表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1583"/>
              <w:gridCol w:w="1042"/>
              <w:gridCol w:w="1288"/>
              <w:gridCol w:w="1350"/>
              <w:gridCol w:w="15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8" w:type="dxa"/>
                  <w:tcBorders>
                    <w:top w:val="single" w:color="auto" w:sz="8"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1583"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坐标</w:t>
                  </w:r>
                </w:p>
              </w:tc>
              <w:tc>
                <w:tcPr>
                  <w:tcW w:w="1042"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监测因子</w:t>
                  </w:r>
                </w:p>
              </w:tc>
              <w:tc>
                <w:tcPr>
                  <w:tcW w:w="1288"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监测时段</w:t>
                  </w:r>
                </w:p>
              </w:tc>
              <w:tc>
                <w:tcPr>
                  <w:tcW w:w="1350" w:type="dxa"/>
                  <w:tcBorders>
                    <w:top w:val="single" w:color="auto" w:sz="8"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相对厂址方位</w:t>
                  </w:r>
                </w:p>
              </w:tc>
              <w:tc>
                <w:tcPr>
                  <w:tcW w:w="1576" w:type="dxa"/>
                  <w:tcBorders>
                    <w:top w:val="single" w:color="auto" w:sz="8" w:space="0"/>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8" w:type="dxa"/>
                  <w:tcBorders>
                    <w:top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1583" w:type="dxa"/>
                  <w:tcBorders>
                    <w:top w:val="single" w:color="auto" w:sz="4" w:space="0"/>
                    <w:left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E126.33775788°</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N45.35341191°</w:t>
                  </w:r>
                </w:p>
              </w:tc>
              <w:tc>
                <w:tcPr>
                  <w:tcW w:w="104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TSP</w:t>
                  </w:r>
                </w:p>
              </w:tc>
              <w:tc>
                <w:tcPr>
                  <w:tcW w:w="12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24小时平均</w:t>
                  </w:r>
                </w:p>
              </w:tc>
              <w:tc>
                <w:tcPr>
                  <w:tcW w:w="1350" w:type="dxa"/>
                  <w:tcBorders>
                    <w:top w:val="single" w:color="auto" w:sz="4" w:space="0"/>
                    <w:left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SW</w:t>
                  </w:r>
                </w:p>
              </w:tc>
              <w:tc>
                <w:tcPr>
                  <w:tcW w:w="1576" w:type="dxa"/>
                  <w:tcBorders>
                    <w:top w:val="single" w:color="auto" w:sz="4" w:space="0"/>
                    <w:left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4226</w:t>
                  </w:r>
                </w:p>
              </w:tc>
            </w:tr>
          </w:tbl>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color w:val="auto"/>
                <w:highlight w:val="none"/>
              </w:rPr>
            </w:pP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3</w:t>
            </w:r>
            <w:r>
              <w:rPr>
                <w:rFonts w:hint="eastAsia"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监测结果</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1"/>
              <w:gridCol w:w="800"/>
              <w:gridCol w:w="1587"/>
              <w:gridCol w:w="1588"/>
              <w:gridCol w:w="1325"/>
              <w:gridCol w:w="987"/>
              <w:gridCol w:w="93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80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w:t>
                  </w:r>
                </w:p>
              </w:tc>
              <w:tc>
                <w:tcPr>
                  <w:tcW w:w="15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评价标准（μg/m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5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浓度范围（μg/m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3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最大占标率%</w:t>
                  </w:r>
                </w:p>
              </w:tc>
              <w:tc>
                <w:tcPr>
                  <w:tcW w:w="9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超标率%</w:t>
                  </w:r>
                </w:p>
              </w:tc>
              <w:tc>
                <w:tcPr>
                  <w:tcW w:w="93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1#</w:t>
                  </w:r>
                </w:p>
              </w:tc>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w:t>
                  </w:r>
                </w:p>
              </w:tc>
              <w:tc>
                <w:tcPr>
                  <w:tcW w:w="158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15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145</w:t>
                  </w:r>
                  <w:r>
                    <w:rPr>
                      <w:rFonts w:hint="default" w:ascii="Times New Roman" w:hAnsi="Times New Roman" w:eastAsia="宋体" w:cs="Times New Roman"/>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160</w:t>
                  </w:r>
                </w:p>
              </w:tc>
              <w:tc>
                <w:tcPr>
                  <w:tcW w:w="132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53</w:t>
                  </w:r>
                </w:p>
              </w:tc>
              <w:tc>
                <w:tcPr>
                  <w:tcW w:w="98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p>
              </w:tc>
              <w:tc>
                <w:tcPr>
                  <w:tcW w:w="93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pPr>
              <w:keepNext w:val="0"/>
              <w:keepLines w:val="0"/>
              <w:suppressLineNumbers w:val="0"/>
              <w:spacing w:before="0" w:beforeAutospacing="0" w:after="0" w:afterAutospacing="0" w:line="360" w:lineRule="auto"/>
              <w:ind w:left="0" w:right="0" w:firstLine="420" w:firstLineChars="200"/>
              <w:rPr>
                <w:rFonts w:hint="default"/>
                <w:color w:val="auto"/>
              </w:rPr>
            </w:pPr>
            <w:r>
              <w:rPr>
                <w:rFonts w:hint="default" w:ascii="Times New Roman" w:hAnsi="Times New Roman" w:cs="Times New Roman"/>
                <w:color w:val="auto"/>
                <w:highlight w:val="none"/>
              </w:rPr>
              <w:t>由上表可以看出，本项目TSP24小时平均浓度值满足《环境空气质量标准》（GB3095-2012）及其修改单二级标准要求，区域环境空气质量良好。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w:t>
            </w:r>
            <w:r>
              <w:rPr>
                <w:rFonts w:hint="default" w:ascii="Times New Roman" w:hAnsi="Times New Roman" w:cs="Times New Roman"/>
                <w:color w:val="auto"/>
                <w:sz w:val="21"/>
                <w:highlight w:val="none"/>
              </w:rPr>
              <w:t>《</w:t>
            </w:r>
            <w:r>
              <w:rPr>
                <w:rFonts w:hint="default" w:ascii="Times New Roman" w:hAnsi="Times New Roman" w:cs="Times New Roman"/>
                <w:color w:val="auto"/>
                <w:sz w:val="21"/>
                <w:highlight w:val="none"/>
                <w:lang w:val="en-US" w:eastAsia="zh-CN"/>
              </w:rPr>
              <w:t>哈尔滨市生态环境质量报告书（2022年）</w:t>
            </w:r>
            <w:r>
              <w:rPr>
                <w:rFonts w:hint="default" w:ascii="Times New Roman" w:hAnsi="Times New Roman" w:cs="Times New Roman"/>
                <w:color w:val="auto"/>
                <w:sz w:val="21"/>
                <w:highlight w:val="none"/>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2022年，松花江</w:t>
            </w:r>
            <w:r>
              <w:rPr>
                <w:rFonts w:hint="default" w:ascii="Times New Roman" w:hAnsi="Times New Roman" w:cs="Times New Roman"/>
                <w:color w:val="auto"/>
                <w:kern w:val="0"/>
                <w:sz w:val="21"/>
                <w:szCs w:val="21"/>
                <w:highlight w:val="none"/>
                <w:lang w:val="en-US" w:eastAsia="zh-CN" w:bidi="ar"/>
              </w:rPr>
              <w:t>哈尔滨段12条主要一级支流总体状况为良，按12条河流进行评价，Ⅱ类水质河流比例16.7%、Ⅲ类66.7%、Ⅳ类8.3%、Ⅴ类8.3%，同比上升25.0个百分点，水质状况总体好转</w:t>
            </w:r>
            <w:r>
              <w:rPr>
                <w:rFonts w:hint="default" w:ascii="Times New Roman" w:hAnsi="Times New Roman" w:eastAsia="宋体" w:cs="Times New Roman"/>
                <w:color w:val="auto"/>
                <w:kern w:val="0"/>
                <w:sz w:val="21"/>
                <w:szCs w:val="21"/>
                <w:highlight w:val="non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本项目所在区域水体为</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eastAsia="宋体" w:cs="Times New Roman"/>
                <w:color w:val="auto"/>
                <w:sz w:val="21"/>
                <w:szCs w:val="21"/>
                <w:highlight w:val="none"/>
              </w:rPr>
              <w:t>。根据</w:t>
            </w:r>
            <w:r>
              <w:rPr>
                <w:rFonts w:hint="default" w:ascii="Times New Roman" w:hAnsi="Times New Roman" w:cs="Times New Roman"/>
                <w:color w:val="auto"/>
                <w:sz w:val="21"/>
                <w:highlight w:val="none"/>
              </w:rPr>
              <w:t>《</w:t>
            </w:r>
            <w:r>
              <w:rPr>
                <w:rFonts w:hint="default" w:ascii="Times New Roman" w:hAnsi="Times New Roman" w:cs="Times New Roman"/>
                <w:color w:val="auto"/>
                <w:sz w:val="21"/>
                <w:highlight w:val="none"/>
                <w:lang w:val="en-US" w:eastAsia="zh-CN"/>
              </w:rPr>
              <w:t>哈尔滨市生态环境质量报告书（2022年）</w:t>
            </w:r>
            <w:r>
              <w:rPr>
                <w:rFonts w:hint="default" w:ascii="Times New Roman" w:hAnsi="Times New Roman" w:cs="Times New Roman"/>
                <w:color w:val="auto"/>
                <w:sz w:val="21"/>
                <w:highlight w:val="none"/>
              </w:rPr>
              <w:t>》</w:t>
            </w:r>
            <w:r>
              <w:rPr>
                <w:rFonts w:hint="default" w:ascii="Times New Roman" w:hAnsi="Times New Roman" w:cs="Times New Roman"/>
                <w:color w:val="auto"/>
                <w:sz w:val="21"/>
                <w:highlight w:val="none"/>
                <w:lang w:val="en-US" w:eastAsia="zh-CN"/>
              </w:rPr>
              <w:t>松花江主要一级支流水质状况表（表7-3）</w:t>
            </w:r>
            <w:r>
              <w:rPr>
                <w:rFonts w:hint="default" w:ascii="Times New Roman" w:hAnsi="Times New Roman" w:cs="Times New Roman"/>
                <w:color w:val="auto"/>
                <w:sz w:val="21"/>
                <w:szCs w:val="21"/>
                <w:highlight w:val="none"/>
                <w:lang w:val="en-US" w:eastAsia="zh-CN"/>
              </w:rPr>
              <w:t>可知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拉林河水质状况为</w:t>
            </w:r>
            <w:r>
              <w:rPr>
                <w:rFonts w:hint="default" w:ascii="Times New Roman" w:hAnsi="Times New Roman" w:cs="Times New Roman"/>
                <w:color w:val="auto"/>
                <w:kern w:val="0"/>
                <w:sz w:val="21"/>
                <w:szCs w:val="21"/>
                <w:highlight w:val="none"/>
                <w:lang w:val="en-US" w:eastAsia="zh-CN" w:bidi="ar"/>
              </w:rPr>
              <w:t>Ⅲ类</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主要关注污染指标为高锰酸盐指数、氨氮、化学需氧量和总磷，</w:t>
            </w:r>
            <w:r>
              <w:rPr>
                <w:rFonts w:hint="default" w:ascii="Times New Roman" w:hAnsi="Times New Roman" w:eastAsia="宋体" w:cs="Times New Roman"/>
                <w:color w:val="auto"/>
                <w:sz w:val="21"/>
                <w:szCs w:val="21"/>
                <w:highlight w:val="none"/>
                <w:lang w:val="en-US" w:eastAsia="zh-CN"/>
              </w:rPr>
              <w:t>均达到</w:t>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t>类标准</w:t>
            </w:r>
            <w:r>
              <w:rPr>
                <w:rFonts w:hint="default" w:ascii="Times New Roman" w:hAnsi="Times New Roman" w:eastAsia="宋体" w:cs="Times New Roman"/>
                <w:color w:val="auto"/>
                <w:sz w:val="21"/>
                <w:szCs w:val="21"/>
                <w:highlight w:val="none"/>
                <w:lang w:val="en-US" w:eastAsia="zh-CN"/>
              </w:rPr>
              <w:t>浓度限值。</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highlight w:val="none"/>
                <w:lang w:val="en-US"/>
              </w:rPr>
            </w:pPr>
            <w:r>
              <w:rPr>
                <w:rFonts w:hint="default" w:ascii="Times New Roman" w:hAnsi="Times New Roman" w:eastAsia="宋体" w:cs="Times New Roman"/>
                <w:color w:val="auto"/>
                <w:sz w:val="21"/>
                <w:highlight w:val="none"/>
              </w:rPr>
              <w:t>根据《</w:t>
            </w:r>
            <w:r>
              <w:rPr>
                <w:rFonts w:hint="default" w:ascii="Times New Roman" w:hAnsi="Times New Roman" w:eastAsia="宋体" w:cs="Times New Roman"/>
                <w:color w:val="auto"/>
                <w:sz w:val="21"/>
                <w:highlight w:val="none"/>
                <w:lang w:val="en-US" w:eastAsia="zh-CN"/>
              </w:rPr>
              <w:t>哈尔滨市生态环境质量报告书（2022年）</w:t>
            </w:r>
            <w:r>
              <w:rPr>
                <w:rFonts w:hint="default" w:ascii="Times New Roman" w:hAnsi="Times New Roman" w:eastAsia="宋体" w:cs="Times New Roman"/>
                <w:color w:val="auto"/>
                <w:sz w:val="21"/>
                <w:highlight w:val="none"/>
              </w:rPr>
              <w:t>》数据可知，</w:t>
            </w: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kern w:val="0"/>
                <w:sz w:val="21"/>
                <w:szCs w:val="21"/>
                <w:highlight w:val="none"/>
                <w:lang w:val="en-US" w:eastAsia="zh-CN" w:bidi="ar"/>
              </w:rPr>
              <w:t>哈尔滨市城区区域声环境质量为较好（二级），等效声级范围为43.9-75.4分贝，平均等效声级为52.5分贝，比上年降低4.1分贝；2022年哈尔滨市城区道路交通声环境昼间平均等效声级为67.5分贝，总体评价为好（一级）；2022年哈尔滨是城区各类功能区昼间达标78点次，占昼间监测点次的97.5%，夜间达标69点次，占夜间监测点次的86.2%。</w:t>
            </w: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厂界外周边50米范围内无声环境保护目标。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pPr>
              <w:keepNext w:val="0"/>
              <w:keepLines w:val="0"/>
              <w:suppressLineNumbers w:val="0"/>
              <w:spacing w:before="0" w:beforeAutospacing="0" w:after="0" w:afterAutospacing="0" w:line="360" w:lineRule="auto"/>
              <w:ind w:left="0" w:right="0" w:firstLine="420" w:firstLineChars="200"/>
              <w:jc w:val="left"/>
              <w:rPr>
                <w:rFonts w:hint="eastAsia" w:eastAsia="宋体"/>
                <w:color w:val="auto"/>
                <w:highlight w:val="none"/>
                <w:lang w:val="en-US" w:eastAsia="zh-CN"/>
              </w:rPr>
            </w:pPr>
            <w:r>
              <w:rPr>
                <w:rFonts w:hint="eastAsia"/>
                <w:color w:val="auto"/>
                <w:kern w:val="0"/>
                <w:szCs w:val="21"/>
                <w:highlight w:val="none"/>
                <w:lang w:val="en-US" w:eastAsia="zh-CN"/>
              </w:rPr>
              <w:t>本项目位于哈尔滨市双城经济开发区食品园区内</w:t>
            </w:r>
            <w:r>
              <w:rPr>
                <w:rFonts w:hint="eastAsia" w:cs="Times New Roman"/>
                <w:bCs/>
                <w:color w:val="auto"/>
                <w:szCs w:val="21"/>
                <w:highlight w:val="none"/>
                <w:lang w:val="en-US" w:eastAsia="zh-CN"/>
              </w:rPr>
              <w:t>，</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本项目厂界外500米范围内无地下水集中式饮用水水源和热水、矿泉水、温泉等特殊地下水资源；无自然保护区、风景名胜区及农村地区中人群较集中的区域</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50米范围内无声环境保护目标；本项目500米范围内</w:t>
            </w:r>
            <w:r>
              <w:rPr>
                <w:rFonts w:hint="eastAsia" w:cs="Times New Roman"/>
                <w:bCs/>
                <w:color w:val="auto"/>
                <w:szCs w:val="21"/>
                <w:highlight w:val="none"/>
                <w:lang w:val="en-US" w:eastAsia="zh-CN"/>
              </w:rPr>
              <w:t>无</w:t>
            </w:r>
            <w:r>
              <w:rPr>
                <w:rFonts w:hint="default" w:ascii="Times New Roman" w:hAnsi="Times New Roman" w:eastAsia="宋体" w:cs="Times New Roman"/>
                <w:bCs/>
                <w:color w:val="auto"/>
                <w:szCs w:val="21"/>
                <w:highlight w:val="none"/>
              </w:rPr>
              <w:t>大气环境保护目标</w:t>
            </w:r>
            <w:r>
              <w:rPr>
                <w:rFonts w:hint="eastAsia" w:cs="Times New Roman"/>
                <w:bCs/>
                <w:color w:val="auto"/>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52"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pPr>
              <w:pStyle w:val="90"/>
              <w:keepNext w:val="0"/>
              <w:keepLines w:val="0"/>
              <w:numPr>
                <w:ilvl w:val="0"/>
                <w:numId w:val="8"/>
              </w:numPr>
              <w:suppressLineNumbers w:val="0"/>
              <w:spacing w:before="0" w:beforeAutospacing="0" w:after="0" w:afterAutospacing="0" w:line="360" w:lineRule="auto"/>
              <w:ind w:left="0" w:right="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Cs w:val="21"/>
                <w:highlight w:val="none"/>
              </w:rPr>
            </w:pPr>
            <w:r>
              <w:rPr>
                <w:rFonts w:hint="default"/>
                <w:color w:val="auto"/>
                <w:szCs w:val="21"/>
                <w:highlight w:val="none"/>
              </w:rPr>
              <w:t>施工期：扬尘污染物执行《大气污染物综合排放标准》（GB16297-1996）表2中无组织排放监控浓度限值，具体见表3-</w:t>
            </w:r>
            <w:r>
              <w:rPr>
                <w:rFonts w:hint="eastAsia"/>
                <w:color w:val="auto"/>
                <w:szCs w:val="21"/>
                <w:highlight w:val="none"/>
                <w:lang w:val="en-US" w:eastAsia="zh-CN"/>
              </w:rPr>
              <w:t>4</w:t>
            </w:r>
            <w:r>
              <w:rPr>
                <w:rFonts w:hint="default"/>
                <w:color w:val="auto"/>
                <w:szCs w:val="21"/>
                <w:highlight w:val="none"/>
              </w:rPr>
              <w:t>。</w:t>
            </w:r>
          </w:p>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表3-</w:t>
            </w:r>
            <w:r>
              <w:rPr>
                <w:rFonts w:hint="eastAsia"/>
                <w:b/>
                <w:color w:val="auto"/>
                <w:szCs w:val="21"/>
                <w:highlight w:val="none"/>
                <w:lang w:val="en-US" w:eastAsia="zh-CN"/>
              </w:rPr>
              <w:t>4</w:t>
            </w:r>
            <w:r>
              <w:rPr>
                <w:rFonts w:hint="default"/>
                <w:b/>
                <w:color w:val="auto"/>
                <w:szCs w:val="21"/>
                <w:highlight w:val="none"/>
              </w:rPr>
              <w:t>大气污染物排放标准</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2719"/>
              <w:gridCol w:w="35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污染物</w:t>
                  </w:r>
                </w:p>
              </w:tc>
              <w:tc>
                <w:tcPr>
                  <w:tcW w:w="5933"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无组织排放监控点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p>
              </w:tc>
              <w:tc>
                <w:tcPr>
                  <w:tcW w:w="257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监控点</w:t>
                  </w:r>
                </w:p>
              </w:tc>
              <w:tc>
                <w:tcPr>
                  <w:tcW w:w="33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浓度限值（mg/m</w:t>
                  </w:r>
                  <w:r>
                    <w:rPr>
                      <w:rFonts w:hint="default"/>
                      <w:color w:val="auto"/>
                      <w:sz w:val="18"/>
                      <w:szCs w:val="18"/>
                      <w:highlight w:val="none"/>
                      <w:vertAlign w:val="superscript"/>
                    </w:rPr>
                    <w:t>3</w:t>
                  </w:r>
                  <w:r>
                    <w:rPr>
                      <w:rFonts w:hint="default"/>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总悬浮颗粒物</w:t>
                  </w:r>
                </w:p>
              </w:tc>
              <w:tc>
                <w:tcPr>
                  <w:tcW w:w="257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周界外浓度最高点</w:t>
                  </w:r>
                </w:p>
              </w:tc>
              <w:tc>
                <w:tcPr>
                  <w:tcW w:w="33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1.0</w:t>
                  </w:r>
                </w:p>
              </w:tc>
            </w:tr>
          </w:tbl>
          <w:p>
            <w:pPr>
              <w:pStyle w:val="90"/>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360" w:lineRule="auto"/>
              <w:ind w:left="0" w:right="0" w:rightChars="0" w:firstLine="420" w:firstLineChars="200"/>
              <w:jc w:val="both"/>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运营期：</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20" w:firstLineChars="200"/>
              <w:rPr>
                <w:rFonts w:hint="eastAsia" w:eastAsia="宋体"/>
                <w:bCs/>
                <w:color w:val="auto"/>
                <w:sz w:val="21"/>
                <w:szCs w:val="21"/>
                <w:highlight w:val="none"/>
                <w:lang w:val="en-US" w:eastAsia="zh-CN"/>
              </w:rPr>
            </w:pPr>
            <w:r>
              <w:rPr>
                <w:rFonts w:hint="eastAsia"/>
                <w:color w:val="auto"/>
                <w:sz w:val="21"/>
                <w:szCs w:val="21"/>
                <w:highlight w:val="none"/>
                <w:lang w:eastAsia="zh-CN"/>
              </w:rPr>
              <w:t>燃气蒸汽锅炉</w:t>
            </w:r>
            <w:r>
              <w:rPr>
                <w:rFonts w:hint="default"/>
                <w:color w:val="auto"/>
                <w:sz w:val="21"/>
                <w:szCs w:val="21"/>
                <w:highlight w:val="none"/>
              </w:rPr>
              <w:t>废气执行《锅炉大气污染物排放标准》（GB13271-2014）</w:t>
            </w:r>
            <w:r>
              <w:rPr>
                <w:rFonts w:hint="eastAsia" w:ascii="宋体" w:hAnsi="宋体" w:cs="宋体"/>
                <w:color w:val="auto"/>
                <w:kern w:val="0"/>
                <w:sz w:val="21"/>
                <w:szCs w:val="21"/>
                <w:highlight w:val="none"/>
              </w:rPr>
              <w:t>表</w:t>
            </w:r>
            <w:r>
              <w:rPr>
                <w:rFonts w:hint="default"/>
                <w:color w:val="auto"/>
                <w:sz w:val="21"/>
                <w:szCs w:val="21"/>
                <w:highlight w:val="none"/>
              </w:rPr>
              <w:t>2</w:t>
            </w:r>
            <w:r>
              <w:rPr>
                <w:rFonts w:hint="eastAsia"/>
                <w:color w:val="auto"/>
                <w:sz w:val="21"/>
                <w:szCs w:val="21"/>
                <w:highlight w:val="none"/>
                <w:lang w:val="en-US" w:eastAsia="zh-CN"/>
              </w:rPr>
              <w:t>燃气标准限值要求</w:t>
            </w:r>
            <w:r>
              <w:rPr>
                <w:rFonts w:hint="eastAsia"/>
                <w:color w:val="auto"/>
                <w:sz w:val="21"/>
                <w:szCs w:val="21"/>
                <w:highlight w:val="none"/>
                <w:lang w:eastAsia="zh-CN"/>
              </w:rPr>
              <w:t>。</w:t>
            </w:r>
          </w:p>
          <w:p>
            <w:pPr>
              <w:keepNext w:val="0"/>
              <w:keepLines w:val="0"/>
              <w:suppressLineNumbers w:val="0"/>
              <w:spacing w:before="0" w:beforeAutospacing="0" w:after="0" w:afterAutospacing="0"/>
              <w:ind w:left="0" w:right="0"/>
              <w:jc w:val="center"/>
              <w:rPr>
                <w:rFonts w:hint="default"/>
                <w:b/>
                <w:bCs/>
                <w:color w:val="auto"/>
                <w:kern w:val="0"/>
                <w:szCs w:val="20"/>
                <w:highlight w:val="none"/>
              </w:rPr>
            </w:pPr>
            <w:r>
              <w:rPr>
                <w:rFonts w:hint="default"/>
                <w:b/>
                <w:bCs/>
                <w:color w:val="auto"/>
                <w:kern w:val="0"/>
                <w:szCs w:val="20"/>
                <w:highlight w:val="none"/>
              </w:rPr>
              <w:t>表3-</w:t>
            </w:r>
            <w:r>
              <w:rPr>
                <w:rFonts w:hint="eastAsia"/>
                <w:b/>
                <w:bCs/>
                <w:color w:val="auto"/>
                <w:kern w:val="0"/>
                <w:szCs w:val="20"/>
                <w:highlight w:val="none"/>
                <w:lang w:val="en-US" w:eastAsia="zh-CN"/>
              </w:rPr>
              <w:t>5</w:t>
            </w:r>
            <w:r>
              <w:rPr>
                <w:rFonts w:hint="default"/>
                <w:b/>
                <w:bCs/>
                <w:color w:val="auto"/>
                <w:kern w:val="0"/>
                <w:szCs w:val="20"/>
                <w:highlight w:val="none"/>
              </w:rPr>
              <w:t xml:space="preserve"> 锅炉大气污染物排放浓度限值一览表  单位：mg/m</w:t>
            </w:r>
            <w:r>
              <w:rPr>
                <w:rFonts w:hint="default"/>
                <w:b/>
                <w:bCs/>
                <w:color w:val="auto"/>
                <w:kern w:val="0"/>
                <w:szCs w:val="20"/>
                <w:highlight w:val="none"/>
                <w:vertAlign w:val="superscript"/>
              </w:rPr>
              <w:t>3</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80"/>
              <w:gridCol w:w="34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污染物项目</w:t>
                  </w:r>
                </w:p>
              </w:tc>
              <w:tc>
                <w:tcPr>
                  <w:tcW w:w="343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燃气锅炉排放限值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颗粒物</w:t>
                  </w:r>
                </w:p>
              </w:tc>
              <w:tc>
                <w:tcPr>
                  <w:tcW w:w="343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SO</w:t>
                  </w:r>
                  <w:r>
                    <w:rPr>
                      <w:rFonts w:hint="default" w:ascii="Times New Roman" w:hAnsi="Times New Roman"/>
                      <w:color w:val="auto"/>
                      <w:sz w:val="18"/>
                      <w:szCs w:val="18"/>
                      <w:highlight w:val="none"/>
                      <w:vertAlign w:val="subscript"/>
                      <w:lang w:val="en-US" w:eastAsia="zh-CN"/>
                    </w:rPr>
                    <w:t>2</w:t>
                  </w:r>
                </w:p>
              </w:tc>
              <w:tc>
                <w:tcPr>
                  <w:tcW w:w="343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NOx</w:t>
                  </w:r>
                </w:p>
              </w:tc>
              <w:tc>
                <w:tcPr>
                  <w:tcW w:w="343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eastAsia" w:ascii="Times New Roman" w:hAnsi="Times New Roman"/>
                      <w:color w:val="auto"/>
                      <w:sz w:val="18"/>
                      <w:szCs w:val="18"/>
                      <w:highlight w:val="none"/>
                      <w:lang w:val="en-US" w:eastAsia="zh-CN"/>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烟气黑度（林格曼黑度，级）</w:t>
                  </w:r>
                </w:p>
              </w:tc>
              <w:tc>
                <w:tcPr>
                  <w:tcW w:w="343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olor w:val="auto"/>
                      <w:sz w:val="18"/>
                      <w:szCs w:val="18"/>
                      <w:highlight w:val="none"/>
                      <w:lang w:val="en-US" w:eastAsia="zh-CN"/>
                    </w:rPr>
                  </w:pPr>
                  <w:r>
                    <w:rPr>
                      <w:rFonts w:hint="default" w:ascii="Times New Roman" w:hAnsi="Times New Roman"/>
                      <w:color w:val="auto"/>
                      <w:sz w:val="18"/>
                      <w:szCs w:val="18"/>
                      <w:highlight w:val="none"/>
                      <w:lang w:val="en-US" w:eastAsia="zh-CN"/>
                    </w:rPr>
                    <w:t>≤1</w:t>
                  </w:r>
                </w:p>
              </w:tc>
            </w:tr>
          </w:tbl>
          <w:p>
            <w:pPr>
              <w:pStyle w:val="144"/>
              <w:keepNext w:val="0"/>
              <w:keepLines w:val="0"/>
              <w:suppressLineNumbers w:val="0"/>
              <w:spacing w:before="0" w:beforeAutospacing="0" w:after="0" w:afterAutospacing="0" w:line="360" w:lineRule="auto"/>
              <w:ind w:left="0" w:right="0" w:firstLine="480"/>
              <w:rPr>
                <w:rFonts w:hint="default"/>
                <w:color w:val="auto"/>
                <w:sz w:val="21"/>
                <w:szCs w:val="21"/>
                <w:highlight w:val="none"/>
                <w:lang w:val="en-US" w:eastAsia="zh-CN"/>
              </w:rPr>
            </w:pPr>
            <w:r>
              <w:rPr>
                <w:rFonts w:hint="default"/>
                <w:snapToGrid w:val="0"/>
                <w:color w:val="auto"/>
                <w:sz w:val="21"/>
                <w:szCs w:val="21"/>
                <w:highlight w:val="none"/>
                <w:lang w:val="en-US" w:eastAsia="zh-CN"/>
              </w:rPr>
              <w:t>污水处理站项目运营期有组织排放的恶臭速率满足《恶臭污染物排放标准》（GB14554-93）中</w:t>
            </w:r>
            <w:r>
              <w:rPr>
                <w:rFonts w:hint="eastAsia"/>
                <w:snapToGrid w:val="0"/>
                <w:color w:val="auto"/>
                <w:sz w:val="21"/>
                <w:szCs w:val="21"/>
                <w:highlight w:val="none"/>
                <w:lang w:val="en-US" w:eastAsia="zh-CN"/>
              </w:rPr>
              <w:t>表2标准</w:t>
            </w:r>
            <w:r>
              <w:rPr>
                <w:rFonts w:hint="default"/>
                <w:snapToGrid w:val="0"/>
                <w:color w:val="auto"/>
                <w:sz w:val="21"/>
                <w:szCs w:val="21"/>
                <w:highlight w:val="none"/>
                <w:lang w:val="en-US" w:eastAsia="zh-CN"/>
              </w:rPr>
              <w:t>对应排放速率的要求；厂界恶臭浓度满足《恶臭污染物排放标准》（GB14554-93）表1中二级新改扩建标准</w:t>
            </w:r>
            <w:r>
              <w:rPr>
                <w:rFonts w:hint="default"/>
                <w:color w:val="auto"/>
                <w:sz w:val="21"/>
                <w:szCs w:val="21"/>
                <w:highlight w:val="none"/>
                <w:lang w:val="en-US" w:eastAsia="zh-CN"/>
              </w:rPr>
              <w:t>。烟熏炉产生的异味（臭气浓度）</w:t>
            </w:r>
            <w:r>
              <w:rPr>
                <w:rFonts w:hint="default"/>
                <w:snapToGrid w:val="0"/>
                <w:color w:val="auto"/>
                <w:sz w:val="21"/>
                <w:szCs w:val="21"/>
                <w:highlight w:val="none"/>
                <w:lang w:val="en-US" w:eastAsia="zh-CN"/>
              </w:rPr>
              <w:t>执行《恶臭污染物排放标准》（GB14554-93）表</w:t>
            </w:r>
            <w:r>
              <w:rPr>
                <w:rFonts w:hint="eastAsia"/>
                <w:snapToGrid w:val="0"/>
                <w:color w:val="auto"/>
                <w:sz w:val="21"/>
                <w:szCs w:val="21"/>
                <w:highlight w:val="none"/>
                <w:lang w:val="en-US" w:eastAsia="zh-CN"/>
              </w:rPr>
              <w:t>2标准</w:t>
            </w:r>
            <w:r>
              <w:rPr>
                <w:rFonts w:hint="default"/>
                <w:snapToGrid w:val="0"/>
                <w:color w:val="auto"/>
                <w:sz w:val="21"/>
                <w:szCs w:val="21"/>
                <w:highlight w:val="none"/>
                <w:lang w:val="en-US" w:eastAsia="zh-CN"/>
              </w:rPr>
              <w:t>限值要求</w:t>
            </w:r>
            <w:r>
              <w:rPr>
                <w:rFonts w:hint="default"/>
                <w:color w:val="auto"/>
                <w:sz w:val="21"/>
                <w:szCs w:val="21"/>
                <w:highlight w:val="none"/>
                <w:lang w:val="en-US" w:eastAsia="zh-CN"/>
              </w:rPr>
              <w:t>。</w:t>
            </w:r>
          </w:p>
          <w:p>
            <w:pPr>
              <w:keepNext w:val="0"/>
              <w:keepLines w:val="0"/>
              <w:suppressLineNumbers w:val="0"/>
              <w:spacing w:before="0" w:beforeAutospacing="0" w:after="0" w:afterAutospacing="0"/>
              <w:ind w:left="0" w:right="0"/>
              <w:jc w:val="center"/>
              <w:rPr>
                <w:rFonts w:hint="default"/>
                <w:b/>
                <w:bCs/>
                <w:color w:val="auto"/>
                <w:kern w:val="0"/>
                <w:sz w:val="21"/>
                <w:szCs w:val="21"/>
                <w:highlight w:val="none"/>
                <w:lang w:val="zh-CN"/>
              </w:rPr>
            </w:pPr>
            <w:r>
              <w:rPr>
                <w:rFonts w:hint="default"/>
                <w:b/>
                <w:bCs/>
                <w:color w:val="auto"/>
                <w:kern w:val="0"/>
                <w:sz w:val="21"/>
                <w:szCs w:val="21"/>
                <w:highlight w:val="none"/>
                <w:lang w:val="zh-CN"/>
              </w:rPr>
              <w:t>表</w:t>
            </w:r>
            <w:r>
              <w:rPr>
                <w:rFonts w:hint="default"/>
                <w:b/>
                <w:bCs/>
                <w:color w:val="auto"/>
                <w:kern w:val="0"/>
                <w:sz w:val="21"/>
                <w:szCs w:val="21"/>
                <w:highlight w:val="none"/>
              </w:rPr>
              <w:t xml:space="preserve"> 3-</w:t>
            </w:r>
            <w:r>
              <w:rPr>
                <w:rFonts w:hint="eastAsia"/>
                <w:b/>
                <w:bCs/>
                <w:color w:val="auto"/>
                <w:kern w:val="0"/>
                <w:sz w:val="21"/>
                <w:szCs w:val="21"/>
                <w:highlight w:val="none"/>
                <w:lang w:val="en-US" w:eastAsia="zh-CN"/>
              </w:rPr>
              <w:t>6</w:t>
            </w:r>
            <w:r>
              <w:rPr>
                <w:rFonts w:hint="default"/>
                <w:b/>
                <w:bCs/>
                <w:color w:val="auto"/>
                <w:kern w:val="0"/>
                <w:sz w:val="21"/>
                <w:szCs w:val="21"/>
                <w:highlight w:val="none"/>
              </w:rPr>
              <w:t xml:space="preserve"> </w:t>
            </w:r>
            <w:r>
              <w:rPr>
                <w:rFonts w:hint="default"/>
                <w:b/>
                <w:bCs/>
                <w:color w:val="auto"/>
                <w:kern w:val="0"/>
                <w:sz w:val="21"/>
                <w:szCs w:val="21"/>
                <w:highlight w:val="none"/>
                <w:lang w:val="zh-CN"/>
              </w:rPr>
              <w:t>废气污染物排放标准一览表</w:t>
            </w:r>
          </w:p>
          <w:tbl>
            <w:tblPr>
              <w:tblStyle w:val="32"/>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3752"/>
              <w:gridCol w:w="297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污染因子</w:t>
                  </w:r>
                </w:p>
              </w:tc>
              <w:tc>
                <w:tcPr>
                  <w:tcW w:w="2334"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标准值</w:t>
                  </w:r>
                </w:p>
              </w:tc>
              <w:tc>
                <w:tcPr>
                  <w:tcW w:w="1852"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硫化氢</w:t>
                  </w:r>
                </w:p>
              </w:tc>
              <w:tc>
                <w:tcPr>
                  <w:tcW w:w="2334"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H=15m，0.33kg/h</w:t>
                  </w:r>
                </w:p>
              </w:tc>
              <w:tc>
                <w:tcPr>
                  <w:tcW w:w="1852" w:type="pct"/>
                  <w:vMerge w:val="restar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《恶臭污染物排放标准》（GB14554-93）表2标准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氨</w:t>
                  </w:r>
                </w:p>
              </w:tc>
              <w:tc>
                <w:tcPr>
                  <w:tcW w:w="2334" w:type="pc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lang w:val="zh-CN"/>
                    </w:rPr>
                    <w:t>H=15m，4.9kg/h</w:t>
                  </w:r>
                </w:p>
              </w:tc>
              <w:tc>
                <w:tcPr>
                  <w:tcW w:w="1852" w:type="pct"/>
                  <w:vMerge w:val="continue"/>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臭气浓度</w:t>
                  </w:r>
                </w:p>
              </w:tc>
              <w:tc>
                <w:tcPr>
                  <w:tcW w:w="2334"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H=15m，2000</w:t>
                  </w:r>
                </w:p>
              </w:tc>
              <w:tc>
                <w:tcPr>
                  <w:tcW w:w="1852" w:type="pct"/>
                  <w:vMerge w:val="continue"/>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硫化氢</w:t>
                  </w:r>
                </w:p>
              </w:tc>
              <w:tc>
                <w:tcPr>
                  <w:tcW w:w="2334"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0.06mg/m</w:t>
                  </w:r>
                  <w:r>
                    <w:rPr>
                      <w:rFonts w:hint="default"/>
                      <w:snapToGrid w:val="0"/>
                      <w:color w:val="auto"/>
                      <w:sz w:val="18"/>
                      <w:szCs w:val="18"/>
                      <w:highlight w:val="none"/>
                      <w:vertAlign w:val="superscript"/>
                    </w:rPr>
                    <w:t>3</w:t>
                  </w:r>
                </w:p>
              </w:tc>
              <w:tc>
                <w:tcPr>
                  <w:tcW w:w="1852" w:type="pct"/>
                  <w:vMerge w:val="restart"/>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r>
                    <w:rPr>
                      <w:rFonts w:hint="default"/>
                      <w:snapToGrid w:val="0"/>
                      <w:color w:val="auto"/>
                      <w:kern w:val="0"/>
                      <w:sz w:val="18"/>
                      <w:szCs w:val="18"/>
                      <w:highlight w:val="none"/>
                    </w:rPr>
                    <w:t>厂界浓度执行《恶臭污染物排放标准》（GB14554-93）表1中二级新改扩建标准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氨</w:t>
                  </w:r>
                </w:p>
              </w:tc>
              <w:tc>
                <w:tcPr>
                  <w:tcW w:w="2334"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1.5mg/m</w:t>
                  </w:r>
                  <w:r>
                    <w:rPr>
                      <w:rFonts w:hint="default"/>
                      <w:snapToGrid w:val="0"/>
                      <w:color w:val="auto"/>
                      <w:sz w:val="18"/>
                      <w:szCs w:val="18"/>
                      <w:highlight w:val="none"/>
                      <w:vertAlign w:val="superscript"/>
                    </w:rPr>
                    <w:t>3</w:t>
                  </w:r>
                </w:p>
              </w:tc>
              <w:tc>
                <w:tcPr>
                  <w:tcW w:w="1852" w:type="pct"/>
                  <w:vMerge w:val="continue"/>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臭气浓度</w:t>
                  </w:r>
                </w:p>
              </w:tc>
              <w:tc>
                <w:tcPr>
                  <w:tcW w:w="2334" w:type="pct"/>
                  <w:noWrap w:val="0"/>
                  <w:vAlign w:val="center"/>
                </w:tcPr>
                <w:p>
                  <w:pPr>
                    <w:pStyle w:val="143"/>
                    <w:keepNext w:val="0"/>
                    <w:keepLines w:val="0"/>
                    <w:suppressLineNumbers w:val="0"/>
                    <w:spacing w:before="0" w:beforeAutospacing="0" w:after="0" w:afterAutospacing="0"/>
                    <w:ind w:left="0" w:right="0"/>
                    <w:jc w:val="center"/>
                    <w:rPr>
                      <w:rFonts w:hint="default"/>
                      <w:snapToGrid w:val="0"/>
                      <w:color w:val="auto"/>
                      <w:sz w:val="18"/>
                      <w:szCs w:val="18"/>
                      <w:highlight w:val="none"/>
                    </w:rPr>
                  </w:pPr>
                  <w:r>
                    <w:rPr>
                      <w:rFonts w:hint="default"/>
                      <w:snapToGrid w:val="0"/>
                      <w:color w:val="auto"/>
                      <w:sz w:val="18"/>
                      <w:szCs w:val="18"/>
                      <w:highlight w:val="none"/>
                    </w:rPr>
                    <w:t>20（无量纲）</w:t>
                  </w:r>
                </w:p>
              </w:tc>
              <w:tc>
                <w:tcPr>
                  <w:tcW w:w="1852" w:type="pct"/>
                  <w:vMerge w:val="continue"/>
                  <w:noWrap w:val="0"/>
                  <w:vAlign w:val="center"/>
                </w:tcPr>
                <w:p>
                  <w:pPr>
                    <w:keepNext w:val="0"/>
                    <w:keepLines w:val="0"/>
                    <w:suppressLineNumbers w:val="0"/>
                    <w:spacing w:before="0" w:beforeAutospacing="0" w:after="0" w:afterAutospacing="0"/>
                    <w:ind w:left="0" w:right="0"/>
                    <w:jc w:val="center"/>
                    <w:rPr>
                      <w:rFonts w:hint="default"/>
                      <w:snapToGrid w:val="0"/>
                      <w:color w:val="auto"/>
                      <w:kern w:val="0"/>
                      <w:sz w:val="18"/>
                      <w:szCs w:val="18"/>
                      <w:highlight w:val="none"/>
                      <w:lang w:val="zh-CN"/>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eastAsia="宋体"/>
                <w:color w:val="auto"/>
                <w:kern w:val="0"/>
                <w:sz w:val="21"/>
                <w:szCs w:val="21"/>
                <w:highlight w:val="none"/>
                <w:lang w:val="en-US" w:eastAsia="zh-CN"/>
              </w:rPr>
            </w:pPr>
            <w:r>
              <w:rPr>
                <w:rFonts w:hint="default"/>
                <w:bCs/>
                <w:color w:val="auto"/>
                <w:kern w:val="0"/>
                <w:sz w:val="21"/>
                <w:szCs w:val="21"/>
                <w:highlight w:val="none"/>
              </w:rPr>
              <w:t>本项目</w:t>
            </w:r>
            <w:r>
              <w:rPr>
                <w:rFonts w:hint="eastAsia"/>
                <w:bCs/>
                <w:color w:val="auto"/>
                <w:kern w:val="0"/>
                <w:sz w:val="21"/>
                <w:szCs w:val="21"/>
                <w:highlight w:val="none"/>
                <w:lang w:val="en-US" w:eastAsia="zh-CN"/>
              </w:rPr>
              <w:t>烟熏</w:t>
            </w:r>
            <w:r>
              <w:rPr>
                <w:rFonts w:hint="default"/>
                <w:bCs/>
                <w:color w:val="auto"/>
                <w:kern w:val="0"/>
                <w:sz w:val="21"/>
                <w:szCs w:val="21"/>
                <w:highlight w:val="none"/>
              </w:rPr>
              <w:t>炉燃烧</w:t>
            </w:r>
            <w:r>
              <w:rPr>
                <w:rFonts w:hint="eastAsia"/>
                <w:bCs/>
                <w:color w:val="auto"/>
                <w:kern w:val="0"/>
                <w:sz w:val="21"/>
                <w:szCs w:val="21"/>
                <w:highlight w:val="none"/>
                <w:lang w:val="en-US" w:eastAsia="zh-CN"/>
              </w:rPr>
              <w:t>果木粒</w:t>
            </w:r>
            <w:r>
              <w:rPr>
                <w:rFonts w:hint="default"/>
                <w:bCs/>
                <w:color w:val="auto"/>
                <w:kern w:val="0"/>
                <w:sz w:val="21"/>
                <w:szCs w:val="21"/>
                <w:highlight w:val="none"/>
              </w:rPr>
              <w:t>产生的废气执行国家</w:t>
            </w:r>
            <w:r>
              <w:rPr>
                <w:rFonts w:hint="default"/>
                <w:color w:val="auto"/>
                <w:kern w:val="0"/>
                <w:sz w:val="21"/>
                <w:szCs w:val="21"/>
                <w:highlight w:val="none"/>
              </w:rPr>
              <w:t>《工业炉窑大气污染物排放标准》（GB9078-1996）中</w:t>
            </w:r>
            <w:r>
              <w:rPr>
                <w:rFonts w:hint="eastAsia"/>
                <w:color w:val="auto"/>
                <w:kern w:val="0"/>
                <w:sz w:val="21"/>
                <w:szCs w:val="21"/>
                <w:highlight w:val="none"/>
                <w:lang w:val="en-US" w:eastAsia="zh-CN"/>
              </w:rPr>
              <w:t>表</w:t>
            </w:r>
            <w:r>
              <w:rPr>
                <w:rFonts w:hint="default"/>
                <w:color w:val="auto"/>
                <w:kern w:val="0"/>
                <w:sz w:val="21"/>
                <w:szCs w:val="21"/>
                <w:highlight w:val="none"/>
              </w:rPr>
              <w:t>2和表4标准</w:t>
            </w:r>
            <w:r>
              <w:rPr>
                <w:rFonts w:hint="eastAsia"/>
                <w:color w:val="auto"/>
                <w:kern w:val="0"/>
                <w:szCs w:val="21"/>
                <w:highlight w:val="none"/>
                <w:lang w:val="en-US" w:eastAsia="zh-CN"/>
              </w:rPr>
              <w:t>。</w:t>
            </w:r>
          </w:p>
          <w:p>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b/>
                <w:bCs/>
                <w:color w:val="auto"/>
                <w:sz w:val="21"/>
                <w:szCs w:val="21"/>
                <w:highlight w:val="none"/>
              </w:rPr>
              <w:t>表3-</w:t>
            </w:r>
            <w:r>
              <w:rPr>
                <w:rFonts w:hint="eastAsia"/>
                <w:b/>
                <w:bCs/>
                <w:color w:val="auto"/>
                <w:sz w:val="21"/>
                <w:szCs w:val="21"/>
                <w:highlight w:val="none"/>
                <w:lang w:val="en-US" w:eastAsia="zh-CN"/>
              </w:rPr>
              <w:t>7</w:t>
            </w:r>
            <w:r>
              <w:rPr>
                <w:rFonts w:hint="default"/>
                <w:b/>
                <w:bCs/>
                <w:color w:val="auto"/>
                <w:sz w:val="21"/>
                <w:szCs w:val="21"/>
                <w:highlight w:val="none"/>
              </w:rPr>
              <w:t xml:space="preserve"> 工业炉窑大气污染物排放标准</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2578"/>
              <w:gridCol w:w="420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序号</w:t>
                  </w:r>
                </w:p>
              </w:tc>
              <w:tc>
                <w:tcPr>
                  <w:tcW w:w="2568"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污染物</w:t>
                  </w:r>
                </w:p>
              </w:tc>
              <w:tc>
                <w:tcPr>
                  <w:tcW w:w="4188"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最高允许排放浓度(mg/m</w:t>
                  </w:r>
                  <w:r>
                    <w:rPr>
                      <w:rFonts w:hint="default"/>
                      <w:color w:val="auto"/>
                      <w:sz w:val="18"/>
                      <w:szCs w:val="18"/>
                      <w:highlight w:val="none"/>
                      <w:vertAlign w:val="superscript"/>
                    </w:rPr>
                    <w:t>3</w:t>
                  </w:r>
                  <w:r>
                    <w:rPr>
                      <w:rFonts w:hint="default"/>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w:t>
                  </w:r>
                </w:p>
              </w:tc>
              <w:tc>
                <w:tcPr>
                  <w:tcW w:w="2568" w:type="dxa"/>
                  <w:noWrap w:val="0"/>
                  <w:vAlign w:val="center"/>
                </w:tcPr>
                <w:p>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烟尘</w:t>
                  </w:r>
                </w:p>
              </w:tc>
              <w:tc>
                <w:tcPr>
                  <w:tcW w:w="41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2</w:t>
                  </w:r>
                </w:p>
              </w:tc>
              <w:tc>
                <w:tcPr>
                  <w:tcW w:w="2568"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SO</w:t>
                  </w:r>
                  <w:r>
                    <w:rPr>
                      <w:rFonts w:hint="eastAsia"/>
                      <w:color w:val="auto"/>
                      <w:sz w:val="18"/>
                      <w:szCs w:val="18"/>
                      <w:highlight w:val="none"/>
                      <w:vertAlign w:val="subscript"/>
                    </w:rPr>
                    <w:t>2</w:t>
                  </w:r>
                </w:p>
              </w:tc>
              <w:tc>
                <w:tcPr>
                  <w:tcW w:w="41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w:t>
                  </w:r>
                </w:p>
              </w:tc>
              <w:tc>
                <w:tcPr>
                  <w:tcW w:w="2568"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烟气黑度（林格曼级）</w:t>
                  </w:r>
                </w:p>
              </w:tc>
              <w:tc>
                <w:tcPr>
                  <w:tcW w:w="4188" w:type="dxa"/>
                  <w:noWrap w:val="0"/>
                  <w:vAlign w:val="center"/>
                </w:tcPr>
                <w:p>
                  <w:pPr>
                    <w:keepNext w:val="0"/>
                    <w:keepLines w:val="0"/>
                    <w:suppressLineNumbers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1级</w:t>
                  </w:r>
                </w:p>
              </w:tc>
            </w:tr>
          </w:tbl>
          <w:p>
            <w:pPr>
              <w:keepNext w:val="0"/>
              <w:keepLines w:val="0"/>
              <w:suppressLineNumbers w:val="0"/>
              <w:spacing w:before="0" w:beforeAutospacing="0" w:after="0" w:afterAutospacing="0" w:line="360" w:lineRule="auto"/>
              <w:ind w:left="0" w:right="0" w:firstLine="420" w:firstLineChars="200"/>
              <w:rPr>
                <w:rFonts w:hint="default" w:ascii="宋体" w:hAnsi="宋体" w:cs="宋体"/>
                <w:color w:val="auto"/>
                <w:szCs w:val="21"/>
                <w:highlight w:val="none"/>
              </w:rPr>
            </w:pPr>
            <w:r>
              <w:rPr>
                <w:rFonts w:hint="eastAsia" w:ascii="宋体" w:hAnsi="宋体" w:cs="宋体"/>
                <w:color w:val="auto"/>
                <w:szCs w:val="21"/>
                <w:highlight w:val="none"/>
              </w:rPr>
              <w:t>食堂油烟：本项目员工食堂设灶</w:t>
            </w:r>
            <w:r>
              <w:rPr>
                <w:rFonts w:hint="default" w:ascii="Times New Roman" w:hAnsi="Times New Roman" w:cs="Times New Roman"/>
                <w:color w:val="auto"/>
                <w:szCs w:val="21"/>
                <w:highlight w:val="none"/>
                <w:lang w:val="en-US" w:eastAsia="zh-CN"/>
              </w:rPr>
              <w:t>4</w:t>
            </w:r>
            <w:r>
              <w:rPr>
                <w:rFonts w:hint="eastAsia" w:ascii="宋体" w:hAnsi="宋体" w:cs="宋体"/>
                <w:color w:val="auto"/>
                <w:szCs w:val="21"/>
                <w:highlight w:val="none"/>
              </w:rPr>
              <w:t>头，油烟废气排放参照执行《饮食业油烟排放标准</w:t>
            </w: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试行</w:t>
            </w:r>
            <w:r>
              <w:rPr>
                <w:rFonts w:hint="eastAsia" w:ascii="宋体" w:hAnsi="宋体" w:cs="宋体"/>
                <w:color w:val="auto"/>
                <w:szCs w:val="21"/>
                <w:highlight w:val="none"/>
                <w:lang w:eastAsia="zh-CN"/>
              </w:rPr>
              <w:t>）</w:t>
            </w:r>
            <w:r>
              <w:rPr>
                <w:rFonts w:hint="eastAsia" w:ascii="宋体" w:hAnsi="宋体" w:cs="宋体"/>
                <w:color w:val="auto"/>
                <w:szCs w:val="21"/>
                <w:highlight w:val="none"/>
              </w:rPr>
              <w:t>》（</w:t>
            </w:r>
            <w:r>
              <w:rPr>
                <w:rFonts w:hint="default"/>
                <w:color w:val="auto"/>
                <w:szCs w:val="21"/>
                <w:highlight w:val="none"/>
              </w:rPr>
              <w:t>GB18483-2001</w:t>
            </w:r>
            <w:r>
              <w:rPr>
                <w:rFonts w:hint="eastAsia" w:ascii="宋体" w:hAnsi="宋体" w:cs="宋体"/>
                <w:color w:val="auto"/>
                <w:szCs w:val="21"/>
                <w:highlight w:val="none"/>
              </w:rPr>
              <w:t>）中“</w:t>
            </w:r>
            <w:r>
              <w:rPr>
                <w:rFonts w:hint="eastAsia" w:ascii="宋体" w:hAnsi="宋体" w:cs="宋体"/>
                <w:color w:val="auto"/>
                <w:szCs w:val="21"/>
                <w:highlight w:val="none"/>
                <w:lang w:val="en-US" w:eastAsia="zh-CN"/>
              </w:rPr>
              <w:t>中</w:t>
            </w:r>
            <w:r>
              <w:rPr>
                <w:rFonts w:hint="eastAsia" w:ascii="宋体" w:hAnsi="宋体" w:cs="宋体"/>
                <w:color w:val="auto"/>
                <w:szCs w:val="21"/>
                <w:highlight w:val="none"/>
              </w:rPr>
              <w:t>型”规模相关限值要求，详见表</w:t>
            </w:r>
            <w:r>
              <w:rPr>
                <w:rFonts w:hint="default"/>
                <w:color w:val="auto"/>
                <w:szCs w:val="21"/>
                <w:highlight w:val="none"/>
              </w:rPr>
              <w:t>3-</w:t>
            </w:r>
            <w:r>
              <w:rPr>
                <w:rFonts w:hint="eastAsia"/>
                <w:color w:val="auto"/>
                <w:szCs w:val="21"/>
                <w:highlight w:val="none"/>
                <w:lang w:val="en-US" w:eastAsia="zh-CN"/>
              </w:rPr>
              <w:t>9</w:t>
            </w:r>
            <w:r>
              <w:rPr>
                <w:rFonts w:hint="eastAsia" w:ascii="宋体" w:hAnsi="宋体" w:cs="宋体"/>
                <w:color w:val="auto"/>
                <w:szCs w:val="21"/>
                <w:highlight w:val="none"/>
              </w:rPr>
              <w:t>。</w:t>
            </w:r>
          </w:p>
          <w:p>
            <w:pPr>
              <w:keepNext w:val="0"/>
              <w:keepLines w:val="0"/>
              <w:suppressLineNumbers w:val="0"/>
              <w:spacing w:before="0" w:beforeAutospacing="0" w:after="0" w:afterAutospacing="0"/>
              <w:ind w:left="0" w:right="0"/>
              <w:jc w:val="center"/>
              <w:rPr>
                <w:rFonts w:hint="default" w:ascii="宋体" w:hAnsi="宋体" w:cs="宋体"/>
                <w:color w:val="auto"/>
                <w:szCs w:val="21"/>
                <w:highlight w:val="none"/>
              </w:rPr>
            </w:pPr>
            <w:r>
              <w:rPr>
                <w:rFonts w:hint="eastAsia" w:ascii="宋体" w:hAnsi="宋体" w:cs="宋体"/>
                <w:b/>
                <w:bCs/>
                <w:color w:val="auto"/>
                <w:szCs w:val="21"/>
                <w:highlight w:val="none"/>
              </w:rPr>
              <w:t>表</w:t>
            </w:r>
            <w:r>
              <w:rPr>
                <w:rFonts w:hint="default"/>
                <w:b/>
                <w:bCs/>
                <w:color w:val="auto"/>
                <w:szCs w:val="21"/>
                <w:highlight w:val="none"/>
              </w:rPr>
              <w:t>3-</w:t>
            </w:r>
            <w:r>
              <w:rPr>
                <w:rFonts w:hint="eastAsia"/>
                <w:b/>
                <w:bCs/>
                <w:color w:val="auto"/>
                <w:szCs w:val="21"/>
                <w:highlight w:val="none"/>
                <w:lang w:val="en-US" w:eastAsia="zh-CN"/>
              </w:rPr>
              <w:t>8</w:t>
            </w:r>
            <w:r>
              <w:rPr>
                <w:rFonts w:hint="eastAsia" w:ascii="宋体" w:hAnsi="宋体" w:cs="宋体"/>
                <w:b/>
                <w:bCs/>
                <w:color w:val="auto"/>
                <w:szCs w:val="21"/>
                <w:highlight w:val="none"/>
              </w:rPr>
              <w:t xml:space="preserve"> 《饮食业油烟排放标准》（</w:t>
            </w:r>
            <w:r>
              <w:rPr>
                <w:rFonts w:hint="default"/>
                <w:b/>
                <w:bCs/>
                <w:color w:val="auto"/>
                <w:szCs w:val="21"/>
                <w:highlight w:val="none"/>
              </w:rPr>
              <w:t>GB18483-2001</w:t>
            </w:r>
            <w:r>
              <w:rPr>
                <w:rFonts w:hint="eastAsia" w:ascii="宋体" w:hAnsi="宋体" w:cs="宋体"/>
                <w:b/>
                <w:bCs/>
                <w:color w:val="auto"/>
                <w:szCs w:val="21"/>
                <w:highlight w:val="none"/>
              </w:rPr>
              <w:t>）</w:t>
            </w:r>
          </w:p>
          <w:tbl>
            <w:tblPr>
              <w:tblStyle w:val="3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41"/>
              <w:gridCol w:w="1673"/>
              <w:gridCol w:w="1901"/>
              <w:gridCol w:w="11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规模</w:t>
                  </w:r>
                </w:p>
              </w:tc>
              <w:tc>
                <w:tcPr>
                  <w:tcW w:w="1583"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小型</w:t>
                  </w:r>
                </w:p>
              </w:tc>
              <w:tc>
                <w:tcPr>
                  <w:tcW w:w="1799"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中型</w:t>
                  </w:r>
                </w:p>
              </w:tc>
              <w:tc>
                <w:tcPr>
                  <w:tcW w:w="10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大型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基准灶头数</w:t>
                  </w:r>
                </w:p>
              </w:tc>
              <w:tc>
                <w:tcPr>
                  <w:tcW w:w="158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≥1，＜3</w:t>
                  </w:r>
                </w:p>
              </w:tc>
              <w:tc>
                <w:tcPr>
                  <w:tcW w:w="179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≥3，＜6</w:t>
                  </w:r>
                </w:p>
              </w:tc>
              <w:tc>
                <w:tcPr>
                  <w:tcW w:w="106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对应灶头总功率（</w:t>
                  </w:r>
                  <w:r>
                    <w:rPr>
                      <w:rFonts w:hint="default"/>
                      <w:color w:val="auto"/>
                      <w:sz w:val="18"/>
                      <w:szCs w:val="18"/>
                      <w:highlight w:val="none"/>
                    </w:rPr>
                    <w:t>108 J/h</w:t>
                  </w:r>
                  <w:r>
                    <w:rPr>
                      <w:rFonts w:hint="eastAsia" w:ascii="宋体" w:hAnsi="宋体" w:cs="宋体"/>
                      <w:color w:val="auto"/>
                      <w:sz w:val="18"/>
                      <w:szCs w:val="18"/>
                      <w:highlight w:val="none"/>
                    </w:rPr>
                    <w:t>）</w:t>
                  </w:r>
                </w:p>
              </w:tc>
              <w:tc>
                <w:tcPr>
                  <w:tcW w:w="158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≥1.67，＜5.00</w:t>
                  </w:r>
                </w:p>
              </w:tc>
              <w:tc>
                <w:tcPr>
                  <w:tcW w:w="179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≥5.00，＜10.00</w:t>
                  </w:r>
                </w:p>
              </w:tc>
              <w:tc>
                <w:tcPr>
                  <w:tcW w:w="106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对应排气罩灶面总投影面积（</w:t>
                  </w:r>
                  <w:r>
                    <w:rPr>
                      <w:rFonts w:hint="default"/>
                      <w:color w:val="auto"/>
                      <w:sz w:val="18"/>
                      <w:szCs w:val="18"/>
                      <w:highlight w:val="none"/>
                    </w:rPr>
                    <w:t>m</w:t>
                  </w:r>
                  <w:r>
                    <w:rPr>
                      <w:rFonts w:hint="default"/>
                      <w:color w:val="auto"/>
                      <w:sz w:val="18"/>
                      <w:szCs w:val="18"/>
                      <w:highlight w:val="none"/>
                      <w:vertAlign w:val="superscript"/>
                    </w:rPr>
                    <w:t>2</w:t>
                  </w:r>
                  <w:r>
                    <w:rPr>
                      <w:rFonts w:hint="eastAsia" w:ascii="宋体" w:hAnsi="宋体" w:cs="宋体"/>
                      <w:color w:val="auto"/>
                      <w:sz w:val="18"/>
                      <w:szCs w:val="18"/>
                      <w:highlight w:val="none"/>
                    </w:rPr>
                    <w:t>）</w:t>
                  </w:r>
                </w:p>
              </w:tc>
              <w:tc>
                <w:tcPr>
                  <w:tcW w:w="158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≥1.1，＜3.3</w:t>
                  </w:r>
                </w:p>
              </w:tc>
              <w:tc>
                <w:tcPr>
                  <w:tcW w:w="179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≥3.3 ，＜6.6</w:t>
                  </w:r>
                </w:p>
              </w:tc>
              <w:tc>
                <w:tcPr>
                  <w:tcW w:w="106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最高允许排放浓度（</w:t>
                  </w:r>
                  <w:r>
                    <w:rPr>
                      <w:rFonts w:hint="default"/>
                      <w:color w:val="auto"/>
                      <w:sz w:val="18"/>
                      <w:szCs w:val="18"/>
                      <w:highlight w:val="none"/>
                    </w:rPr>
                    <w:t>mg/m</w:t>
                  </w:r>
                  <w:r>
                    <w:rPr>
                      <w:rFonts w:hint="default"/>
                      <w:color w:val="auto"/>
                      <w:sz w:val="18"/>
                      <w:szCs w:val="18"/>
                      <w:highlight w:val="none"/>
                      <w:vertAlign w:val="superscript"/>
                    </w:rPr>
                    <w:t>3</w:t>
                  </w:r>
                  <w:r>
                    <w:rPr>
                      <w:rFonts w:hint="eastAsia" w:ascii="宋体" w:hAnsi="宋体" w:cs="宋体"/>
                      <w:color w:val="auto"/>
                      <w:sz w:val="18"/>
                      <w:szCs w:val="18"/>
                      <w:highlight w:val="none"/>
                    </w:rPr>
                    <w:t>）</w:t>
                  </w:r>
                </w:p>
              </w:tc>
              <w:tc>
                <w:tcPr>
                  <w:tcW w:w="4443" w:type="dxa"/>
                  <w:gridSpan w:val="3"/>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1" w:type="dxa"/>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rPr>
                  </w:pPr>
                  <w:r>
                    <w:rPr>
                      <w:rFonts w:hint="eastAsia" w:ascii="宋体" w:hAnsi="宋体" w:cs="宋体"/>
                      <w:color w:val="auto"/>
                      <w:sz w:val="18"/>
                      <w:szCs w:val="18"/>
                      <w:highlight w:val="none"/>
                    </w:rPr>
                    <w:t>净化设备最低去除率（</w:t>
                  </w:r>
                  <w:r>
                    <w:rPr>
                      <w:rFonts w:hint="default"/>
                      <w:color w:val="auto"/>
                      <w:sz w:val="18"/>
                      <w:szCs w:val="18"/>
                      <w:highlight w:val="none"/>
                    </w:rPr>
                    <w:t>%</w:t>
                  </w:r>
                  <w:r>
                    <w:rPr>
                      <w:rFonts w:hint="eastAsia" w:ascii="宋体" w:hAnsi="宋体" w:cs="宋体"/>
                      <w:color w:val="auto"/>
                      <w:sz w:val="18"/>
                      <w:szCs w:val="18"/>
                      <w:highlight w:val="none"/>
                    </w:rPr>
                    <w:t>）</w:t>
                  </w:r>
                </w:p>
              </w:tc>
              <w:tc>
                <w:tcPr>
                  <w:tcW w:w="1583"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60</w:t>
                  </w:r>
                </w:p>
              </w:tc>
              <w:tc>
                <w:tcPr>
                  <w:tcW w:w="179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75</w:t>
                  </w:r>
                </w:p>
              </w:tc>
              <w:tc>
                <w:tcPr>
                  <w:tcW w:w="106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85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bCs/>
                <w:color w:val="auto"/>
                <w:sz w:val="21"/>
                <w:szCs w:val="21"/>
                <w:highlight w:val="none"/>
              </w:rPr>
            </w:pPr>
            <w:r>
              <w:rPr>
                <w:rFonts w:hint="default"/>
                <w:bCs/>
                <w:color w:val="auto"/>
                <w:sz w:val="21"/>
                <w:szCs w:val="21"/>
                <w:highlight w:val="none"/>
              </w:rPr>
              <w:t>本项目废水水质执行《肉类加工工业水污染物排放标准》（GB13457-92）表3中“肉制品加工”三级标准</w:t>
            </w:r>
            <w:r>
              <w:rPr>
                <w:rFonts w:hint="eastAsia"/>
                <w:bCs/>
                <w:color w:val="auto"/>
                <w:sz w:val="21"/>
                <w:szCs w:val="21"/>
                <w:highlight w:val="none"/>
                <w:lang w:val="en-US" w:eastAsia="zh-CN"/>
              </w:rPr>
              <w:t>及双城污水处理厂进水水质</w:t>
            </w:r>
            <w:r>
              <w:rPr>
                <w:rFonts w:hint="default"/>
                <w:bCs/>
                <w:color w:val="auto"/>
                <w:sz w:val="21"/>
                <w:szCs w:val="21"/>
                <w:highlight w:val="none"/>
              </w:rPr>
              <w:t>。</w:t>
            </w:r>
          </w:p>
          <w:p>
            <w:pPr>
              <w:keepNext w:val="0"/>
              <w:keepLines w:val="0"/>
              <w:suppressLineNumbers w:val="0"/>
              <w:spacing w:before="0" w:beforeAutospacing="0" w:after="0" w:afterAutospacing="0" w:line="240" w:lineRule="auto"/>
              <w:ind w:left="0" w:right="0"/>
              <w:jc w:val="center"/>
              <w:rPr>
                <w:rFonts w:hint="default"/>
                <w:b/>
                <w:bCs/>
                <w:color w:val="auto"/>
                <w:kern w:val="0"/>
                <w:szCs w:val="20"/>
                <w:highlight w:val="none"/>
              </w:rPr>
            </w:pPr>
            <w:r>
              <w:rPr>
                <w:rFonts w:hint="default"/>
                <w:b/>
                <w:bCs/>
                <w:color w:val="auto"/>
                <w:kern w:val="0"/>
                <w:szCs w:val="20"/>
                <w:highlight w:val="none"/>
              </w:rPr>
              <w:t>表3-</w:t>
            </w:r>
            <w:r>
              <w:rPr>
                <w:rFonts w:hint="eastAsia"/>
                <w:b/>
                <w:bCs/>
                <w:color w:val="auto"/>
                <w:kern w:val="0"/>
                <w:szCs w:val="20"/>
                <w:highlight w:val="none"/>
                <w:lang w:val="en-US" w:eastAsia="zh-CN"/>
              </w:rPr>
              <w:t>9</w:t>
            </w:r>
            <w:r>
              <w:rPr>
                <w:rFonts w:hint="default"/>
                <w:b/>
                <w:bCs/>
                <w:color w:val="auto"/>
                <w:kern w:val="0"/>
                <w:szCs w:val="20"/>
                <w:highlight w:val="none"/>
              </w:rPr>
              <w:t xml:space="preserve"> 肉类加工工业水污染物排放标准一览表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03"/>
              <w:gridCol w:w="2373"/>
              <w:gridCol w:w="19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污染物名称</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浓度</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COD</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500</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氨氮</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pH</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6.0-8.5</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悬浮物</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350</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BOD</w:t>
                  </w:r>
                  <w:r>
                    <w:rPr>
                      <w:rFonts w:hint="default" w:cs="Times New Roman"/>
                      <w:color w:val="auto"/>
                      <w:sz w:val="18"/>
                      <w:szCs w:val="18"/>
                      <w:highlight w:val="none"/>
                      <w:vertAlign w:val="subscript"/>
                    </w:rPr>
                    <w:t>5</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300</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eastAsia" w:cs="Times New Roman"/>
                      <w:color w:val="auto"/>
                      <w:sz w:val="18"/>
                      <w:szCs w:val="18"/>
                      <w:highlight w:val="none"/>
                    </w:rPr>
                  </w:pPr>
                  <w:r>
                    <w:rPr>
                      <w:rFonts w:hint="eastAsia" w:cs="Times New Roman"/>
                      <w:color w:val="auto"/>
                      <w:sz w:val="18"/>
                      <w:szCs w:val="18"/>
                      <w:highlight w:val="none"/>
                    </w:rPr>
                    <w:t>动植物油</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eastAsia" w:cs="Times New Roman"/>
                      <w:color w:val="auto"/>
                      <w:sz w:val="18"/>
                      <w:szCs w:val="18"/>
                      <w:highlight w:val="none"/>
                    </w:rPr>
                    <w:t>6</w:t>
                  </w:r>
                  <w:r>
                    <w:rPr>
                      <w:rFonts w:hint="default" w:cs="Times New Roman"/>
                      <w:color w:val="auto"/>
                      <w:sz w:val="18"/>
                      <w:szCs w:val="18"/>
                      <w:highlight w:val="none"/>
                    </w:rPr>
                    <w:t>0</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cs="Times New Roman"/>
                      <w:color w:val="auto"/>
                      <w:sz w:val="18"/>
                      <w:szCs w:val="18"/>
                      <w:highlight w:val="none"/>
                    </w:rPr>
                  </w:pPr>
                  <w:r>
                    <w:rPr>
                      <w:rFonts w:hint="default" w:cs="Times New Roman"/>
                      <w:color w:val="auto"/>
                      <w:sz w:val="18"/>
                      <w:szCs w:val="18"/>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72" w:type="dxa"/>
                  <w:noWrap w:val="0"/>
                  <w:vAlign w:val="center"/>
                </w:tcPr>
                <w:p>
                  <w:pPr>
                    <w:pStyle w:val="126"/>
                    <w:keepNext w:val="0"/>
                    <w:keepLines w:val="0"/>
                    <w:suppressLineNumbers w:val="0"/>
                    <w:spacing w:before="0" w:beforeAutospacing="0" w:after="0" w:afterAutospacing="0" w:line="300" w:lineRule="exact"/>
                    <w:ind w:left="0" w:right="0"/>
                    <w:jc w:val="center"/>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排水量</w:t>
                  </w:r>
                </w:p>
              </w:tc>
              <w:tc>
                <w:tcPr>
                  <w:tcW w:w="2353" w:type="dxa"/>
                  <w:noWrap w:val="0"/>
                  <w:vAlign w:val="center"/>
                </w:tcPr>
                <w:p>
                  <w:pPr>
                    <w:pStyle w:val="126"/>
                    <w:keepNext w:val="0"/>
                    <w:keepLines w:val="0"/>
                    <w:suppressLineNumbers w:val="0"/>
                    <w:spacing w:before="0" w:beforeAutospacing="0" w:after="0" w:afterAutospacing="0" w:line="300" w:lineRule="exact"/>
                    <w:ind w:left="0" w:right="0"/>
                    <w:jc w:val="center"/>
                    <w:rPr>
                      <w:rFonts w:hint="default"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5.8</w:t>
                  </w:r>
                </w:p>
              </w:tc>
              <w:tc>
                <w:tcPr>
                  <w:tcW w:w="1945" w:type="dxa"/>
                  <w:noWrap w:val="0"/>
                  <w:vAlign w:val="center"/>
                </w:tcPr>
                <w:p>
                  <w:pPr>
                    <w:pStyle w:val="126"/>
                    <w:keepNext w:val="0"/>
                    <w:keepLines w:val="0"/>
                    <w:suppressLineNumbers w:val="0"/>
                    <w:spacing w:before="0" w:beforeAutospacing="0" w:after="0" w:afterAutospacing="0" w:line="300" w:lineRule="exact"/>
                    <w:ind w:left="0" w:right="0"/>
                    <w:jc w:val="center"/>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m</w:t>
                  </w:r>
                  <w:r>
                    <w:rPr>
                      <w:rFonts w:hint="eastAsia" w:cs="Times New Roman"/>
                      <w:color w:val="auto"/>
                      <w:sz w:val="18"/>
                      <w:szCs w:val="18"/>
                      <w:highlight w:val="none"/>
                      <w:vertAlign w:val="superscript"/>
                      <w:lang w:val="en-US" w:eastAsia="zh-CN"/>
                    </w:rPr>
                    <w:t>3</w:t>
                  </w:r>
                  <w:r>
                    <w:rPr>
                      <w:rFonts w:hint="default" w:cs="Times New Roman"/>
                      <w:color w:val="auto"/>
                      <w:sz w:val="18"/>
                      <w:szCs w:val="18"/>
                      <w:highlight w:val="none"/>
                    </w:rPr>
                    <w:t>/</w:t>
                  </w:r>
                  <w:r>
                    <w:rPr>
                      <w:rFonts w:hint="eastAsia" w:cs="Times New Roman"/>
                      <w:color w:val="auto"/>
                      <w:sz w:val="18"/>
                      <w:szCs w:val="18"/>
                      <w:highlight w:val="none"/>
                      <w:lang w:val="en-US" w:eastAsia="zh-CN"/>
                    </w:rPr>
                    <w:t>t</w:t>
                  </w:r>
                </w:p>
              </w:tc>
            </w:tr>
          </w:tbl>
          <w:p>
            <w:pPr>
              <w:pStyle w:val="90"/>
              <w:keepNext w:val="0"/>
              <w:keepLines w:val="0"/>
              <w:suppressLineNumbers w:val="0"/>
              <w:spacing w:before="0" w:beforeAutospacing="0" w:after="0" w:afterAutospacing="0" w:line="240" w:lineRule="auto"/>
              <w:ind w:left="0" w:right="0" w:firstLine="422" w:firstLineChars="200"/>
              <w:jc w:val="center"/>
              <w:rPr>
                <w:rFonts w:hint="default"/>
                <w:b/>
                <w:color w:val="auto"/>
                <w:szCs w:val="24"/>
                <w:highlight w:val="none"/>
              </w:rPr>
            </w:pPr>
            <w:r>
              <w:rPr>
                <w:rFonts w:hint="eastAsia"/>
                <w:b/>
                <w:color w:val="auto"/>
                <w:sz w:val="21"/>
                <w:szCs w:val="21"/>
                <w:highlight w:val="none"/>
              </w:rPr>
              <w:t>表</w:t>
            </w:r>
            <w:r>
              <w:rPr>
                <w:rFonts w:hint="default"/>
                <w:b/>
                <w:color w:val="auto"/>
                <w:sz w:val="21"/>
                <w:szCs w:val="21"/>
                <w:highlight w:val="none"/>
              </w:rPr>
              <w:t>3-</w:t>
            </w:r>
            <w:r>
              <w:rPr>
                <w:rFonts w:hint="eastAsia"/>
                <w:b/>
                <w:color w:val="auto"/>
                <w:sz w:val="21"/>
                <w:szCs w:val="21"/>
                <w:highlight w:val="none"/>
                <w:lang w:val="en-US" w:eastAsia="zh-CN"/>
              </w:rPr>
              <w:t xml:space="preserve">10 </w:t>
            </w:r>
            <w:r>
              <w:rPr>
                <w:rFonts w:hint="eastAsia"/>
                <w:b/>
                <w:color w:val="auto"/>
                <w:spacing w:val="-4"/>
                <w:sz w:val="21"/>
                <w:szCs w:val="21"/>
                <w:highlight w:val="none"/>
                <w:lang w:val="en-US" w:eastAsia="zh-CN"/>
              </w:rPr>
              <w:t>双城</w:t>
            </w:r>
            <w:r>
              <w:rPr>
                <w:rFonts w:hint="eastAsia"/>
                <w:b/>
                <w:color w:val="auto"/>
                <w:spacing w:val="-4"/>
                <w:sz w:val="21"/>
                <w:szCs w:val="21"/>
                <w:highlight w:val="none"/>
              </w:rPr>
              <w:t>污水处理厂进水水质要求</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19"/>
              <w:gridCol w:w="1070"/>
              <w:gridCol w:w="1070"/>
              <w:gridCol w:w="1280"/>
              <w:gridCol w:w="738"/>
              <w:gridCol w:w="889"/>
              <w:gridCol w:w="67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2309" w:type="dxa"/>
                  <w:tcBorders>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pacing w:val="5"/>
                      <w:sz w:val="18"/>
                      <w:szCs w:val="18"/>
                      <w:highlight w:val="none"/>
                    </w:rPr>
                  </w:pPr>
                  <w:r>
                    <w:rPr>
                      <w:rFonts w:hint="eastAsia"/>
                      <w:color w:val="auto"/>
                      <w:spacing w:val="5"/>
                      <w:sz w:val="18"/>
                      <w:szCs w:val="18"/>
                      <w:highlight w:val="none"/>
                    </w:rPr>
                    <w:t>污染物项目</w:t>
                  </w:r>
                </w:p>
              </w:tc>
              <w:tc>
                <w:tcPr>
                  <w:tcW w:w="1065" w:type="dxa"/>
                  <w:tcBorders>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pacing w:val="5"/>
                      <w:sz w:val="18"/>
                      <w:szCs w:val="18"/>
                      <w:highlight w:val="none"/>
                    </w:rPr>
                  </w:pPr>
                  <w:r>
                    <w:rPr>
                      <w:rFonts w:hint="default"/>
                      <w:color w:val="auto"/>
                      <w:spacing w:val="5"/>
                      <w:sz w:val="18"/>
                      <w:szCs w:val="18"/>
                      <w:highlight w:val="none"/>
                    </w:rPr>
                    <w:t>COD</w:t>
                  </w:r>
                </w:p>
              </w:tc>
              <w:tc>
                <w:tcPr>
                  <w:tcW w:w="1065" w:type="dxa"/>
                  <w:tcBorders>
                    <w:left w:val="single" w:color="auto" w:sz="6" w:space="0"/>
                    <w:bottom w:val="single" w:color="auto" w:sz="6"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lang w:val="en-GB"/>
                    </w:rPr>
                  </w:pPr>
                  <w:r>
                    <w:rPr>
                      <w:rFonts w:hint="eastAsia"/>
                      <w:color w:val="auto"/>
                      <w:sz w:val="18"/>
                      <w:szCs w:val="18"/>
                      <w:highlight w:val="none"/>
                      <w:lang w:val="en-GB"/>
                    </w:rPr>
                    <w:t>氨氮</w:t>
                  </w:r>
                </w:p>
              </w:tc>
              <w:tc>
                <w:tcPr>
                  <w:tcW w:w="1275" w:type="dxa"/>
                  <w:tcBorders>
                    <w:left w:val="single" w:color="auto" w:sz="4"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lang w:val="en-GB"/>
                    </w:rPr>
                  </w:pPr>
                  <w:r>
                    <w:rPr>
                      <w:rFonts w:hint="default"/>
                      <w:color w:val="auto"/>
                      <w:sz w:val="18"/>
                      <w:szCs w:val="18"/>
                      <w:highlight w:val="none"/>
                      <w:lang w:val="en-GB"/>
                    </w:rPr>
                    <w:t>BOD</w:t>
                  </w:r>
                  <w:r>
                    <w:rPr>
                      <w:rFonts w:hint="default"/>
                      <w:color w:val="auto"/>
                      <w:sz w:val="18"/>
                      <w:szCs w:val="18"/>
                      <w:highlight w:val="none"/>
                      <w:vertAlign w:val="subscript"/>
                      <w:lang w:val="en-GB"/>
                    </w:rPr>
                    <w:t>5</w:t>
                  </w:r>
                </w:p>
              </w:tc>
              <w:tc>
                <w:tcPr>
                  <w:tcW w:w="735" w:type="dxa"/>
                  <w:tcBorders>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pacing w:val="5"/>
                      <w:sz w:val="18"/>
                      <w:szCs w:val="18"/>
                      <w:highlight w:val="none"/>
                    </w:rPr>
                  </w:pPr>
                  <w:r>
                    <w:rPr>
                      <w:rFonts w:hint="default"/>
                      <w:color w:val="auto"/>
                      <w:sz w:val="18"/>
                      <w:szCs w:val="18"/>
                      <w:highlight w:val="none"/>
                      <w:lang w:val="en-GB"/>
                    </w:rPr>
                    <w:t>SS</w:t>
                  </w:r>
                </w:p>
              </w:tc>
              <w:tc>
                <w:tcPr>
                  <w:tcW w:w="885" w:type="dxa"/>
                  <w:tcBorders>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总氮</w:t>
                  </w:r>
                </w:p>
              </w:tc>
              <w:tc>
                <w:tcPr>
                  <w:tcW w:w="669" w:type="dxa"/>
                  <w:tcBorders>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总磷</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2309" w:type="dxa"/>
                  <w:tcBorders>
                    <w:top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pacing w:val="5"/>
                      <w:sz w:val="18"/>
                      <w:szCs w:val="18"/>
                      <w:highlight w:val="none"/>
                    </w:rPr>
                  </w:pPr>
                  <w:r>
                    <w:rPr>
                      <w:rFonts w:hint="eastAsia"/>
                      <w:color w:val="auto"/>
                      <w:sz w:val="18"/>
                      <w:szCs w:val="18"/>
                      <w:highlight w:val="none"/>
                    </w:rPr>
                    <w:t>排放浓度（</w:t>
                  </w:r>
                  <w:r>
                    <w:rPr>
                      <w:rFonts w:hint="default"/>
                      <w:color w:val="auto"/>
                      <w:sz w:val="18"/>
                      <w:szCs w:val="18"/>
                      <w:highlight w:val="none"/>
                    </w:rPr>
                    <w:t>mg/L</w:t>
                  </w:r>
                  <w:r>
                    <w:rPr>
                      <w:rFonts w:hint="eastAsia"/>
                      <w:color w:val="auto"/>
                      <w:sz w:val="18"/>
                      <w:szCs w:val="18"/>
                      <w:highlight w:val="none"/>
                    </w:rPr>
                    <w:t>）</w:t>
                  </w:r>
                </w:p>
              </w:tc>
              <w:tc>
                <w:tcPr>
                  <w:tcW w:w="1065" w:type="dxa"/>
                  <w:tcBorders>
                    <w:top w:val="single" w:color="auto" w:sz="6" w:space="0"/>
                    <w:left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500</w:t>
                  </w:r>
                </w:p>
              </w:tc>
              <w:tc>
                <w:tcPr>
                  <w:tcW w:w="1065" w:type="dxa"/>
                  <w:tcBorders>
                    <w:top w:val="single" w:color="auto" w:sz="6" w:space="0"/>
                    <w:left w:val="single" w:color="auto" w:sz="6"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35</w:t>
                  </w:r>
                </w:p>
              </w:tc>
              <w:tc>
                <w:tcPr>
                  <w:tcW w:w="1275" w:type="dxa"/>
                  <w:tcBorders>
                    <w:top w:val="single" w:color="auto" w:sz="6" w:space="0"/>
                    <w:left w:val="single" w:color="auto" w:sz="4"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160</w:t>
                  </w:r>
                </w:p>
              </w:tc>
              <w:tc>
                <w:tcPr>
                  <w:tcW w:w="735" w:type="dxa"/>
                  <w:tcBorders>
                    <w:top w:val="single" w:color="auto" w:sz="6" w:space="0"/>
                    <w:lef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pacing w:val="5"/>
                      <w:sz w:val="18"/>
                      <w:szCs w:val="18"/>
                      <w:highlight w:val="none"/>
                    </w:rPr>
                  </w:pPr>
                  <w:r>
                    <w:rPr>
                      <w:rFonts w:hint="eastAsia"/>
                      <w:color w:val="auto"/>
                      <w:spacing w:val="5"/>
                      <w:sz w:val="18"/>
                      <w:szCs w:val="18"/>
                      <w:highlight w:val="none"/>
                    </w:rPr>
                    <w:t>300</w:t>
                  </w:r>
                </w:p>
              </w:tc>
              <w:tc>
                <w:tcPr>
                  <w:tcW w:w="885" w:type="dxa"/>
                  <w:tcBorders>
                    <w:top w:val="single" w:color="auto" w:sz="6" w:space="0"/>
                    <w:lef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50</w:t>
                  </w:r>
                </w:p>
              </w:tc>
              <w:tc>
                <w:tcPr>
                  <w:tcW w:w="669" w:type="dxa"/>
                  <w:tcBorders>
                    <w:top w:val="single" w:color="auto" w:sz="6" w:space="0"/>
                    <w:left w:val="single" w:color="auto" w:sz="6" w:space="0"/>
                  </w:tcBorders>
                  <w:vAlign w:val="center"/>
                </w:tcPr>
                <w:p>
                  <w:pPr>
                    <w:keepNext w:val="0"/>
                    <w:keepLines w:val="0"/>
                    <w:suppressLineNumbers w:val="0"/>
                    <w:spacing w:before="0" w:beforeAutospacing="0" w:after="0" w:afterAutospacing="0"/>
                    <w:ind w:left="0" w:right="0"/>
                    <w:jc w:val="center"/>
                    <w:rPr>
                      <w:rFonts w:hint="eastAsia" w:eastAsia="宋体"/>
                      <w:color w:val="auto"/>
                      <w:spacing w:val="5"/>
                      <w:sz w:val="18"/>
                      <w:szCs w:val="18"/>
                      <w:highlight w:val="none"/>
                      <w:lang w:val="en-US" w:eastAsia="zh-CN"/>
                    </w:rPr>
                  </w:pPr>
                  <w:r>
                    <w:rPr>
                      <w:rFonts w:hint="eastAsia"/>
                      <w:color w:val="auto"/>
                      <w:spacing w:val="5"/>
                      <w:sz w:val="18"/>
                      <w:szCs w:val="18"/>
                      <w:highlight w:val="none"/>
                      <w:lang w:val="en-US" w:eastAsia="zh-CN"/>
                    </w:rPr>
                    <w:t>6</w:t>
                  </w:r>
                </w:p>
              </w:tc>
            </w:tr>
          </w:tbl>
          <w:p>
            <w:pPr>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pPr>
              <w:keepNext w:val="0"/>
              <w:keepLines w:val="0"/>
              <w:suppressLineNumbers w:val="0"/>
              <w:spacing w:before="0" w:beforeAutospacing="0" w:after="0" w:afterAutospacing="0" w:line="360" w:lineRule="auto"/>
              <w:ind w:left="0" w:right="0" w:firstLine="420" w:firstLineChars="200"/>
              <w:rPr>
                <w:rFonts w:hint="default"/>
                <w:b/>
                <w:color w:val="auto"/>
                <w:szCs w:val="21"/>
                <w:highlight w:val="none"/>
              </w:rPr>
            </w:pPr>
            <w:r>
              <w:rPr>
                <w:rFonts w:hint="default"/>
                <w:color w:val="auto"/>
                <w:szCs w:val="21"/>
                <w:highlight w:val="none"/>
              </w:rPr>
              <w:t>施工期</w:t>
            </w:r>
            <w:r>
              <w:rPr>
                <w:rFonts w:hint="eastAsia"/>
                <w:color w:val="auto"/>
                <w:szCs w:val="21"/>
                <w:highlight w:val="none"/>
                <w:lang w:eastAsia="zh-CN"/>
              </w:rPr>
              <w:t>：</w:t>
            </w:r>
            <w:r>
              <w:rPr>
                <w:rFonts w:hint="default"/>
                <w:color w:val="auto"/>
                <w:szCs w:val="21"/>
                <w:highlight w:val="none"/>
              </w:rPr>
              <w:t>噪声执行《建筑施工场界环境噪声排放标准》（GB12523-2011）中噪声排放限值，具体标准见表3-</w:t>
            </w:r>
            <w:r>
              <w:rPr>
                <w:rFonts w:hint="eastAsia"/>
                <w:color w:val="auto"/>
                <w:szCs w:val="21"/>
                <w:highlight w:val="none"/>
                <w:lang w:val="en-US" w:eastAsia="zh-CN"/>
              </w:rPr>
              <w:t>11</w:t>
            </w:r>
            <w:r>
              <w:rPr>
                <w:rFonts w:hint="default"/>
                <w:color w:val="auto"/>
                <w:szCs w:val="21"/>
                <w:highlight w:val="none"/>
              </w:rPr>
              <w:t>。</w:t>
            </w:r>
          </w:p>
          <w:p>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 xml:space="preserve">11 </w:t>
            </w:r>
            <w:r>
              <w:rPr>
                <w:rFonts w:hint="default"/>
                <w:b/>
                <w:color w:val="auto"/>
                <w:szCs w:val="21"/>
                <w:highlight w:val="none"/>
              </w:rPr>
              <w:t>建筑施工场界环境噪声排放标准 单位：dB(A)</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4"/>
              <w:gridCol w:w="39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pPr>
              <w:pStyle w:val="101"/>
              <w:keepNext w:val="0"/>
              <w:keepLines w:val="0"/>
              <w:suppressLineNumbers w:val="0"/>
              <w:spacing w:before="0" w:beforeAutospacing="0" w:after="0" w:afterAutospacing="0"/>
              <w:ind w:left="0" w:leftChars="0" w:right="0" w:firstLine="420" w:firstLineChars="200"/>
              <w:jc w:val="both"/>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运营期：</w:t>
            </w:r>
            <w:r>
              <w:rPr>
                <w:rFonts w:hint="default" w:ascii="Times New Roman" w:hAnsi="Times New Roman" w:cs="Times New Roman"/>
                <w:color w:val="auto"/>
                <w:szCs w:val="21"/>
                <w:highlight w:val="none"/>
              </w:rPr>
              <w:t>厂界噪声执</w:t>
            </w:r>
            <w:r>
              <w:rPr>
                <w:rFonts w:hint="default" w:ascii="Times New Roman" w:hAnsi="Times New Roman" w:cs="Times New Roman"/>
                <w:color w:val="auto"/>
                <w:sz w:val="21"/>
                <w:szCs w:val="21"/>
                <w:highlight w:val="none"/>
              </w:rPr>
              <w:t>行《</w:t>
            </w:r>
            <w:r>
              <w:rPr>
                <w:rFonts w:hint="default" w:ascii="Times New Roman" w:hAnsi="Times New Roman" w:cs="Times New Roman"/>
                <w:color w:val="auto"/>
                <w:szCs w:val="21"/>
                <w:highlight w:val="none"/>
              </w:rPr>
              <w:t>工业企业厂界环境噪声排放标准》(GB12348-2008)表1中</w:t>
            </w:r>
            <w:r>
              <w:rPr>
                <w:rFonts w:hint="default"/>
                <w:color w:val="auto"/>
                <w:sz w:val="21"/>
                <w:szCs w:val="21"/>
                <w:highlight w:val="none"/>
              </w:rPr>
              <w:t>2类</w:t>
            </w:r>
            <w:r>
              <w:rPr>
                <w:rFonts w:hint="eastAsia"/>
                <w:color w:val="auto"/>
                <w:sz w:val="21"/>
                <w:szCs w:val="21"/>
                <w:highlight w:val="none"/>
                <w:lang w:eastAsia="zh-CN"/>
              </w:rPr>
              <w:t>（</w:t>
            </w:r>
            <w:r>
              <w:rPr>
                <w:rFonts w:hint="eastAsia"/>
                <w:color w:val="auto"/>
                <w:sz w:val="21"/>
                <w:szCs w:val="21"/>
                <w:highlight w:val="none"/>
                <w:lang w:val="en-US" w:eastAsia="zh-CN"/>
              </w:rPr>
              <w:t>厂区东侧及南侧执行2类标准）及4类</w:t>
            </w:r>
            <w:r>
              <w:rPr>
                <w:rFonts w:hint="default"/>
                <w:color w:val="auto"/>
                <w:sz w:val="21"/>
                <w:szCs w:val="21"/>
                <w:highlight w:val="none"/>
              </w:rPr>
              <w:t>标准</w:t>
            </w:r>
            <w:r>
              <w:rPr>
                <w:rFonts w:hint="eastAsia"/>
                <w:color w:val="auto"/>
                <w:sz w:val="21"/>
                <w:szCs w:val="21"/>
                <w:highlight w:val="none"/>
                <w:lang w:eastAsia="zh-CN"/>
              </w:rPr>
              <w:t>（</w:t>
            </w:r>
            <w:r>
              <w:rPr>
                <w:rFonts w:hint="eastAsia"/>
                <w:color w:val="auto"/>
                <w:sz w:val="21"/>
                <w:szCs w:val="21"/>
                <w:highlight w:val="none"/>
                <w:lang w:val="en-US" w:eastAsia="zh-CN"/>
              </w:rPr>
              <w:t>本项目</w:t>
            </w:r>
            <w:r>
              <w:rPr>
                <w:rFonts w:hint="eastAsia"/>
                <w:color w:val="auto"/>
                <w:kern w:val="0"/>
                <w:szCs w:val="21"/>
                <w:highlight w:val="none"/>
                <w:lang w:val="en-US" w:eastAsia="zh-CN"/>
              </w:rPr>
              <w:t>厂区北</w:t>
            </w:r>
            <w:r>
              <w:rPr>
                <w:rFonts w:hint="default"/>
                <w:color w:val="auto"/>
                <w:kern w:val="0"/>
                <w:szCs w:val="21"/>
                <w:highlight w:val="none"/>
              </w:rPr>
              <w:t>侧</w:t>
            </w:r>
            <w:r>
              <w:rPr>
                <w:rFonts w:hint="eastAsia"/>
                <w:color w:val="auto"/>
                <w:kern w:val="0"/>
                <w:szCs w:val="21"/>
                <w:highlight w:val="none"/>
                <w:lang w:val="en-US" w:eastAsia="zh-CN"/>
              </w:rPr>
              <w:t>为堡旭大道（城市主干路）及厂区西侧为旺旺路（次干路）均执行4类标准）。</w:t>
            </w:r>
          </w:p>
          <w:p>
            <w:pPr>
              <w:pStyle w:val="65"/>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 xml:space="preserve">12 </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803"/>
              <w:gridCol w:w="284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2类</w:t>
                  </w:r>
                </w:p>
              </w:tc>
              <w:tc>
                <w:tcPr>
                  <w:tcW w:w="1744"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60</w:t>
                  </w:r>
                </w:p>
              </w:tc>
              <w:tc>
                <w:tcPr>
                  <w:tcW w:w="1768"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4类</w:t>
                  </w:r>
                </w:p>
              </w:tc>
              <w:tc>
                <w:tcPr>
                  <w:tcW w:w="1744"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70</w:t>
                  </w:r>
                </w:p>
              </w:tc>
              <w:tc>
                <w:tcPr>
                  <w:tcW w:w="1768" w:type="pct"/>
                  <w:tcBorders>
                    <w:tl2br w:val="nil"/>
                    <w:tr2bl w:val="nil"/>
                  </w:tcBorders>
                  <w:vAlign w:val="center"/>
                </w:tcPr>
                <w:p>
                  <w:pPr>
                    <w:pStyle w:val="7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55</w:t>
                  </w:r>
                </w:p>
              </w:tc>
            </w:tr>
          </w:tbl>
          <w:p>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ascii="Times New Roman" w:hAnsi="Times New Roman" w:eastAsia="宋体" w:cs="Times New Roman"/>
                <w:b w:val="0"/>
                <w:bCs w:val="0"/>
                <w:color w:val="auto"/>
                <w:sz w:val="21"/>
                <w:szCs w:val="21"/>
                <w:highlight w:val="none"/>
                <w:lang w:val="en-US" w:eastAsia="zh-CN"/>
              </w:rPr>
              <w:t>、《一般固体废物分类与代码》（GB/T39198-2020）</w:t>
            </w:r>
            <w:r>
              <w:rPr>
                <w:rFonts w:hint="eastAsia" w:cs="Times New Roman"/>
                <w:b w:val="0"/>
                <w:bCs w:val="0"/>
                <w:color w:val="auto"/>
                <w:sz w:val="21"/>
                <w:szCs w:val="21"/>
                <w:highlight w:val="none"/>
                <w:lang w:val="en-US" w:eastAsia="zh-CN"/>
              </w:rPr>
              <w:t>，</w:t>
            </w:r>
            <w:r>
              <w:rPr>
                <w:rFonts w:hint="default"/>
                <w:color w:val="auto"/>
                <w:kern w:val="0"/>
                <w:szCs w:val="21"/>
                <w:highlight w:val="none"/>
              </w:rPr>
              <w:t>危险废物执行</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default" w:ascii="Times New Roman" w:hAnsi="Times New Roman" w:cs="Times New Roman"/>
                <w:color w:val="auto"/>
                <w:kern w:val="21"/>
                <w:szCs w:val="21"/>
                <w:highlight w:val="none"/>
              </w:rPr>
              <w:t>中相关要求。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3" w:hRule="atLeast"/>
          <w:jc w:val="center"/>
        </w:trPr>
        <w:tc>
          <w:tcPr>
            <w:tcW w:w="452" w:type="pct"/>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pPr>
              <w:keepNext w:val="0"/>
              <w:keepLines w:val="0"/>
              <w:suppressLineNumbers w:val="0"/>
              <w:tabs>
                <w:tab w:val="left" w:pos="5046"/>
              </w:tabs>
              <w:spacing w:before="0" w:beforeAutospacing="0" w:after="0" w:afterAutospacing="0"/>
              <w:ind w:left="0" w:right="0"/>
              <w:jc w:val="center"/>
              <w:rPr>
                <w:rFonts w:hint="eastAsia" w:eastAsia="宋体"/>
                <w:b/>
                <w:color w:val="auto"/>
                <w:szCs w:val="21"/>
                <w:highlight w:val="yellow"/>
                <w:lang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 xml:space="preserve">-13 </w:t>
            </w:r>
            <w:r>
              <w:rPr>
                <w:rFonts w:hint="eastAsia"/>
                <w:b/>
                <w:color w:val="auto"/>
                <w:szCs w:val="21"/>
                <w:highlight w:val="none"/>
              </w:rPr>
              <w:t>总量控制表</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32"/>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78"/>
              <w:gridCol w:w="2678"/>
              <w:gridCol w:w="267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名称</w:t>
                  </w:r>
                </w:p>
              </w:tc>
              <w:tc>
                <w:tcPr>
                  <w:tcW w:w="2667"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预测排放量</w:t>
                  </w:r>
                </w:p>
              </w:tc>
              <w:tc>
                <w:tcPr>
                  <w:tcW w:w="2668" w:type="dxa"/>
                  <w:tcBorders>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核定排放量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颗粒物</w:t>
                  </w:r>
                </w:p>
              </w:tc>
              <w:tc>
                <w:tcPr>
                  <w:tcW w:w="26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kern w:val="0"/>
                      <w:sz w:val="18"/>
                      <w:szCs w:val="18"/>
                      <w:highlight w:val="none"/>
                      <w:lang w:val="en-US" w:eastAsia="zh-CN"/>
                    </w:rPr>
                    <w:t>0.647</w:t>
                  </w:r>
                </w:p>
              </w:tc>
              <w:tc>
                <w:tcPr>
                  <w:tcW w:w="2668" w:type="dxa"/>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653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top w:val="single" w:color="auto" w:sz="4" w:space="0"/>
                    <w:left w:val="nil"/>
                    <w:bottom w:val="single" w:color="auto" w:sz="4" w:space="0"/>
                    <w:right w:val="single" w:color="auto" w:sz="4" w:space="0"/>
                  </w:tcBorders>
                  <w:noWrap w:val="0"/>
                  <w:vAlign w:val="center"/>
                </w:tcPr>
                <w:p>
                  <w:pPr>
                    <w:pStyle w:val="71"/>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rPr>
                    <w:t>SO</w:t>
                  </w:r>
                  <w:r>
                    <w:rPr>
                      <w:rFonts w:hint="default" w:ascii="Times New Roman" w:hAnsi="Times New Roman" w:eastAsia="宋体" w:cs="Times New Roman"/>
                      <w:color w:val="auto"/>
                      <w:sz w:val="18"/>
                      <w:szCs w:val="18"/>
                      <w:highlight w:val="none"/>
                      <w:vertAlign w:val="subscript"/>
                      <w:lang w:val="en-US"/>
                    </w:rPr>
                    <w:t>2</w:t>
                  </w:r>
                </w:p>
              </w:tc>
              <w:tc>
                <w:tcPr>
                  <w:tcW w:w="26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eastAsia="宋体" w:cs="Times New Roman"/>
                      <w:color w:val="auto"/>
                      <w:position w:val="0"/>
                      <w:sz w:val="18"/>
                      <w:szCs w:val="18"/>
                      <w:highlight w:val="none"/>
                    </w:rPr>
                    <w:t>0.</w:t>
                  </w:r>
                  <w:r>
                    <w:rPr>
                      <w:rFonts w:hint="eastAsia" w:cs="Times New Roman"/>
                      <w:color w:val="auto"/>
                      <w:position w:val="0"/>
                      <w:sz w:val="18"/>
                      <w:szCs w:val="18"/>
                      <w:highlight w:val="none"/>
                      <w:lang w:val="en-US" w:eastAsia="zh-CN"/>
                    </w:rPr>
                    <w:t>802</w:t>
                  </w:r>
                </w:p>
              </w:tc>
              <w:tc>
                <w:tcPr>
                  <w:tcW w:w="2668" w:type="dxa"/>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1.707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top w:val="single" w:color="auto" w:sz="4" w:space="0"/>
                    <w:left w:val="nil"/>
                    <w:bottom w:val="single" w:color="auto" w:sz="4" w:space="0"/>
                    <w:right w:val="single" w:color="auto" w:sz="4" w:space="0"/>
                  </w:tcBorders>
                  <w:noWrap w:val="0"/>
                  <w:vAlign w:val="center"/>
                </w:tcPr>
                <w:p>
                  <w:pPr>
                    <w:pStyle w:val="71"/>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rPr>
                    <w:t>NO</w:t>
                  </w:r>
                  <w:r>
                    <w:rPr>
                      <w:rFonts w:hint="default" w:ascii="Times New Roman" w:hAnsi="Times New Roman" w:eastAsia="宋体" w:cs="Times New Roman"/>
                      <w:color w:val="auto"/>
                      <w:sz w:val="18"/>
                      <w:szCs w:val="18"/>
                      <w:highlight w:val="none"/>
                      <w:vertAlign w:val="subscript"/>
                      <w:lang w:val="en-US"/>
                    </w:rPr>
                    <w:t>X</w:t>
                  </w:r>
                </w:p>
              </w:tc>
              <w:tc>
                <w:tcPr>
                  <w:tcW w:w="26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3.35</w:t>
                  </w:r>
                </w:p>
              </w:tc>
              <w:tc>
                <w:tcPr>
                  <w:tcW w:w="2668" w:type="dxa"/>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6.524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COD</w:t>
                  </w:r>
                </w:p>
              </w:tc>
              <w:tc>
                <w:tcPr>
                  <w:tcW w:w="266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1.64</w:t>
                  </w:r>
                </w:p>
              </w:tc>
              <w:tc>
                <w:tcPr>
                  <w:tcW w:w="2668" w:type="dxa"/>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sz w:val="18"/>
                      <w:szCs w:val="18"/>
                      <w:highlight w:val="none"/>
                      <w:lang w:val="en-US" w:eastAsia="zh-CN"/>
                    </w:rPr>
                    <w:t>27.87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7"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氨氮</w:t>
                  </w:r>
                </w:p>
              </w:tc>
              <w:tc>
                <w:tcPr>
                  <w:tcW w:w="2667" w:type="dxa"/>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0.048</w:t>
                  </w:r>
                </w:p>
              </w:tc>
              <w:tc>
                <w:tcPr>
                  <w:tcW w:w="2668" w:type="dxa"/>
                  <w:tcBorders>
                    <w:top w:val="single" w:color="auto" w:sz="4" w:space="0"/>
                    <w:left w:val="single" w:color="auto"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1.95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Cs w:val="21"/>
                <w:highlight w:val="none"/>
                <w:lang w:val="en-US" w:eastAsia="zh-CN"/>
              </w:rPr>
            </w:pPr>
          </w:p>
        </w:tc>
      </w:tr>
    </w:tbl>
    <w:p>
      <w:pPr>
        <w:pStyle w:val="28"/>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6"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6"/>
    </w:p>
    <w:tbl>
      <w:tblPr>
        <w:tblStyle w:val="32"/>
        <w:tblW w:w="90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9"/>
        <w:gridCol w:w="82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9" w:type="dxa"/>
            <w:noWrap w:val="0"/>
            <w:tcMar>
              <w:left w:w="28" w:type="dxa"/>
              <w:right w:w="28" w:type="dxa"/>
            </w:tcMar>
            <w:vAlign w:val="center"/>
          </w:tcPr>
          <w:p>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pPr>
              <w:pStyle w:val="28"/>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254" w:type="dxa"/>
            <w:noWrap w:val="0"/>
            <w:vAlign w:val="center"/>
          </w:tcPr>
          <w:p>
            <w:pPr>
              <w:pStyle w:val="18"/>
              <w:keepNext w:val="0"/>
              <w:keepLines w:val="0"/>
              <w:suppressLineNumbers w:val="0"/>
              <w:spacing w:before="0" w:beforeAutospacing="0" w:after="0" w:afterAutospacing="0" w:line="360" w:lineRule="auto"/>
              <w:ind w:left="0" w:right="0"/>
              <w:rPr>
                <w:rFonts w:hint="default" w:hAnsi="Times New Roman"/>
                <w:b/>
                <w:bCs/>
                <w:color w:val="auto"/>
                <w:highlight w:val="none"/>
              </w:rPr>
            </w:pPr>
            <w:r>
              <w:rPr>
                <w:rFonts w:hint="default" w:hAnsi="Times New Roman"/>
                <w:b/>
                <w:bCs/>
                <w:color w:val="auto"/>
                <w:highlight w:val="none"/>
              </w:rPr>
              <w:t>一、大气污染防治措施</w:t>
            </w:r>
          </w:p>
          <w:p>
            <w:pPr>
              <w:pStyle w:val="21"/>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本项目施工期废气主要为场地平整、基础开挖、建筑材料运输及装卸、弃土堆存等过程产生的扬尘，施工机械和施工运输车辆产生的机动车尾气。</w:t>
            </w:r>
          </w:p>
          <w:p>
            <w:pPr>
              <w:pStyle w:val="21"/>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sz w:val="21"/>
                <w:highlight w:val="none"/>
              </w:rPr>
            </w:pPr>
            <w:r>
              <w:rPr>
                <w:rFonts w:hint="default"/>
                <w:color w:val="auto"/>
                <w:sz w:val="21"/>
                <w:highlight w:val="none"/>
              </w:rPr>
              <w:t>治理措施：</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sz w:val="21"/>
                <w:highlight w:val="none"/>
              </w:rPr>
            </w:pPr>
            <w:r>
              <w:rPr>
                <w:rFonts w:hint="default"/>
                <w:color w:val="auto"/>
                <w:sz w:val="21"/>
                <w:highlight w:val="none"/>
              </w:rPr>
              <w:t>1）施工扬尘</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①针对施工任务和施工场地环境状况，制定合理的施工计划，采取集中力量逐段施工方法，缩短施工周期，减少施工现场的工作面，减轻施工扬尘对环境的影响。</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③施工车辆采取篷布加盖措施，施工车辆运输路线选择尽量避绕人口密集区、学校、医院等敏感点。</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④运输弃土、垃圾的车辆装载高度应低于车辆上沿，不得超高超载。实行封闭运输，以免车辆颠簸撒漏。坚持文明装卸，运输车辆装卸完货后应清洗车厢。</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⑤在施工场地上设置专人负责弃土、建筑垃圾、建筑材料的处置、清运和堆放，堆放场地加盖蓬布或洒水，防止二次扬尘。</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⑥对建筑垃圾及弃土应及时处理、清运、以减少占地，防止扬尘污染，改善施工场地的环境。</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⑦施工过程中，在施工现场周围，连续设置不低于1.5m高的围挡，并做到坚固美观。</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⑧在施工场地安排员工定期对施工场地洒水以减少扬尘量，洒水次数根据天气状况而定，一般每天洒水1~2次，若遇到大风或干燥天气可适当增加洒水次数。</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⑨施工结束后，应尽早对场区内的裸露地面进行绿化、硬化工作，减少扬尘的产生量和预防水土流失。可选取栽种易存活、好管理的本地品种，尽可能增大场区内、外的绿化面积，做到草、灌、木相结合。</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2）机械设备、车辆燃油废气防治措施如下：</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①选用先进的施工机械，减少油耗和燃油废气污染；</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②尽量使用电气化设备，少使用燃油设备；</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③做好设备的维修和养护工作，使机械设备处于良好的工作状态，减少油耗，同时降低污染。</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baseline"/>
              <w:rPr>
                <w:rFonts w:hint="default"/>
                <w:color w:val="auto"/>
                <w:szCs w:val="21"/>
                <w:highlight w:val="none"/>
              </w:rPr>
            </w:pPr>
            <w:r>
              <w:rPr>
                <w:rFonts w:hint="default"/>
                <w:color w:val="auto"/>
                <w:szCs w:val="21"/>
                <w:highlight w:val="none"/>
              </w:rPr>
              <w:t>经上述治理后，施工期产生的粉尘、扬尘对环境空气及敏感点的影响较小。满足《大气污染物综合排放标准》（GB16297-1996）表2中无组织排放标准要求。</w:t>
            </w:r>
          </w:p>
          <w:p>
            <w:pPr>
              <w:pStyle w:val="18"/>
              <w:keepNext w:val="0"/>
              <w:keepLines w:val="0"/>
              <w:suppressLineNumbers w:val="0"/>
              <w:spacing w:before="0" w:beforeAutospacing="0" w:after="0" w:afterAutospacing="0" w:line="360" w:lineRule="auto"/>
              <w:ind w:left="0" w:right="0"/>
              <w:rPr>
                <w:rFonts w:hint="default" w:hAnsi="Times New Roman"/>
                <w:b/>
                <w:bCs/>
                <w:color w:val="auto"/>
                <w:highlight w:val="none"/>
              </w:rPr>
            </w:pPr>
            <w:r>
              <w:rPr>
                <w:rFonts w:hint="default" w:hAnsi="Times New Roman"/>
                <w:b/>
                <w:bCs/>
                <w:color w:val="auto"/>
                <w:highlight w:val="none"/>
              </w:rPr>
              <w:t>二、水环境污染防治措施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1、施工废水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baseline"/>
              <w:rPr>
                <w:rFonts w:hint="default"/>
                <w:color w:val="auto"/>
                <w:highlight w:val="none"/>
              </w:rPr>
            </w:pPr>
            <w:r>
              <w:rPr>
                <w:rFonts w:hint="default"/>
                <w:color w:val="auto"/>
                <w:highlight w:val="none"/>
              </w:rPr>
              <w:t>当建设施工队伍进入施工现场进行砂、石子冲洗等施工作业过程中将会有施工泥浆废水产生，因此要求施工方在施工现场开挖修建临时废水储存池，使施工泥浆废水经过沉淀澄清处理后，上清液回收利用，不外排，池内泥浆弃土定时挖出与建筑垃圾合并，运到管理部门指定的建筑渣土堆放场地妥善堆存处理。</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2、生活污水</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highlight w:val="none"/>
              </w:rPr>
              <w:t>施工人员生活污水排入</w:t>
            </w:r>
            <w:r>
              <w:rPr>
                <w:rFonts w:hint="default"/>
                <w:color w:val="auto"/>
                <w:szCs w:val="21"/>
                <w:highlight w:val="none"/>
              </w:rPr>
              <w:t>防渗</w:t>
            </w:r>
            <w:r>
              <w:rPr>
                <w:rFonts w:hint="eastAsia"/>
                <w:color w:val="auto"/>
                <w:szCs w:val="21"/>
                <w:highlight w:val="none"/>
                <w:lang w:val="en-US" w:eastAsia="zh-CN"/>
              </w:rPr>
              <w:t>旱厕</w:t>
            </w:r>
            <w:r>
              <w:rPr>
                <w:rFonts w:hint="default"/>
                <w:color w:val="auto"/>
                <w:szCs w:val="21"/>
                <w:highlight w:val="none"/>
              </w:rPr>
              <w:t>，定期清掏、外运堆肥，不外排。</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szCs w:val="21"/>
                <w:highlight w:val="none"/>
              </w:rPr>
              <w:t>在认真落实上述措施的基础上，施工废水对施工现场周围的环境影响较小，伴随施工期的结束也将结束。</w:t>
            </w:r>
          </w:p>
          <w:p>
            <w:pPr>
              <w:pStyle w:val="18"/>
              <w:keepNext w:val="0"/>
              <w:keepLines w:val="0"/>
              <w:suppressLineNumbers w:val="0"/>
              <w:spacing w:before="0" w:beforeAutospacing="0" w:after="0" w:afterAutospacing="0" w:line="360" w:lineRule="auto"/>
              <w:ind w:left="0" w:right="0"/>
              <w:rPr>
                <w:rFonts w:hint="default" w:hAnsi="Times New Roman"/>
                <w:b/>
                <w:bCs/>
                <w:color w:val="auto"/>
                <w:highlight w:val="none"/>
              </w:rPr>
            </w:pPr>
            <w:r>
              <w:rPr>
                <w:rFonts w:hint="default" w:hAnsi="Times New Roman"/>
                <w:b/>
                <w:bCs/>
                <w:color w:val="auto"/>
                <w:highlight w:val="none"/>
              </w:rPr>
              <w:t>三、声环境防治措施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施工期噪声主要为挖掘机、推土机、轮式机、起重机、冲击式钻机、搅拌机等施工机械及车辆运行造成的。</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治理措施：①加强施工管理，合理安排施工作业时间，严格按照施工噪声管理的有关规定执行。施工现场施工单位必须执行《建筑施工场界环境噪声排放标准》（GB12523-2011）中的各项规定。将打桩等高噪声作业尽量安排在白天进行，杜绝夜间（22：00-7：00）施工噪声扰民。</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②尽量采用低噪声的施工工具，如以液压工具代替气压工具，同时尽可能采用施工噪声低的施工方法如在项目施工过程中合理调配施工设备，将噪声较大的设备、项目主入口设置于远离环境敏感点的位置。</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③合理进行施工总平面布置，高噪设备进行隔声、减振，施工现场设置隔挡，在特殊点施工时安装隔声屏障。</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④混凝土需要连续浇灌作业前，应做好各项准备工作，将搅拌机运行时间压到最低限度。</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⑤定期对机械、设备进行维护、检修。</w:t>
            </w:r>
          </w:p>
          <w:p>
            <w:pPr>
              <w:pStyle w:val="93"/>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color w:val="auto"/>
                <w:sz w:val="21"/>
                <w:highlight w:val="none"/>
              </w:rPr>
            </w:pPr>
            <w:r>
              <w:rPr>
                <w:rFonts w:hint="default"/>
                <w:color w:val="auto"/>
                <w:sz w:val="21"/>
                <w:highlight w:val="none"/>
              </w:rPr>
              <w:t>⑥加强对运输车辆的管理，施工过程中各种运输车辆的运行，还将会引起公路沿线噪声级的增加。因此，应加强对运输车辆的管理，制订合理运输路线，采取控制车速和禁鸣笛等措施，减少运输噪声污染。</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sz w:val="21"/>
                <w:highlight w:val="none"/>
              </w:rPr>
              <w:t>各施工阶段的设备产生的噪声具有阶段性、临时性和不固定性，不同的施工阶段有不同的噪声源。通过采取上述措施，施工期噪声对周边环境影响较小，基本不会产生扰民现象，并会随着施工期结束而消失。采取以上措施后，施工场界声环境可满足《建筑施工场界环境噪声排放标准》（GB12523-2011）中规定的标准。</w:t>
            </w:r>
          </w:p>
          <w:p>
            <w:pPr>
              <w:keepNext w:val="0"/>
              <w:keepLines w:val="0"/>
              <w:widowControl/>
              <w:suppressLineNumbers w:val="0"/>
              <w:spacing w:before="0" w:beforeAutospacing="0" w:after="0" w:afterAutospacing="0" w:line="360" w:lineRule="auto"/>
              <w:ind w:left="0" w:right="0"/>
              <w:rPr>
                <w:rFonts w:hint="default"/>
                <w:b/>
                <w:bCs/>
                <w:color w:val="auto"/>
                <w:highlight w:val="none"/>
              </w:rPr>
            </w:pPr>
            <w:r>
              <w:rPr>
                <w:rFonts w:hint="default"/>
                <w:b/>
                <w:bCs/>
                <w:color w:val="auto"/>
                <w:highlight w:val="none"/>
              </w:rPr>
              <w:t>四、固体废物影响分析</w:t>
            </w:r>
          </w:p>
          <w:p>
            <w:pPr>
              <w:keepNext w:val="0"/>
              <w:keepLines w:val="0"/>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施工期产生的固体废物主要包括建筑废弃材料和施工人员生活垃圾</w:t>
            </w:r>
            <w:r>
              <w:rPr>
                <w:rFonts w:hint="default"/>
                <w:color w:val="auto"/>
                <w:sz w:val="21"/>
                <w:szCs w:val="21"/>
                <w:highlight w:val="none"/>
              </w:rPr>
              <w:t>。</w:t>
            </w:r>
          </w:p>
          <w:p>
            <w:pPr>
              <w:keepNext w:val="0"/>
              <w:keepLines w:val="0"/>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pPr>
              <w:keepNext w:val="0"/>
              <w:keepLines w:val="0"/>
              <w:suppressLineNumbers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施工人员生活垃圾设置专门的储存设施，集中收集后交由市政部门处理。</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szCs w:val="21"/>
                <w:highlight w:val="none"/>
              </w:rPr>
              <w:t>施工期固体废物处置率100%。</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r>
              <w:rPr>
                <w:rFonts w:hint="default"/>
                <w:color w:val="auto"/>
                <w:sz w:val="21"/>
                <w:highlight w:val="none"/>
              </w:rPr>
              <w:t>施工期的环境影响是短暂的，只要建设施工单位加强全员职工的环境保护意识，并从施工设备的技术和管理两个方面做到文明施工、清洁施工，那么本项目在建设施工期对周围环境所产生的污染影响可控制在国家有关规定的允许范围内。当本项目建设施工结束后，上述对环境的污染影响可得到消除。</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sz w:val="21"/>
                <w:highlight w:val="none"/>
              </w:rPr>
            </w:pPr>
          </w:p>
          <w:p>
            <w:pPr>
              <w:keepNext w:val="0"/>
              <w:keepLines w:val="0"/>
              <w:suppressLineNumbers w:val="0"/>
              <w:adjustRightInd w:val="0"/>
              <w:snapToGrid w:val="0"/>
              <w:spacing w:before="0" w:beforeAutospacing="0" w:after="0" w:afterAutospacing="0" w:line="360" w:lineRule="auto"/>
              <w:ind w:left="0" w:right="0" w:firstLine="380" w:firstLineChars="200"/>
              <w:rPr>
                <w:rFonts w:hint="eastAsia" w:eastAsia="宋体"/>
                <w:bCs/>
                <w:color w:val="auto"/>
                <w:spacing w:val="-10"/>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88" w:hRule="atLeast"/>
          <w:jc w:val="center"/>
        </w:trPr>
        <w:tc>
          <w:tcPr>
            <w:tcW w:w="799"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254" w:type="dxa"/>
            <w:noWrap w:val="0"/>
            <w:vAlign w:val="top"/>
          </w:tcPr>
          <w:p>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pPr>
              <w:pStyle w:val="137"/>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表4-</w:t>
            </w:r>
            <w:r>
              <w:rPr>
                <w:rFonts w:hint="eastAsia" w:ascii="宋体" w:eastAsia="宋体" w:cs="宋体"/>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
              <w:gridCol w:w="306"/>
              <w:gridCol w:w="534"/>
              <w:gridCol w:w="285"/>
              <w:gridCol w:w="616"/>
              <w:gridCol w:w="735"/>
              <w:gridCol w:w="631"/>
              <w:gridCol w:w="542"/>
              <w:gridCol w:w="885"/>
              <w:gridCol w:w="391"/>
              <w:gridCol w:w="315"/>
              <w:gridCol w:w="627"/>
              <w:gridCol w:w="587"/>
              <w:gridCol w:w="643"/>
              <w:gridCol w:w="623"/>
              <w:gridCol w:w="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6" w:type="pct"/>
                <w:trHeight w:val="340" w:hRule="atLeast"/>
                <w:jc w:val="center"/>
              </w:trPr>
              <w:tc>
                <w:tcPr>
                  <w:tcW w:w="371" w:type="pct"/>
                  <w:gridSpan w:val="2"/>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332"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1747" w:type="pct"/>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79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治理措施</w:t>
                  </w:r>
                </w:p>
              </w:tc>
              <w:tc>
                <w:tcPr>
                  <w:tcW w:w="1738" w:type="pct"/>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gridSpan w:val="2"/>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5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19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9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190" w:type="pct"/>
                  <w:vMerge w:val="restar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lang w:val="en-US" w:eastAsia="zh-CN"/>
                    </w:rPr>
                    <w:t>燃气</w:t>
                  </w:r>
                  <w:r>
                    <w:rPr>
                      <w:rFonts w:hint="default" w:ascii="Times New Roman" w:hAnsi="Times New Roman" w:eastAsia="宋体" w:cs="Times New Roman"/>
                      <w:color w:val="auto"/>
                      <w:spacing w:val="0"/>
                      <w:position w:val="0"/>
                      <w:sz w:val="18"/>
                      <w:szCs w:val="18"/>
                      <w:highlight w:val="none"/>
                    </w:rPr>
                    <w:t>锅炉</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颗粒物</w:t>
                  </w:r>
                </w:p>
              </w:tc>
              <w:tc>
                <w:tcPr>
                  <w:tcW w:w="1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产污系数法</w:t>
                  </w:r>
                </w:p>
              </w:tc>
              <w:tc>
                <w:tcPr>
                  <w:tcW w:w="38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bCs/>
                      <w:color w:val="auto"/>
                      <w:spacing w:val="0"/>
                      <w:sz w:val="18"/>
                      <w:szCs w:val="18"/>
                      <w:highlight w:val="none"/>
                      <w:vertAlign w:val="baseline"/>
                      <w:lang w:val="en-US" w:eastAsia="zh-CN"/>
                    </w:rPr>
                    <w:t>4</w:t>
                  </w:r>
                  <w:r>
                    <w:rPr>
                      <w:rFonts w:hint="eastAsia" w:eastAsia="宋体" w:cs="Times New Roman"/>
                      <w:bCs/>
                      <w:color w:val="auto"/>
                      <w:spacing w:val="0"/>
                      <w:sz w:val="18"/>
                      <w:szCs w:val="18"/>
                      <w:highlight w:val="none"/>
                      <w:vertAlign w:val="baseline"/>
                      <w:lang w:val="en-US" w:eastAsia="zh-CN"/>
                    </w:rPr>
                    <w:t>936.24</w:t>
                  </w: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bCs/>
                      <w:color w:val="auto"/>
                      <w:spacing w:val="0"/>
                      <w:sz w:val="18"/>
                      <w:szCs w:val="18"/>
                      <w:highlight w:val="none"/>
                    </w:rPr>
                    <w:t>14.</w:t>
                  </w:r>
                  <w:r>
                    <w:rPr>
                      <w:rFonts w:hint="default" w:ascii="Times New Roman" w:hAnsi="Times New Roman" w:eastAsia="宋体" w:cs="Times New Roman"/>
                      <w:bCs/>
                      <w:color w:val="auto"/>
                      <w:spacing w:val="0"/>
                      <w:sz w:val="18"/>
                      <w:szCs w:val="18"/>
                      <w:highlight w:val="none"/>
                      <w:lang w:val="en-US" w:eastAsia="zh-CN"/>
                    </w:rPr>
                    <w:t>85</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0.079</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0.447</w:t>
                  </w:r>
                </w:p>
              </w:tc>
              <w:tc>
                <w:tcPr>
                  <w:tcW w:w="550" w:type="pct"/>
                  <w:vMerge w:val="restart"/>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19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9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bCs/>
                      <w:color w:val="auto"/>
                      <w:spacing w:val="0"/>
                      <w:sz w:val="18"/>
                      <w:szCs w:val="18"/>
                      <w:highlight w:val="none"/>
                      <w:vertAlign w:val="baseline"/>
                      <w:lang w:val="en-US" w:eastAsia="zh-CN"/>
                    </w:rPr>
                    <w:t>4</w:t>
                  </w:r>
                  <w:r>
                    <w:rPr>
                      <w:rFonts w:hint="eastAsia" w:eastAsia="宋体" w:cs="Times New Roman"/>
                      <w:bCs/>
                      <w:color w:val="auto"/>
                      <w:spacing w:val="0"/>
                      <w:sz w:val="18"/>
                      <w:szCs w:val="18"/>
                      <w:highlight w:val="none"/>
                      <w:vertAlign w:val="baseline"/>
                      <w:lang w:val="en-US" w:eastAsia="zh-CN"/>
                    </w:rPr>
                    <w:t>936.24</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bCs/>
                      <w:color w:val="auto"/>
                      <w:spacing w:val="0"/>
                      <w:sz w:val="18"/>
                      <w:szCs w:val="18"/>
                      <w:highlight w:val="none"/>
                    </w:rPr>
                    <w:t>14.</w:t>
                  </w:r>
                  <w:r>
                    <w:rPr>
                      <w:rFonts w:hint="default" w:ascii="Times New Roman" w:hAnsi="Times New Roman" w:eastAsia="宋体" w:cs="Times New Roman"/>
                      <w:bCs/>
                      <w:color w:val="auto"/>
                      <w:spacing w:val="0"/>
                      <w:sz w:val="18"/>
                      <w:szCs w:val="18"/>
                      <w:highlight w:val="none"/>
                      <w:lang w:val="en-US" w:eastAsia="zh-CN"/>
                    </w:rPr>
                    <w:t>85</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0.079</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0.447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7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物料衡算法</w:t>
                  </w: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4.05</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0.020</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0.112</w:t>
                  </w:r>
                </w:p>
              </w:tc>
              <w:tc>
                <w:tcPr>
                  <w:tcW w:w="550" w:type="pct"/>
                  <w:vMerge w:val="continue"/>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4.05</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0.020</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0.112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spacing w:val="0"/>
                      <w:sz w:val="18"/>
                      <w:szCs w:val="18"/>
                      <w:highlight w:val="none"/>
                      <w:lang w:val="en-US" w:eastAsia="zh-CN"/>
                    </w:rPr>
                    <w:t>150</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bCs/>
                      <w:color w:val="auto"/>
                      <w:spacing w:val="0"/>
                      <w:sz w:val="18"/>
                      <w:szCs w:val="18"/>
                      <w:highlight w:val="none"/>
                    </w:rPr>
                    <w:t>0.</w:t>
                  </w:r>
                  <w:r>
                    <w:rPr>
                      <w:rFonts w:hint="eastAsia" w:cs="Times New Roman"/>
                      <w:bCs/>
                      <w:color w:val="auto"/>
                      <w:spacing w:val="0"/>
                      <w:sz w:val="18"/>
                      <w:szCs w:val="18"/>
                      <w:highlight w:val="none"/>
                      <w:lang w:val="en-US" w:eastAsia="zh-CN"/>
                    </w:rPr>
                    <w:t>74</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rPr>
                  </w:pPr>
                  <w:r>
                    <w:rPr>
                      <w:rFonts w:hint="eastAsia" w:cs="Times New Roman"/>
                      <w:bCs/>
                      <w:color w:val="auto"/>
                      <w:spacing w:val="0"/>
                      <w:position w:val="0"/>
                      <w:sz w:val="18"/>
                      <w:szCs w:val="18"/>
                      <w:highlight w:val="none"/>
                      <w:lang w:val="en-US" w:eastAsia="zh-CN"/>
                    </w:rPr>
                    <w:t>4.2</w:t>
                  </w:r>
                </w:p>
              </w:tc>
              <w:tc>
                <w:tcPr>
                  <w:tcW w:w="55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rPr>
                    <w:t>低氮燃烧器，排入一根</w:t>
                  </w:r>
                  <w:r>
                    <w:rPr>
                      <w:rFonts w:hint="eastAsia" w:cs="Times New Roman"/>
                      <w:color w:val="auto"/>
                      <w:sz w:val="18"/>
                      <w:szCs w:val="18"/>
                      <w:highlight w:val="none"/>
                      <w:lang w:val="en-US" w:eastAsia="zh-CN"/>
                    </w:rPr>
                    <w:t>27</w:t>
                  </w:r>
                  <w:r>
                    <w:rPr>
                      <w:rFonts w:hint="default" w:ascii="Times New Roman" w:hAnsi="Times New Roman" w:eastAsia="宋体" w:cs="Times New Roman"/>
                      <w:color w:val="auto"/>
                      <w:sz w:val="18"/>
                      <w:szCs w:val="18"/>
                      <w:highlight w:val="none"/>
                    </w:rPr>
                    <w:t>m高烟囱DA001排放</w:t>
                  </w: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30</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spacing w:val="0"/>
                      <w:sz w:val="18"/>
                      <w:szCs w:val="18"/>
                      <w:highlight w:val="none"/>
                      <w:lang w:val="en-US" w:eastAsia="zh-CN"/>
                    </w:rPr>
                    <w:t>105</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spacing w:val="0"/>
                      <w:sz w:val="18"/>
                      <w:szCs w:val="18"/>
                      <w:highlight w:val="none"/>
                      <w:lang w:val="en-US" w:eastAsia="zh-CN"/>
                    </w:rPr>
                    <w:t>0.518</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bCs/>
                      <w:color w:val="auto"/>
                      <w:spacing w:val="0"/>
                      <w:position w:val="0"/>
                      <w:sz w:val="18"/>
                      <w:szCs w:val="18"/>
                      <w:highlight w:val="none"/>
                      <w:lang w:val="en-US" w:eastAsia="zh-CN"/>
                    </w:rPr>
                    <w:t>2.94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restar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烟熏</w:t>
                  </w:r>
                  <w:r>
                    <w:rPr>
                      <w:rFonts w:hint="eastAsia" w:cs="Times New Roman"/>
                      <w:color w:val="auto"/>
                      <w:spacing w:val="0"/>
                      <w:position w:val="0"/>
                      <w:sz w:val="18"/>
                      <w:szCs w:val="18"/>
                      <w:highlight w:val="none"/>
                      <w:lang w:val="en-US" w:eastAsia="zh-CN"/>
                    </w:rPr>
                    <w:t>烤制</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7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类比法</w:t>
                  </w:r>
                </w:p>
              </w:tc>
              <w:tc>
                <w:tcPr>
                  <w:tcW w:w="38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2000</w:t>
                  </w:r>
                </w:p>
              </w:tc>
              <w:tc>
                <w:tcPr>
                  <w:tcW w:w="45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rPr>
                  </w:pPr>
                  <w:r>
                    <w:rPr>
                      <w:rFonts w:hint="eastAsia"/>
                      <w:color w:val="auto"/>
                      <w:sz w:val="18"/>
                      <w:szCs w:val="18"/>
                      <w:highlight w:val="none"/>
                    </w:rPr>
                    <w:t>27</w:t>
                  </w:r>
                  <w:r>
                    <w:rPr>
                      <w:rFonts w:hint="eastAsia"/>
                      <w:color w:val="auto"/>
                      <w:sz w:val="18"/>
                      <w:szCs w:val="18"/>
                      <w:highlight w:val="none"/>
                      <w:lang w:val="en-US" w:eastAsia="zh-CN"/>
                    </w:rPr>
                    <w:t>4</w:t>
                  </w:r>
                </w:p>
              </w:tc>
              <w:tc>
                <w:tcPr>
                  <w:tcW w:w="392"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w:t>
                  </w:r>
                  <w:r>
                    <w:rPr>
                      <w:rFonts w:hint="eastAsia" w:cs="Times New Roman"/>
                      <w:bCs/>
                      <w:color w:val="auto"/>
                      <w:spacing w:val="0"/>
                      <w:position w:val="0"/>
                      <w:sz w:val="18"/>
                      <w:szCs w:val="18"/>
                      <w:highlight w:val="none"/>
                      <w:lang w:val="en-US" w:eastAsia="zh-CN"/>
                    </w:rPr>
                    <w:t>246</w:t>
                  </w:r>
                </w:p>
              </w:tc>
              <w:tc>
                <w:tcPr>
                  <w:tcW w:w="33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69</w:t>
                  </w:r>
                </w:p>
              </w:tc>
              <w:tc>
                <w:tcPr>
                  <w:tcW w:w="55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rPr>
                    <w:t>静电除尘器+低温等离子体净化装置，DA002排放</w:t>
                  </w: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2000</w:t>
                  </w:r>
                </w:p>
              </w:tc>
              <w:tc>
                <w:tcPr>
                  <w:tcW w:w="36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rPr>
                  </w:pPr>
                  <w:r>
                    <w:rPr>
                      <w:rFonts w:hint="eastAsia"/>
                      <w:color w:val="auto"/>
                      <w:sz w:val="18"/>
                      <w:szCs w:val="18"/>
                      <w:highlight w:val="none"/>
                    </w:rPr>
                    <w:t>27</w:t>
                  </w:r>
                  <w:r>
                    <w:rPr>
                      <w:rFonts w:hint="eastAsia"/>
                      <w:color w:val="auto"/>
                      <w:sz w:val="18"/>
                      <w:szCs w:val="18"/>
                      <w:highlight w:val="none"/>
                      <w:lang w:val="en-US" w:eastAsia="zh-CN"/>
                    </w:rPr>
                    <w:t>4</w:t>
                  </w:r>
                </w:p>
              </w:tc>
              <w:tc>
                <w:tcPr>
                  <w:tcW w:w="399"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rPr>
                  </w:pPr>
                  <w:r>
                    <w:rPr>
                      <w:rFonts w:hint="default" w:ascii="Times New Roman" w:hAnsi="Times New Roman" w:eastAsia="宋体" w:cs="Times New Roman"/>
                      <w:bCs/>
                      <w:color w:val="auto"/>
                      <w:spacing w:val="0"/>
                      <w:position w:val="0"/>
                      <w:sz w:val="18"/>
                      <w:szCs w:val="18"/>
                      <w:highlight w:val="none"/>
                      <w:lang w:val="en-US" w:eastAsia="zh-CN"/>
                    </w:rPr>
                    <w:t>0.</w:t>
                  </w:r>
                  <w:r>
                    <w:rPr>
                      <w:rFonts w:hint="eastAsia" w:cs="Times New Roman"/>
                      <w:bCs/>
                      <w:color w:val="auto"/>
                      <w:spacing w:val="0"/>
                      <w:position w:val="0"/>
                      <w:sz w:val="18"/>
                      <w:szCs w:val="18"/>
                      <w:highlight w:val="none"/>
                      <w:lang w:val="en-US" w:eastAsia="zh-CN"/>
                    </w:rPr>
                    <w:t>246</w:t>
                  </w:r>
                </w:p>
              </w:tc>
              <w:tc>
                <w:tcPr>
                  <w:tcW w:w="403" w:type="pct"/>
                  <w:gridSpan w:val="2"/>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颗粒物</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rPr>
                  </w:pPr>
                  <w:r>
                    <w:rPr>
                      <w:rFonts w:hint="eastAsia"/>
                      <w:color w:val="auto"/>
                      <w:sz w:val="18"/>
                      <w:szCs w:val="18"/>
                      <w:highlight w:val="none"/>
                    </w:rPr>
                    <w:t>60</w:t>
                  </w:r>
                  <w:r>
                    <w:rPr>
                      <w:rFonts w:hint="eastAsia"/>
                      <w:color w:val="auto"/>
                      <w:sz w:val="18"/>
                      <w:szCs w:val="18"/>
                      <w:highlight w:val="none"/>
                      <w:lang w:val="en-US" w:eastAsia="zh-CN"/>
                    </w:rPr>
                    <w:t>26</w:t>
                  </w:r>
                </w:p>
              </w:tc>
              <w:tc>
                <w:tcPr>
                  <w:tcW w:w="392"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eastAsia" w:cs="Times New Roman"/>
                      <w:bCs/>
                      <w:color w:val="auto"/>
                      <w:spacing w:val="0"/>
                      <w:position w:val="0"/>
                      <w:sz w:val="18"/>
                      <w:szCs w:val="18"/>
                      <w:highlight w:val="none"/>
                      <w:lang w:val="en-US" w:eastAsia="zh-CN"/>
                    </w:rPr>
                    <w:t>5.429</w:t>
                  </w:r>
                </w:p>
              </w:tc>
              <w:tc>
                <w:tcPr>
                  <w:tcW w:w="33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lang w:val="en-US" w:eastAsia="zh-CN"/>
                    </w:rPr>
                    <w:t>15.20</w:t>
                  </w:r>
                </w:p>
              </w:tc>
              <w:tc>
                <w:tcPr>
                  <w:tcW w:w="55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rPr>
                  </w:pPr>
                  <w:r>
                    <w:rPr>
                      <w:rFonts w:hint="default" w:ascii="Times New Roman" w:hAnsi="Times New Roman" w:eastAsia="宋体" w:cs="Times New Roman"/>
                      <w:color w:val="auto"/>
                      <w:spacing w:val="0"/>
                      <w:kern w:val="0"/>
                      <w:position w:val="0"/>
                      <w:sz w:val="18"/>
                      <w:szCs w:val="18"/>
                      <w:highlight w:val="none"/>
                      <w:lang w:val="en-US" w:eastAsia="zh-CN"/>
                    </w:rPr>
                    <w:t>98.</w:t>
                  </w:r>
                  <w:r>
                    <w:rPr>
                      <w:rFonts w:hint="eastAsia" w:cs="Times New Roman"/>
                      <w:color w:val="auto"/>
                      <w:spacing w:val="0"/>
                      <w:kern w:val="0"/>
                      <w:position w:val="0"/>
                      <w:sz w:val="18"/>
                      <w:szCs w:val="18"/>
                      <w:highlight w:val="none"/>
                      <w:lang w:val="en-US" w:eastAsia="zh-CN"/>
                    </w:rPr>
                    <w:t>7</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lang w:val="en-US"/>
                    </w:rPr>
                  </w:pPr>
                  <w:r>
                    <w:rPr>
                      <w:rFonts w:hint="eastAsia"/>
                      <w:color w:val="auto"/>
                      <w:sz w:val="18"/>
                      <w:szCs w:val="18"/>
                      <w:highlight w:val="none"/>
                      <w:lang w:val="en-US" w:eastAsia="zh-CN"/>
                    </w:rPr>
                    <w:t>78</w:t>
                  </w:r>
                </w:p>
              </w:tc>
              <w:tc>
                <w:tcPr>
                  <w:tcW w:w="399"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w:t>
                  </w:r>
                  <w:r>
                    <w:rPr>
                      <w:rFonts w:hint="eastAsia" w:cs="Times New Roman"/>
                      <w:bCs/>
                      <w:color w:val="auto"/>
                      <w:spacing w:val="0"/>
                      <w:position w:val="0"/>
                      <w:sz w:val="18"/>
                      <w:szCs w:val="18"/>
                      <w:highlight w:val="none"/>
                      <w:lang w:val="en-US" w:eastAsia="zh-CN"/>
                    </w:rPr>
                    <w:t>71</w:t>
                  </w:r>
                </w:p>
              </w:tc>
              <w:tc>
                <w:tcPr>
                  <w:tcW w:w="403" w:type="pct"/>
                  <w:gridSpan w:val="2"/>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rPr>
                  </w:pPr>
                  <w:r>
                    <w:rPr>
                      <w:rFonts w:hint="eastAsia"/>
                      <w:color w:val="auto"/>
                      <w:sz w:val="18"/>
                      <w:szCs w:val="18"/>
                      <w:highlight w:val="none"/>
                    </w:rPr>
                    <w:t>16</w:t>
                  </w:r>
                  <w:r>
                    <w:rPr>
                      <w:rFonts w:hint="eastAsia"/>
                      <w:color w:val="auto"/>
                      <w:sz w:val="18"/>
                      <w:szCs w:val="18"/>
                      <w:highlight w:val="none"/>
                      <w:lang w:val="en-US" w:eastAsia="zh-CN"/>
                    </w:rPr>
                    <w:t>3</w:t>
                  </w:r>
                </w:p>
              </w:tc>
              <w:tc>
                <w:tcPr>
                  <w:tcW w:w="392"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w:t>
                  </w:r>
                  <w:r>
                    <w:rPr>
                      <w:rFonts w:hint="eastAsia" w:cs="Times New Roman"/>
                      <w:bCs/>
                      <w:color w:val="auto"/>
                      <w:spacing w:val="0"/>
                      <w:position w:val="0"/>
                      <w:sz w:val="18"/>
                      <w:szCs w:val="18"/>
                      <w:highlight w:val="none"/>
                      <w:lang w:val="en-US" w:eastAsia="zh-CN"/>
                    </w:rPr>
                    <w:t>146</w:t>
                  </w:r>
                </w:p>
              </w:tc>
              <w:tc>
                <w:tcPr>
                  <w:tcW w:w="337"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lang w:val="en-US" w:eastAsia="zh-CN"/>
                    </w:rPr>
                    <w:t>0.41</w:t>
                  </w:r>
                </w:p>
              </w:tc>
              <w:tc>
                <w:tcPr>
                  <w:tcW w:w="55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color w:val="auto"/>
                      <w:spacing w:val="0"/>
                      <w:position w:val="0"/>
                      <w:sz w:val="18"/>
                      <w:szCs w:val="18"/>
                      <w:highlight w:val="none"/>
                    </w:rPr>
                  </w:pPr>
                  <w:r>
                    <w:rPr>
                      <w:rFonts w:hint="eastAsia"/>
                      <w:color w:val="auto"/>
                      <w:sz w:val="18"/>
                      <w:szCs w:val="18"/>
                      <w:highlight w:val="none"/>
                    </w:rPr>
                    <w:t>16</w:t>
                  </w:r>
                  <w:r>
                    <w:rPr>
                      <w:rFonts w:hint="eastAsia"/>
                      <w:color w:val="auto"/>
                      <w:sz w:val="18"/>
                      <w:szCs w:val="18"/>
                      <w:highlight w:val="none"/>
                      <w:lang w:val="en-US" w:eastAsia="zh-CN"/>
                    </w:rPr>
                    <w:t>3</w:t>
                  </w:r>
                </w:p>
              </w:tc>
              <w:tc>
                <w:tcPr>
                  <w:tcW w:w="399" w:type="pct"/>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leftChars="0" w:right="0" w:rightChars="0"/>
                    <w:textAlignment w:val="auto"/>
                    <w:rPr>
                      <w:rFonts w:hint="default" w:ascii="Times New Roman" w:hAnsi="Times New Roman" w:eastAsia="宋体" w:cs="Times New Roman"/>
                      <w:bCs/>
                      <w:color w:val="auto"/>
                      <w:spacing w:val="0"/>
                      <w:position w:val="0"/>
                      <w:sz w:val="18"/>
                      <w:szCs w:val="18"/>
                      <w:highlight w:val="none"/>
                    </w:rPr>
                  </w:pPr>
                  <w:r>
                    <w:rPr>
                      <w:rFonts w:hint="default" w:ascii="Times New Roman" w:hAnsi="Times New Roman" w:eastAsia="宋体" w:cs="Times New Roman"/>
                      <w:bCs/>
                      <w:color w:val="auto"/>
                      <w:spacing w:val="0"/>
                      <w:position w:val="0"/>
                      <w:sz w:val="18"/>
                      <w:szCs w:val="18"/>
                      <w:highlight w:val="none"/>
                      <w:lang w:val="en-US" w:eastAsia="zh-CN"/>
                    </w:rPr>
                    <w:t>0.</w:t>
                  </w:r>
                  <w:r>
                    <w:rPr>
                      <w:rFonts w:hint="eastAsia" w:cs="Times New Roman"/>
                      <w:bCs/>
                      <w:color w:val="auto"/>
                      <w:spacing w:val="0"/>
                      <w:position w:val="0"/>
                      <w:sz w:val="18"/>
                      <w:szCs w:val="18"/>
                      <w:highlight w:val="none"/>
                      <w:lang w:val="en-US" w:eastAsia="zh-CN"/>
                    </w:rPr>
                    <w:t>146</w:t>
                  </w:r>
                </w:p>
              </w:tc>
              <w:tc>
                <w:tcPr>
                  <w:tcW w:w="403" w:type="pct"/>
                  <w:gridSpan w:val="2"/>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ascii="Times New Roman" w:hAnsi="Times New Roman" w:eastAsia="宋体" w:cs="Times New Roman"/>
                      <w:bCs/>
                      <w:color w:val="auto"/>
                      <w:spacing w:val="0"/>
                      <w:position w:val="0"/>
                      <w:sz w:val="18"/>
                      <w:szCs w:val="18"/>
                      <w:highlight w:val="none"/>
                      <w:lang w:val="en-US" w:eastAsia="zh-CN"/>
                    </w:rPr>
                  </w:pPr>
                  <w:r>
                    <w:rPr>
                      <w:rFonts w:hint="eastAsia"/>
                      <w:color w:val="auto"/>
                      <w:sz w:val="18"/>
                      <w:szCs w:val="18"/>
                      <w:highlight w:val="none"/>
                      <w:lang w:val="en-US" w:eastAsia="zh-CN"/>
                    </w:rPr>
                    <w:t>0.41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臭气浓度</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1186" w:type="pct"/>
                  <w:gridSpan w:val="3"/>
                  <w:noWrap w:val="0"/>
                  <w:vAlign w:val="center"/>
                </w:tcPr>
                <w:p>
                  <w:pPr>
                    <w:keepNext w:val="0"/>
                    <w:keepLines w:val="0"/>
                    <w:suppressLineNumbers w:val="0"/>
                    <w:kinsoku w:val="0"/>
                    <w:overflowPunct w:val="0"/>
                    <w:autoSpaceDE w:val="0"/>
                    <w:autoSpaceDN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3200（无量纲）</w:t>
                  </w:r>
                </w:p>
              </w:tc>
              <w:tc>
                <w:tcPr>
                  <w:tcW w:w="55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99</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1168" w:type="pct"/>
                  <w:gridSpan w:val="4"/>
                  <w:noWrap w:val="0"/>
                  <w:vAlign w:val="center"/>
                </w:tcPr>
                <w:p>
                  <w:pPr>
                    <w:keepNext w:val="0"/>
                    <w:keepLines w:val="0"/>
                    <w:suppressLineNumbers w:val="0"/>
                    <w:kinsoku w:val="0"/>
                    <w:overflowPunct w:val="0"/>
                    <w:autoSpaceDE w:val="0"/>
                    <w:autoSpaceDN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32（无量纲）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0"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蒸煮</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臭气浓度</w:t>
                  </w:r>
                </w:p>
              </w:tc>
              <w:tc>
                <w:tcPr>
                  <w:tcW w:w="17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eastAsia="zh-CN"/>
                    </w:rPr>
                  </w:pPr>
                  <w:r>
                    <w:rPr>
                      <w:rFonts w:hint="eastAsia" w:cs="Times New Roman"/>
                      <w:color w:val="auto"/>
                      <w:spacing w:val="0"/>
                      <w:kern w:val="0"/>
                      <w:position w:val="0"/>
                      <w:sz w:val="18"/>
                      <w:szCs w:val="18"/>
                      <w:highlight w:val="none"/>
                      <w:lang w:eastAsia="zh-CN"/>
                    </w:rPr>
                    <w:t>类比法</w:t>
                  </w:r>
                </w:p>
              </w:tc>
              <w:tc>
                <w:tcPr>
                  <w:tcW w:w="3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position w:val="0"/>
                      <w:sz w:val="18"/>
                      <w:szCs w:val="18"/>
                      <w:highlight w:val="none"/>
                      <w:vertAlign w:val="baseline"/>
                      <w:lang w:val="en-US" w:eastAsia="zh-CN"/>
                    </w:rPr>
                    <w:t>200</w:t>
                  </w:r>
                  <w:r>
                    <w:rPr>
                      <w:rFonts w:hint="default" w:ascii="Times New Roman" w:hAnsi="Times New Roman" w:eastAsia="宋体" w:cs="Times New Roman"/>
                      <w:color w:val="auto"/>
                      <w:spacing w:val="0"/>
                      <w:position w:val="0"/>
                      <w:sz w:val="18"/>
                      <w:szCs w:val="18"/>
                      <w:highlight w:val="none"/>
                      <w:lang w:val="en-US" w:eastAsia="zh-CN"/>
                    </w:rPr>
                    <w:t>0</w:t>
                  </w: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6000（无量纲）</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550" w:type="pct"/>
                  <w:vMerge w:val="continue"/>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99</w:t>
                  </w:r>
                </w:p>
              </w:tc>
              <w:tc>
                <w:tcPr>
                  <w:tcW w:w="19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9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position w:val="0"/>
                      <w:sz w:val="18"/>
                      <w:szCs w:val="18"/>
                      <w:highlight w:val="none"/>
                      <w:lang w:val="en-US" w:eastAsia="zh-CN"/>
                    </w:rPr>
                    <w:t>2000</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60（无量纲）</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0"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lang w:val="en-US" w:eastAsia="zh-CN"/>
                    </w:rPr>
                    <w:t>厨房</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油烟废气</w:t>
                  </w:r>
                </w:p>
              </w:tc>
              <w:tc>
                <w:tcPr>
                  <w:tcW w:w="17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eastAsia="zh-CN"/>
                    </w:rPr>
                  </w:pPr>
                  <w:r>
                    <w:rPr>
                      <w:rFonts w:hint="eastAsia" w:cs="Times New Roman"/>
                      <w:color w:val="auto"/>
                      <w:spacing w:val="0"/>
                      <w:kern w:val="0"/>
                      <w:position w:val="0"/>
                      <w:sz w:val="18"/>
                      <w:szCs w:val="18"/>
                      <w:highlight w:val="none"/>
                      <w:lang w:eastAsia="zh-CN"/>
                    </w:rPr>
                    <w:t>系数法</w:t>
                  </w:r>
                </w:p>
              </w:tc>
              <w:tc>
                <w:tcPr>
                  <w:tcW w:w="38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8000</w:t>
                  </w: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2.68</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0.021</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rPr>
                    <w:t>0.0</w:t>
                  </w:r>
                  <w:r>
                    <w:rPr>
                      <w:rFonts w:hint="default" w:ascii="Times New Roman" w:hAnsi="Times New Roman" w:eastAsia="宋体" w:cs="Times New Roman"/>
                      <w:snapToGrid w:val="0"/>
                      <w:color w:val="auto"/>
                      <w:kern w:val="0"/>
                      <w:sz w:val="18"/>
                      <w:szCs w:val="18"/>
                      <w:highlight w:val="none"/>
                      <w:lang w:val="en-US" w:eastAsia="zh-CN"/>
                    </w:rPr>
                    <w:t>45</w:t>
                  </w:r>
                </w:p>
              </w:tc>
              <w:tc>
                <w:tcPr>
                  <w:tcW w:w="550" w:type="pct"/>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rPr>
                    <w:t>油烟净化器</w:t>
                  </w:r>
                </w:p>
              </w:tc>
              <w:tc>
                <w:tcPr>
                  <w:tcW w:w="243" w:type="pct"/>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75</w:t>
                  </w:r>
                </w:p>
              </w:tc>
              <w:tc>
                <w:tcPr>
                  <w:tcW w:w="19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90"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lang w:val="en-US" w:eastAsia="zh-CN"/>
                    </w:rPr>
                    <w:t>8000</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0"/>
                      <w:position w:val="0"/>
                      <w:sz w:val="18"/>
                      <w:szCs w:val="18"/>
                      <w:highlight w:val="none"/>
                      <w:lang w:val="en-US" w:eastAsia="zh-CN"/>
                    </w:rPr>
                    <w:t>0.402</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0.003</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restar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污水处理站</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臭气浓度</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2000</w:t>
                  </w:r>
                </w:p>
              </w:tc>
              <w:tc>
                <w:tcPr>
                  <w:tcW w:w="1186" w:type="pct"/>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5</w:t>
                  </w: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（无量纲）</w:t>
                  </w:r>
                </w:p>
              </w:tc>
              <w:tc>
                <w:tcPr>
                  <w:tcW w:w="55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val="en-US" w:eastAsia="zh-CN"/>
                    </w:rPr>
                    <w:t>集气罩+</w:t>
                  </w:r>
                  <w:r>
                    <w:rPr>
                      <w:rFonts w:hint="default" w:ascii="Times New Roman" w:hAnsi="Times New Roman" w:eastAsia="宋体" w:cs="Times New Roman"/>
                      <w:color w:val="auto"/>
                      <w:sz w:val="18"/>
                      <w:szCs w:val="18"/>
                      <w:highlight w:val="none"/>
                    </w:rPr>
                    <w:t>活性炭装置吸附处理，经15m高排气筒排放DA003</w:t>
                  </w:r>
                </w:p>
              </w:tc>
              <w:tc>
                <w:tcPr>
                  <w:tcW w:w="24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90</w:t>
                  </w: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kern w:val="0"/>
                      <w:position w:val="0"/>
                      <w:sz w:val="18"/>
                      <w:szCs w:val="18"/>
                      <w:highlight w:val="none"/>
                      <w:lang w:val="en-US" w:eastAsia="zh-CN"/>
                    </w:rPr>
                    <w:t>2000</w:t>
                  </w:r>
                </w:p>
              </w:tc>
              <w:tc>
                <w:tcPr>
                  <w:tcW w:w="1168" w:type="pct"/>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5.2（无量纲）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硫化氢</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0.1</w:t>
                  </w:r>
                  <w:r>
                    <w:rPr>
                      <w:rFonts w:hint="eastAsia" w:cs="Times New Roman"/>
                      <w:color w:val="auto"/>
                      <w:spacing w:val="0"/>
                      <w:position w:val="0"/>
                      <w:sz w:val="18"/>
                      <w:szCs w:val="18"/>
                      <w:highlight w:val="none"/>
                      <w:lang w:val="en-US" w:eastAsia="zh-CN"/>
                    </w:rPr>
                    <w:t>55</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color w:val="auto"/>
                      <w:sz w:val="18"/>
                      <w:szCs w:val="18"/>
                      <w:highlight w:val="none"/>
                    </w:rPr>
                    <w:t>0.</w:t>
                  </w:r>
                  <w:r>
                    <w:rPr>
                      <w:rFonts w:hint="eastAsia"/>
                      <w:color w:val="auto"/>
                      <w:sz w:val="18"/>
                      <w:szCs w:val="18"/>
                      <w:highlight w:val="none"/>
                      <w:lang w:val="en-US" w:eastAsia="zh-CN"/>
                    </w:rPr>
                    <w:t>00031</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0.000</w:t>
                  </w:r>
                  <w:r>
                    <w:rPr>
                      <w:rFonts w:hint="eastAsia" w:cs="Times New Roman"/>
                      <w:color w:val="auto"/>
                      <w:sz w:val="18"/>
                      <w:szCs w:val="18"/>
                      <w:highlight w:val="none"/>
                      <w:lang w:val="en-US" w:eastAsia="zh-CN"/>
                    </w:rPr>
                    <w:t>87</w:t>
                  </w:r>
                </w:p>
              </w:tc>
              <w:tc>
                <w:tcPr>
                  <w:tcW w:w="55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0.01</w:t>
                  </w:r>
                  <w:r>
                    <w:rPr>
                      <w:rFonts w:hint="eastAsia" w:cs="Times New Roman"/>
                      <w:color w:val="auto"/>
                      <w:spacing w:val="0"/>
                      <w:position w:val="0"/>
                      <w:sz w:val="18"/>
                      <w:szCs w:val="18"/>
                      <w:highlight w:val="none"/>
                      <w:lang w:val="en-US" w:eastAsia="zh-CN"/>
                    </w:rPr>
                    <w:t>55</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0.0000</w:t>
                  </w:r>
                  <w:r>
                    <w:rPr>
                      <w:rFonts w:hint="eastAsia" w:cs="Times New Roman"/>
                      <w:bCs/>
                      <w:color w:val="auto"/>
                      <w:spacing w:val="0"/>
                      <w:position w:val="0"/>
                      <w:sz w:val="18"/>
                      <w:szCs w:val="18"/>
                      <w:highlight w:val="none"/>
                      <w:lang w:val="en-US" w:eastAsia="zh-CN"/>
                    </w:rPr>
                    <w:t>31</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0.0</w:t>
                  </w:r>
                  <w:r>
                    <w:rPr>
                      <w:rFonts w:hint="default" w:ascii="Times New Roman" w:hAnsi="Times New Roman" w:eastAsia="宋体"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rPr>
                    <w:t>00</w:t>
                  </w:r>
                  <w:r>
                    <w:rPr>
                      <w:rFonts w:hint="eastAsia" w:cs="Times New Roman"/>
                      <w:color w:val="auto"/>
                      <w:sz w:val="18"/>
                      <w:szCs w:val="18"/>
                      <w:highlight w:val="none"/>
                      <w:lang w:val="en-US" w:eastAsia="zh-CN"/>
                    </w:rPr>
                    <w:t>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氨</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3.95</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w:t>
                  </w:r>
                  <w:r>
                    <w:rPr>
                      <w:rFonts w:hint="eastAsia" w:cs="Times New Roman"/>
                      <w:bCs/>
                      <w:color w:val="auto"/>
                      <w:spacing w:val="0"/>
                      <w:position w:val="0"/>
                      <w:sz w:val="18"/>
                      <w:szCs w:val="18"/>
                      <w:highlight w:val="none"/>
                      <w:lang w:val="en-US" w:eastAsia="zh-CN"/>
                    </w:rPr>
                    <w:t>7</w:t>
                  </w:r>
                  <w:r>
                    <w:rPr>
                      <w:rFonts w:hint="default" w:ascii="Times New Roman" w:hAnsi="Times New Roman" w:eastAsia="宋体" w:cs="Times New Roman"/>
                      <w:bCs/>
                      <w:color w:val="auto"/>
                      <w:spacing w:val="0"/>
                      <w:position w:val="0"/>
                      <w:sz w:val="18"/>
                      <w:szCs w:val="18"/>
                      <w:highlight w:val="none"/>
                      <w:lang w:val="en-US" w:eastAsia="zh-CN"/>
                    </w:rPr>
                    <w:t>9</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0.02</w:t>
                  </w:r>
                  <w:r>
                    <w:rPr>
                      <w:rFonts w:hint="eastAsia" w:cs="Times New Roman"/>
                      <w:color w:val="auto"/>
                      <w:sz w:val="18"/>
                      <w:szCs w:val="18"/>
                      <w:highlight w:val="none"/>
                      <w:lang w:val="en-US" w:eastAsia="zh-CN"/>
                    </w:rPr>
                    <w:t>2</w:t>
                  </w:r>
                </w:p>
              </w:tc>
              <w:tc>
                <w:tcPr>
                  <w:tcW w:w="55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4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lang w:val="en-US" w:eastAsia="zh-CN"/>
                    </w:rPr>
                    <w:t>0.</w:t>
                  </w:r>
                  <w:r>
                    <w:rPr>
                      <w:rFonts w:hint="eastAsia" w:cs="Times New Roman"/>
                      <w:color w:val="auto"/>
                      <w:spacing w:val="0"/>
                      <w:position w:val="0"/>
                      <w:sz w:val="18"/>
                      <w:szCs w:val="18"/>
                      <w:highlight w:val="none"/>
                      <w:lang w:val="en-US" w:eastAsia="zh-CN"/>
                    </w:rPr>
                    <w:t>395</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0.000</w:t>
                  </w:r>
                  <w:r>
                    <w:rPr>
                      <w:rFonts w:hint="eastAsia" w:cs="Times New Roman"/>
                      <w:bCs/>
                      <w:color w:val="auto"/>
                      <w:spacing w:val="0"/>
                      <w:position w:val="0"/>
                      <w:sz w:val="18"/>
                      <w:szCs w:val="18"/>
                      <w:highlight w:val="none"/>
                      <w:lang w:val="en-US" w:eastAsia="zh-CN"/>
                    </w:rPr>
                    <w:t>79</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pacing w:val="0"/>
                      <w:position w:val="0"/>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w:t>
                  </w:r>
                  <w:r>
                    <w:rPr>
                      <w:rFonts w:hint="eastAsia" w:cs="Times New Roman"/>
                      <w:bCs/>
                      <w:color w:val="auto"/>
                      <w:spacing w:val="0"/>
                      <w:position w:val="0"/>
                      <w:sz w:val="18"/>
                      <w:szCs w:val="18"/>
                      <w:highlight w:val="none"/>
                      <w:lang w:val="en-US" w:eastAsia="zh-CN"/>
                    </w:rPr>
                    <w:t>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无组织排放</w:t>
                  </w:r>
                </w:p>
              </w:tc>
              <w:tc>
                <w:tcPr>
                  <w:tcW w:w="190" w:type="pct"/>
                  <w:vMerge w:val="restar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污水处理站</w:t>
                  </w: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硫化氢</w:t>
                  </w:r>
                </w:p>
              </w:tc>
              <w:tc>
                <w:tcPr>
                  <w:tcW w:w="17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物料衡算法</w:t>
                  </w:r>
                </w:p>
              </w:tc>
              <w:tc>
                <w:tcPr>
                  <w:tcW w:w="38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0.000</w:t>
                  </w: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87</w:t>
                  </w:r>
                </w:p>
              </w:tc>
              <w:tc>
                <w:tcPr>
                  <w:tcW w:w="550" w:type="pct"/>
                  <w:vMerge w:val="restart"/>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24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195"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90"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rPr>
                    <w:t>/</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val="en-US" w:eastAsia="zh-CN"/>
                    </w:rPr>
                    <w:t>0.000</w:t>
                  </w: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1"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90"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3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氨</w:t>
                  </w:r>
                </w:p>
              </w:tc>
              <w:tc>
                <w:tcPr>
                  <w:tcW w:w="17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8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45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9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337"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2</w:t>
                  </w:r>
                  <w:r>
                    <w:rPr>
                      <w:rFonts w:hint="eastAsia" w:cs="Times New Roman"/>
                      <w:color w:val="auto"/>
                      <w:sz w:val="18"/>
                      <w:szCs w:val="18"/>
                      <w:highlight w:val="none"/>
                      <w:lang w:val="en-US" w:eastAsia="zh-CN"/>
                    </w:rPr>
                    <w:t>2</w:t>
                  </w:r>
                </w:p>
              </w:tc>
              <w:tc>
                <w:tcPr>
                  <w:tcW w:w="550" w:type="pct"/>
                  <w:vMerge w:val="continue"/>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243" w:type="pct"/>
                  <w:vMerge w:val="continue"/>
                  <w:noWrap w:val="0"/>
                  <w:vAlign w:val="center"/>
                </w:tcPr>
                <w:p>
                  <w:pPr>
                    <w:pStyle w:val="4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right="0" w:firstLine="0" w:firstLine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195"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90"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36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39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rPr>
                    <w:t>/</w:t>
                  </w:r>
                </w:p>
              </w:tc>
              <w:tc>
                <w:tcPr>
                  <w:tcW w:w="403"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2</w:t>
                  </w:r>
                  <w:r>
                    <w:rPr>
                      <w:rFonts w:hint="eastAsia" w:cs="Times New Roman"/>
                      <w:color w:val="auto"/>
                      <w:sz w:val="18"/>
                      <w:szCs w:val="18"/>
                      <w:highlight w:val="none"/>
                      <w:lang w:val="en-US" w:eastAsia="zh-CN"/>
                    </w:rPr>
                    <w:t>2</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1）锅炉</w:t>
            </w:r>
            <w:r>
              <w:rPr>
                <w:rFonts w:hint="default" w:ascii="Times New Roman" w:hAnsi="Times New Roman" w:eastAsia="宋体" w:cs="Times New Roman"/>
                <w:color w:val="auto"/>
                <w:spacing w:val="0"/>
                <w:sz w:val="21"/>
                <w:szCs w:val="21"/>
                <w:highlight w:val="none"/>
              </w:rPr>
              <w:t>废气</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本项目生产热源由</w:t>
            </w:r>
            <w:r>
              <w:rPr>
                <w:rFonts w:hint="default" w:ascii="Times New Roman" w:hAnsi="Times New Roman" w:cs="Times New Roman"/>
                <w:bCs/>
                <w:color w:val="auto"/>
                <w:kern w:val="0"/>
                <w:szCs w:val="21"/>
                <w:highlight w:val="none"/>
              </w:rPr>
              <w:t>1台</w:t>
            </w:r>
            <w:r>
              <w:rPr>
                <w:rFonts w:hint="eastAsia" w:ascii="Times New Roman" w:hAnsi="Times New Roman" w:cs="Times New Roman"/>
                <w:bCs/>
                <w:color w:val="auto"/>
                <w:kern w:val="0"/>
                <w:szCs w:val="21"/>
                <w:highlight w:val="none"/>
                <w:lang w:val="en-US" w:eastAsia="zh-CN"/>
              </w:rPr>
              <w:t>6</w:t>
            </w:r>
            <w:r>
              <w:rPr>
                <w:rFonts w:hint="default" w:ascii="Times New Roman" w:hAnsi="Times New Roman" w:cs="Times New Roman"/>
                <w:bCs/>
                <w:color w:val="auto"/>
                <w:kern w:val="0"/>
                <w:szCs w:val="21"/>
                <w:highlight w:val="none"/>
              </w:rPr>
              <w:t>t/h</w:t>
            </w:r>
            <w:r>
              <w:rPr>
                <w:rFonts w:hint="eastAsia" w:cs="Times New Roman"/>
                <w:bCs/>
                <w:color w:val="auto"/>
                <w:kern w:val="0"/>
                <w:szCs w:val="21"/>
                <w:highlight w:val="none"/>
                <w:lang w:eastAsia="zh-CN"/>
              </w:rPr>
              <w:t>燃气蒸汽锅炉</w:t>
            </w:r>
            <w:r>
              <w:rPr>
                <w:rFonts w:hint="default" w:ascii="Times New Roman" w:hAnsi="Times New Roman" w:cs="Times New Roman"/>
                <w:color w:val="auto"/>
                <w:szCs w:val="21"/>
                <w:highlight w:val="none"/>
              </w:rPr>
              <w:t>，</w:t>
            </w:r>
            <w:r>
              <w:rPr>
                <w:rFonts w:hint="default" w:ascii="Times New Roman" w:hAnsi="Times New Roman" w:cs="Times New Roman"/>
                <w:snapToGrid w:val="0"/>
                <w:color w:val="auto"/>
                <w:szCs w:val="21"/>
                <w:highlight w:val="none"/>
              </w:rPr>
              <w:t>锅炉废气中主要污染物为</w:t>
            </w:r>
            <w:r>
              <w:rPr>
                <w:rFonts w:hint="eastAsia" w:cs="Times New Roman"/>
                <w:snapToGrid w:val="0"/>
                <w:color w:val="auto"/>
                <w:szCs w:val="21"/>
                <w:highlight w:val="none"/>
                <w:lang w:val="en-US" w:eastAsia="zh-CN"/>
              </w:rPr>
              <w:t>颗粒物</w:t>
            </w:r>
            <w:r>
              <w:rPr>
                <w:rFonts w:hint="default" w:ascii="Times New Roman" w:hAnsi="Times New Roman" w:cs="Times New Roman"/>
                <w:snapToGrid w:val="0"/>
                <w:color w:val="auto"/>
                <w:szCs w:val="21"/>
                <w:highlight w:val="none"/>
              </w:rPr>
              <w:t>、</w:t>
            </w:r>
            <w:r>
              <w:rPr>
                <w:rFonts w:hint="default" w:ascii="Times New Roman" w:hAnsi="Times New Roman" w:cs="Times New Roman"/>
                <w:color w:val="auto"/>
                <w:kern w:val="0"/>
                <w:szCs w:val="21"/>
                <w:highlight w:val="none"/>
              </w:rPr>
              <w:t>SO</w:t>
            </w:r>
            <w:r>
              <w:rPr>
                <w:rFonts w:hint="default" w:ascii="Times New Roman" w:hAnsi="Times New Roman" w:cs="Times New Roman"/>
                <w:color w:val="auto"/>
                <w:kern w:val="0"/>
                <w:szCs w:val="21"/>
                <w:highlight w:val="none"/>
                <w:vertAlign w:val="subscript"/>
              </w:rPr>
              <w:t>2</w:t>
            </w:r>
            <w:r>
              <w:rPr>
                <w:rFonts w:hint="default" w:ascii="Times New Roman" w:hAnsi="Times New Roman" w:cs="Times New Roman"/>
                <w:color w:val="auto"/>
                <w:kern w:val="0"/>
                <w:szCs w:val="21"/>
                <w:highlight w:val="none"/>
              </w:rPr>
              <w:t>、NO</w:t>
            </w:r>
            <w:r>
              <w:rPr>
                <w:rFonts w:hint="default" w:ascii="Times New Roman" w:hAnsi="Times New Roman" w:cs="Times New Roman"/>
                <w:color w:val="auto"/>
                <w:kern w:val="0"/>
                <w:szCs w:val="21"/>
                <w:highlight w:val="none"/>
                <w:vertAlign w:val="subscript"/>
              </w:rPr>
              <w:t>X</w:t>
            </w:r>
            <w:r>
              <w:rPr>
                <w:rFonts w:hint="eastAsia" w:cs="Times New Roman"/>
                <w:color w:val="auto"/>
                <w:kern w:val="0"/>
                <w:szCs w:val="21"/>
                <w:highlight w:val="none"/>
                <w:vertAlign w:val="baseline"/>
                <w:lang w:eastAsia="zh-CN"/>
              </w:rPr>
              <w:t>、</w:t>
            </w:r>
            <w:r>
              <w:rPr>
                <w:rFonts w:hint="eastAsia" w:cs="Times New Roman"/>
                <w:color w:val="auto"/>
                <w:kern w:val="0"/>
                <w:szCs w:val="21"/>
                <w:highlight w:val="none"/>
                <w:vertAlign w:val="baseline"/>
                <w:lang w:val="en-US" w:eastAsia="zh-CN"/>
              </w:rPr>
              <w:t>烟气黑度</w:t>
            </w:r>
            <w:r>
              <w:rPr>
                <w:rFonts w:hint="default" w:ascii="Times New Roman" w:hAnsi="Times New Roman" w:cs="Times New Roman"/>
                <w:color w:val="auto"/>
                <w:szCs w:val="21"/>
                <w:highlight w:val="none"/>
              </w:rPr>
              <w:t>。本项目燃气锅炉最大</w:t>
            </w:r>
            <w:r>
              <w:rPr>
                <w:rFonts w:hint="default" w:ascii="Times New Roman" w:hAnsi="Times New Roman" w:cs="Times New Roman"/>
                <w:bCs/>
                <w:color w:val="auto"/>
                <w:szCs w:val="21"/>
                <w:highlight w:val="none"/>
              </w:rPr>
              <w:t>小时耗气量为</w:t>
            </w:r>
            <w:r>
              <w:rPr>
                <w:rFonts w:hint="eastAsia" w:ascii="Times New Roman" w:hAnsi="Times New Roman" w:cs="Times New Roman"/>
                <w:bCs/>
                <w:color w:val="auto"/>
                <w:szCs w:val="21"/>
                <w:highlight w:val="none"/>
                <w:lang w:val="en-US" w:eastAsia="zh-CN"/>
              </w:rPr>
              <w:t>492</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/h，年</w:t>
            </w:r>
            <w:r>
              <w:rPr>
                <w:rFonts w:hint="default" w:ascii="Times New Roman" w:hAnsi="Times New Roman" w:cs="Times New Roman"/>
                <w:color w:val="auto"/>
                <w:szCs w:val="21"/>
                <w:highlight w:val="none"/>
              </w:rPr>
              <w:t>燃气量为</w:t>
            </w:r>
            <w:r>
              <w:rPr>
                <w:rFonts w:hint="default" w:ascii="Times New Roman" w:hAnsi="Times New Roman" w:cs="Times New Roman"/>
                <w:bCs/>
                <w:color w:val="auto"/>
                <w:szCs w:val="21"/>
                <w:highlight w:val="none"/>
                <w:lang w:val="en-US" w:eastAsia="zh-CN"/>
              </w:rPr>
              <w:t>279.456</w:t>
            </w:r>
            <w:r>
              <w:rPr>
                <w:rFonts w:hint="default" w:ascii="Times New Roman" w:hAnsi="Times New Roman" w:cs="Times New Roman"/>
                <w:bCs/>
                <w:color w:val="auto"/>
                <w:szCs w:val="21"/>
                <w:highlight w:val="none"/>
              </w:rPr>
              <w:t>万m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color w:val="auto"/>
                <w:szCs w:val="21"/>
                <w:highlight w:val="none"/>
              </w:rPr>
              <w:t>，锅炉</w:t>
            </w:r>
            <w:r>
              <w:rPr>
                <w:rFonts w:hint="eastAsia" w:ascii="Times New Roman" w:hAnsi="Times New Roman" w:cs="Times New Roman"/>
                <w:color w:val="auto"/>
                <w:szCs w:val="21"/>
                <w:highlight w:val="none"/>
                <w:lang w:val="en-US" w:eastAsia="zh-CN"/>
              </w:rPr>
              <w:t>年</w:t>
            </w:r>
            <w:r>
              <w:rPr>
                <w:rFonts w:hint="default" w:ascii="Times New Roman" w:hAnsi="Times New Roman" w:cs="Times New Roman"/>
                <w:color w:val="auto"/>
                <w:szCs w:val="21"/>
                <w:highlight w:val="none"/>
              </w:rPr>
              <w:t>运行时间为</w:t>
            </w:r>
            <w:r>
              <w:rPr>
                <w:rFonts w:hint="eastAsia" w:ascii="Times New Roman" w:hAnsi="Times New Roman" w:cs="Times New Roman"/>
                <w:color w:val="auto"/>
                <w:szCs w:val="21"/>
                <w:highlight w:val="none"/>
                <w:lang w:val="en-US" w:eastAsia="zh-CN"/>
              </w:rPr>
              <w:t>5680</w:t>
            </w:r>
            <w:r>
              <w:rPr>
                <w:rFonts w:hint="default" w:ascii="Times New Roman" w:hAnsi="Times New Roman" w:cs="Times New Roman"/>
                <w:color w:val="auto"/>
                <w:szCs w:val="21"/>
                <w:highlight w:val="none"/>
              </w:rPr>
              <w:t>h。</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val="0"/>
                <w:color w:val="auto"/>
                <w:spacing w:val="0"/>
                <w:kern w:val="0"/>
                <w:sz w:val="21"/>
                <w:szCs w:val="21"/>
                <w:highlight w:val="none"/>
              </w:rPr>
            </w:pPr>
            <w:r>
              <w:rPr>
                <w:rFonts w:hint="default" w:ascii="Times New Roman" w:hAnsi="Times New Roman" w:eastAsia="宋体" w:cs="Times New Roman"/>
                <w:bCs w:val="0"/>
                <w:color w:val="auto"/>
                <w:spacing w:val="0"/>
                <w:kern w:val="0"/>
                <w:sz w:val="21"/>
                <w:szCs w:val="21"/>
                <w:highlight w:val="none"/>
              </w:rPr>
              <w:t>基准烟气量采用下式计算：</w:t>
            </w:r>
          </w:p>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val="0"/>
                <w:color w:val="auto"/>
                <w:spacing w:val="0"/>
                <w:kern w:val="0"/>
                <w:sz w:val="21"/>
                <w:szCs w:val="21"/>
              </w:rPr>
            </w:pPr>
            <w:r>
              <w:rPr>
                <w:rFonts w:hint="default" w:ascii="Times New Roman" w:hAnsi="Times New Roman" w:eastAsia="宋体" w:cs="Times New Roman"/>
                <w:bCs w:val="0"/>
                <w:color w:val="auto"/>
                <w:spacing w:val="0"/>
                <w:kern w:val="0"/>
                <w:sz w:val="21"/>
                <w:szCs w:val="21"/>
              </w:rPr>
              <w:t>根据</w:t>
            </w:r>
            <w:r>
              <w:rPr>
                <w:rFonts w:hint="default" w:ascii="Times New Roman" w:hAnsi="Times New Roman" w:eastAsia="宋体" w:cs="Times New Roman"/>
                <w:bCs w:val="0"/>
                <w:color w:val="auto"/>
                <w:spacing w:val="0"/>
                <w:kern w:val="0"/>
                <w:sz w:val="21"/>
                <w:szCs w:val="21"/>
                <w:lang w:eastAsia="zh-CN"/>
              </w:rPr>
              <w:t>天然气</w:t>
            </w:r>
            <w:r>
              <w:rPr>
                <w:rFonts w:hint="default" w:ascii="Times New Roman" w:hAnsi="Times New Roman" w:eastAsia="宋体" w:cs="Times New Roman"/>
                <w:bCs w:val="0"/>
                <w:color w:val="auto"/>
                <w:spacing w:val="0"/>
                <w:kern w:val="0"/>
                <w:sz w:val="21"/>
                <w:szCs w:val="21"/>
              </w:rPr>
              <w:t>分析报告（附件</w:t>
            </w:r>
            <w:r>
              <w:rPr>
                <w:rFonts w:hint="eastAsia" w:eastAsia="宋体" w:cs="Times New Roman"/>
                <w:bCs w:val="0"/>
                <w:color w:val="auto"/>
                <w:spacing w:val="0"/>
                <w:kern w:val="0"/>
                <w:sz w:val="21"/>
                <w:szCs w:val="21"/>
                <w:lang w:val="en-US" w:eastAsia="zh-CN"/>
              </w:rPr>
              <w:t>4</w:t>
            </w:r>
            <w:r>
              <w:rPr>
                <w:rFonts w:hint="default" w:ascii="Times New Roman" w:hAnsi="Times New Roman" w:eastAsia="宋体" w:cs="Times New Roman"/>
                <w:bCs w:val="0"/>
                <w:color w:val="auto"/>
                <w:spacing w:val="0"/>
                <w:kern w:val="0"/>
                <w:sz w:val="21"/>
                <w:szCs w:val="21"/>
              </w:rPr>
              <w:t>），本项目低位发热量（Q</w:t>
            </w:r>
            <w:r>
              <w:rPr>
                <w:rFonts w:hint="default" w:ascii="Times New Roman" w:hAnsi="Times New Roman" w:eastAsia="宋体" w:cs="Times New Roman"/>
                <w:bCs w:val="0"/>
                <w:color w:val="auto"/>
                <w:spacing w:val="0"/>
                <w:kern w:val="0"/>
                <w:sz w:val="21"/>
                <w:szCs w:val="21"/>
                <w:vertAlign w:val="subscript"/>
              </w:rPr>
              <w:t>net，ar</w:t>
            </w:r>
            <w:r>
              <w:rPr>
                <w:rFonts w:hint="default" w:ascii="Times New Roman" w:hAnsi="Times New Roman" w:eastAsia="宋体" w:cs="Times New Roman"/>
                <w:bCs w:val="0"/>
                <w:color w:val="auto"/>
                <w:spacing w:val="0"/>
                <w:kern w:val="0"/>
                <w:sz w:val="21"/>
                <w:szCs w:val="21"/>
              </w:rPr>
              <w:t>）为</w:t>
            </w:r>
            <w:r>
              <w:rPr>
                <w:rFonts w:hint="eastAsia" w:ascii="Times New Roman" w:hAnsi="Times New Roman" w:eastAsia="宋体" w:cs="Times New Roman"/>
                <w:bCs w:val="0"/>
                <w:color w:val="auto"/>
                <w:spacing w:val="0"/>
                <w:kern w:val="0"/>
                <w:sz w:val="21"/>
                <w:szCs w:val="21"/>
                <w:lang w:val="en-US" w:eastAsia="zh-CN"/>
              </w:rPr>
              <w:t>3</w:t>
            </w:r>
            <w:r>
              <w:rPr>
                <w:rFonts w:hint="eastAsia" w:eastAsia="宋体" w:cs="Times New Roman"/>
                <w:bCs w:val="0"/>
                <w:color w:val="auto"/>
                <w:spacing w:val="0"/>
                <w:kern w:val="0"/>
                <w:sz w:val="21"/>
                <w:szCs w:val="21"/>
                <w:lang w:val="en-US" w:eastAsia="zh-CN"/>
              </w:rPr>
              <w:t>4.0</w:t>
            </w:r>
            <w:r>
              <w:rPr>
                <w:rFonts w:hint="default" w:ascii="Times New Roman" w:hAnsi="Times New Roman" w:eastAsia="宋体" w:cs="Times New Roman"/>
                <w:bCs w:val="0"/>
                <w:color w:val="auto"/>
                <w:spacing w:val="0"/>
                <w:kern w:val="0"/>
                <w:sz w:val="21"/>
                <w:szCs w:val="21"/>
              </w:rPr>
              <w:t>MJ/kg</w:t>
            </w:r>
          </w:p>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Vgy=0.285Qnet+0.343=</w:t>
            </w:r>
            <w:r>
              <w:rPr>
                <w:rFonts w:hint="eastAsia" w:eastAsia="宋体" w:cs="Times New Roman"/>
                <w:bCs w:val="0"/>
                <w:color w:val="auto"/>
                <w:spacing w:val="0"/>
                <w:kern w:val="2"/>
                <w:sz w:val="21"/>
                <w:szCs w:val="21"/>
                <w:highlight w:val="none"/>
                <w:lang w:val="en-US" w:eastAsia="zh-CN" w:bidi="ar-SA"/>
              </w:rPr>
              <w:t>10.033</w:t>
            </w:r>
            <w:r>
              <w:rPr>
                <w:rFonts w:hint="default" w:ascii="Times New Roman" w:hAnsi="Times New Roman" w:eastAsia="宋体" w:cs="Times New Roman"/>
                <w:bCs w:val="0"/>
                <w:color w:val="auto"/>
                <w:spacing w:val="0"/>
                <w:kern w:val="2"/>
                <w:sz w:val="21"/>
                <w:szCs w:val="21"/>
                <w:highlight w:val="none"/>
                <w:lang w:val="en-US" w:eastAsia="zh-CN" w:bidi="ar-SA"/>
              </w:rPr>
              <w:t>Nm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val="0"/>
                <w:color w:val="auto"/>
                <w:spacing w:val="0"/>
                <w:kern w:val="2"/>
                <w:sz w:val="21"/>
                <w:szCs w:val="21"/>
                <w:highlight w:val="none"/>
                <w:lang w:val="en-US" w:eastAsia="zh-CN" w:bidi="ar-SA"/>
              </w:rPr>
              <w:t>/m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p>
          <w:p>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val="0"/>
                <w:color w:val="auto"/>
                <w:spacing w:val="0"/>
                <w:kern w:val="2"/>
                <w:sz w:val="21"/>
                <w:szCs w:val="21"/>
                <w:highlight w:val="none"/>
                <w:vertAlign w:val="baseline"/>
                <w:lang w:val="en-US" w:eastAsia="zh-CN" w:bidi="ar-SA"/>
              </w:rPr>
            </w:pPr>
            <w:r>
              <w:rPr>
                <w:rFonts w:hint="eastAsia" w:ascii="Times New Roman" w:hAnsi="Times New Roman" w:eastAsia="宋体" w:cs="Times New Roman"/>
                <w:bCs/>
                <w:color w:val="auto"/>
                <w:spacing w:val="0"/>
                <w:kern w:val="2"/>
                <w:sz w:val="21"/>
                <w:szCs w:val="21"/>
                <w:highlight w:val="none"/>
                <w:lang w:val="en-US" w:eastAsia="zh-CN" w:bidi="ar-SA"/>
              </w:rPr>
              <w:t>则</w:t>
            </w:r>
            <w:r>
              <w:rPr>
                <w:rFonts w:hint="default" w:ascii="Times New Roman" w:hAnsi="Times New Roman" w:eastAsia="宋体" w:cs="Times New Roman"/>
                <w:bCs/>
                <w:color w:val="auto"/>
                <w:spacing w:val="0"/>
                <w:kern w:val="2"/>
                <w:sz w:val="21"/>
                <w:szCs w:val="21"/>
                <w:highlight w:val="none"/>
                <w:lang w:val="en-US" w:eastAsia="zh-CN" w:bidi="ar-SA"/>
              </w:rPr>
              <w:t>Q</w:t>
            </w:r>
            <w:r>
              <w:rPr>
                <w:rFonts w:hint="default" w:ascii="Times New Roman" w:hAnsi="Times New Roman" w:eastAsia="宋体" w:cs="Times New Roman"/>
                <w:bCs w:val="0"/>
                <w:color w:val="auto"/>
                <w:spacing w:val="0"/>
                <w:kern w:val="2"/>
                <w:sz w:val="21"/>
                <w:szCs w:val="21"/>
                <w:highlight w:val="none"/>
                <w:lang w:val="en-US" w:eastAsia="zh-CN" w:bidi="ar-SA"/>
              </w:rPr>
              <w:t>=</w:t>
            </w:r>
            <w:r>
              <w:rPr>
                <w:rFonts w:hint="eastAsia" w:eastAsia="宋体" w:cs="Times New Roman"/>
                <w:bCs w:val="0"/>
                <w:color w:val="auto"/>
                <w:spacing w:val="0"/>
                <w:kern w:val="2"/>
                <w:sz w:val="21"/>
                <w:szCs w:val="21"/>
                <w:highlight w:val="none"/>
                <w:lang w:val="en-US" w:eastAsia="zh-CN" w:bidi="ar-SA"/>
              </w:rPr>
              <w:t>28037820.48</w:t>
            </w:r>
            <w:r>
              <w:rPr>
                <w:rFonts w:hint="default" w:ascii="Times New Roman" w:hAnsi="Times New Roman" w:eastAsia="宋体" w:cs="Times New Roman"/>
                <w:bCs/>
                <w:color w:val="auto"/>
                <w:spacing w:val="0"/>
                <w:kern w:val="2"/>
                <w:sz w:val="21"/>
                <w:szCs w:val="21"/>
                <w:highlight w:val="none"/>
                <w:lang w:val="en-US" w:eastAsia="zh-CN" w:bidi="ar-SA"/>
              </w:rPr>
              <w:t>m</w:t>
            </w:r>
            <w:r>
              <w:rPr>
                <w:rFonts w:hint="default" w:ascii="Times New Roman" w:hAnsi="Times New Roman" w:eastAsia="宋体" w:cs="Times New Roman"/>
                <w:bCs/>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color w:val="auto"/>
                <w:spacing w:val="0"/>
                <w:sz w:val="21"/>
                <w:szCs w:val="21"/>
                <w:highlight w:val="none"/>
                <w:vertAlign w:val="baseline"/>
                <w:lang w:eastAsia="zh-CN"/>
              </w:rPr>
              <w:t>（</w:t>
            </w:r>
            <w:r>
              <w:rPr>
                <w:rFonts w:hint="eastAsia" w:ascii="Times New Roman" w:hAnsi="Times New Roman" w:eastAsia="宋体" w:cs="Times New Roman"/>
                <w:bCs/>
                <w:color w:val="auto"/>
                <w:spacing w:val="0"/>
                <w:sz w:val="21"/>
                <w:szCs w:val="21"/>
                <w:highlight w:val="none"/>
                <w:vertAlign w:val="baseline"/>
                <w:lang w:val="en-US" w:eastAsia="zh-CN"/>
              </w:rPr>
              <w:t>4</w:t>
            </w:r>
            <w:r>
              <w:rPr>
                <w:rFonts w:hint="eastAsia" w:eastAsia="宋体" w:cs="Times New Roman"/>
                <w:bCs/>
                <w:color w:val="auto"/>
                <w:spacing w:val="0"/>
                <w:sz w:val="21"/>
                <w:szCs w:val="21"/>
                <w:highlight w:val="none"/>
                <w:vertAlign w:val="baseline"/>
                <w:lang w:val="en-US" w:eastAsia="zh-CN"/>
              </w:rPr>
              <w:t>936.24</w:t>
            </w:r>
            <w:r>
              <w:rPr>
                <w:rFonts w:hint="default" w:ascii="Times New Roman" w:hAnsi="Times New Roman" w:eastAsia="宋体" w:cs="Times New Roman"/>
                <w:bCs/>
                <w:color w:val="auto"/>
                <w:spacing w:val="0"/>
                <w:sz w:val="21"/>
                <w:szCs w:val="21"/>
                <w:highlight w:val="none"/>
              </w:rPr>
              <w:t>m</w:t>
            </w:r>
            <w:r>
              <w:rPr>
                <w:rFonts w:hint="default" w:ascii="Times New Roman" w:hAnsi="Times New Roman" w:eastAsia="宋体" w:cs="Times New Roman"/>
                <w:bCs/>
                <w:color w:val="auto"/>
                <w:spacing w:val="0"/>
                <w:sz w:val="21"/>
                <w:szCs w:val="21"/>
                <w:highlight w:val="none"/>
                <w:vertAlign w:val="superscript"/>
              </w:rPr>
              <w:t>3</w:t>
            </w:r>
            <w:r>
              <w:rPr>
                <w:rFonts w:hint="default" w:ascii="Times New Roman" w:hAnsi="Times New Roman" w:eastAsia="宋体" w:cs="Times New Roman"/>
                <w:bCs/>
                <w:color w:val="auto"/>
                <w:spacing w:val="0"/>
                <w:sz w:val="21"/>
                <w:szCs w:val="21"/>
                <w:highlight w:val="none"/>
                <w:vertAlign w:val="baseline"/>
                <w:lang w:val="en-US" w:eastAsia="zh-CN"/>
              </w:rPr>
              <w:t>/h</w:t>
            </w:r>
            <w:r>
              <w:rPr>
                <w:rFonts w:hint="default" w:ascii="Times New Roman" w:hAnsi="Times New Roman" w:eastAsia="宋体" w:cs="Times New Roman"/>
                <w:bCs/>
                <w:color w:val="auto"/>
                <w:spacing w:val="0"/>
                <w:sz w:val="21"/>
                <w:szCs w:val="21"/>
                <w:highlight w:val="none"/>
                <w:vertAlign w:val="baseline"/>
                <w:lang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color w:val="auto"/>
                <w:spacing w:val="0"/>
                <w:kern w:val="0"/>
                <w:sz w:val="21"/>
                <w:szCs w:val="21"/>
                <w:highlight w:val="none"/>
                <w:lang w:eastAsia="zh-CN"/>
              </w:rPr>
              <w:t>因</w:t>
            </w:r>
            <w:r>
              <w:rPr>
                <w:rFonts w:hint="eastAsia" w:eastAsia="宋体" w:cs="Times New Roman"/>
                <w:bCs/>
                <w:color w:val="auto"/>
                <w:spacing w:val="0"/>
                <w:kern w:val="0"/>
                <w:sz w:val="21"/>
                <w:szCs w:val="21"/>
                <w:highlight w:val="none"/>
                <w:lang w:val="en-US" w:eastAsia="zh-CN"/>
              </w:rPr>
              <w:t>新建锅炉，</w:t>
            </w:r>
            <w:r>
              <w:rPr>
                <w:rFonts w:hint="eastAsia" w:ascii="Times New Roman" w:hAnsi="Times New Roman" w:eastAsia="宋体" w:cs="Times New Roman"/>
                <w:bCs/>
                <w:color w:val="auto"/>
                <w:spacing w:val="0"/>
                <w:kern w:val="0"/>
                <w:sz w:val="21"/>
                <w:szCs w:val="21"/>
                <w:highlight w:val="none"/>
                <w:lang w:eastAsia="zh-CN"/>
              </w:rPr>
              <w:t>现阶段不具备采样条件，</w:t>
            </w:r>
            <w:r>
              <w:rPr>
                <w:rFonts w:hint="default" w:ascii="Times New Roman" w:hAnsi="Times New Roman" w:eastAsia="宋体" w:cs="Times New Roman"/>
                <w:bCs/>
                <w:color w:val="auto"/>
                <w:spacing w:val="0"/>
                <w:kern w:val="0"/>
                <w:sz w:val="21"/>
                <w:szCs w:val="21"/>
                <w:highlight w:val="none"/>
                <w:lang w:eastAsia="zh-CN"/>
              </w:rPr>
              <w:t>根据</w:t>
            </w:r>
            <w:r>
              <w:rPr>
                <w:rFonts w:hint="default" w:ascii="Times New Roman" w:hAnsi="Times New Roman" w:eastAsia="宋体" w:cs="Times New Roman"/>
                <w:bCs w:val="0"/>
                <w:color w:val="auto"/>
                <w:spacing w:val="0"/>
                <w:sz w:val="21"/>
                <w:szCs w:val="21"/>
                <w:highlight w:val="none"/>
                <w:vertAlign w:val="baseline"/>
                <w:lang w:val="en-US" w:eastAsia="zh-CN"/>
              </w:rPr>
              <w:t>《污染源源强核算技术指南 锅炉》（HJ991-2018），燃气锅炉污染物</w:t>
            </w:r>
            <w:r>
              <w:rPr>
                <w:rFonts w:hint="eastAsia" w:ascii="Times New Roman" w:hAnsi="Times New Roman" w:eastAsia="宋体" w:cs="Times New Roman"/>
                <w:bCs w:val="0"/>
                <w:color w:val="auto"/>
                <w:spacing w:val="0"/>
                <w:sz w:val="21"/>
                <w:szCs w:val="21"/>
                <w:highlight w:val="none"/>
                <w:vertAlign w:val="baseline"/>
                <w:lang w:val="en-US" w:eastAsia="zh-CN"/>
              </w:rPr>
              <w:t>二氧化硫、氮氧化物</w:t>
            </w:r>
            <w:r>
              <w:rPr>
                <w:rFonts w:hint="default" w:ascii="Times New Roman" w:hAnsi="Times New Roman" w:eastAsia="宋体" w:cs="Times New Roman"/>
                <w:bCs/>
                <w:color w:val="auto"/>
                <w:spacing w:val="0"/>
                <w:kern w:val="0"/>
                <w:sz w:val="21"/>
                <w:szCs w:val="21"/>
                <w:highlight w:val="none"/>
                <w:lang w:eastAsia="zh-CN"/>
              </w:rPr>
              <w:t>排放量</w:t>
            </w:r>
            <w:r>
              <w:rPr>
                <w:rFonts w:hint="eastAsia" w:ascii="Times New Roman" w:hAnsi="Times New Roman" w:eastAsia="宋体" w:cs="Times New Roman"/>
                <w:bCs/>
                <w:color w:val="auto"/>
                <w:spacing w:val="0"/>
                <w:kern w:val="0"/>
                <w:sz w:val="21"/>
                <w:szCs w:val="21"/>
                <w:highlight w:val="none"/>
                <w:lang w:eastAsia="zh-CN"/>
              </w:rPr>
              <w:t>采用“</w:t>
            </w:r>
            <w:r>
              <w:rPr>
                <w:rFonts w:hint="eastAsia" w:ascii="Times New Roman" w:hAnsi="Times New Roman" w:eastAsia="宋体" w:cs="Times New Roman"/>
                <w:bCs w:val="0"/>
                <w:color w:val="auto"/>
                <w:spacing w:val="0"/>
                <w:sz w:val="21"/>
                <w:szCs w:val="21"/>
                <w:highlight w:val="none"/>
                <w:vertAlign w:val="baseline"/>
                <w:lang w:val="en-US" w:eastAsia="zh-CN"/>
              </w:rPr>
              <w:t>物料衡算法”</w:t>
            </w:r>
            <w:r>
              <w:rPr>
                <w:rFonts w:hint="default" w:ascii="Times New Roman" w:hAnsi="Times New Roman" w:eastAsia="宋体" w:cs="Times New Roman"/>
                <w:bCs w:val="0"/>
                <w:color w:val="auto"/>
                <w:spacing w:val="0"/>
                <w:sz w:val="21"/>
                <w:szCs w:val="21"/>
                <w:highlight w:val="none"/>
                <w:vertAlign w:val="baseline"/>
                <w:lang w:val="en-US" w:eastAsia="zh-CN"/>
              </w:rPr>
              <w:t>进行核算</w:t>
            </w:r>
            <w:r>
              <w:rPr>
                <w:rFonts w:hint="eastAsia" w:ascii="Times New Roman" w:hAnsi="Times New Roman" w:eastAsia="宋体" w:cs="Times New Roman"/>
                <w:bCs w:val="0"/>
                <w:color w:val="auto"/>
                <w:spacing w:val="0"/>
                <w:sz w:val="21"/>
                <w:szCs w:val="21"/>
                <w:highlight w:val="none"/>
                <w:vertAlign w:val="baseline"/>
                <w:lang w:val="en-US" w:eastAsia="zh-CN"/>
              </w:rPr>
              <w:t>，颗粒物采用产污系数法进行核算</w:t>
            </w:r>
            <w:r>
              <w:rPr>
                <w:rFonts w:hint="default" w:ascii="Times New Roman" w:hAnsi="Times New Roman" w:eastAsia="宋体" w:cs="Times New Roman"/>
                <w:bCs w:val="0"/>
                <w:color w:val="auto"/>
                <w:spacing w:val="0"/>
                <w:sz w:val="21"/>
                <w:szCs w:val="21"/>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default" w:ascii="Times New Roman" w:hAnsi="Times New Roman" w:eastAsia="宋体" w:cs="Times New Roman"/>
                <w:bCs w:val="0"/>
                <w:color w:val="auto"/>
                <w:spacing w:val="0"/>
                <w:position w:val="-32"/>
                <w:sz w:val="21"/>
                <w:szCs w:val="21"/>
                <w:highlight w:val="none"/>
                <w:vertAlign w:val="baseline"/>
                <w:lang w:val="en-US" w:eastAsia="zh-CN"/>
              </w:rPr>
              <w:object>
                <v:shape id="_x0000_i1030" o:spt="75" type="#_x0000_t75" style="height:38pt;width:165pt;" o:ole="t" filled="f" o:preferrelative="t" stroked="f" coordsize="21600,21600">
                  <v:path/>
                  <v:fill on="f" focussize="0,0"/>
                  <v:stroke on="f"/>
                  <v:imagedata r:id="rId23" o:title=""/>
                  <o:lock v:ext="edit" aspectratio="t"/>
                  <w10:wrap type="none"/>
                  <w10:anchorlock/>
                </v:shape>
                <o:OLEObject Type="Embed" ProgID="Equation.KSEE3" ShapeID="_x0000_i1030" DrawAspect="Content" ObjectID="_1468075730" r:id="rId22">
                  <o:LockedField>false</o:LockedField>
                </o:OLEObject>
              </w:objec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val="0"/>
                <w:color w:val="auto"/>
                <w:spacing w:val="0"/>
                <w:sz w:val="21"/>
                <w:szCs w:val="21"/>
                <w:highlight w:val="none"/>
                <w:vertAlign w:val="baseline"/>
                <w:lang w:val="en-US" w:eastAsia="zh-CN"/>
              </w:rPr>
              <w:t>式中：</w:t>
            </w:r>
            <w:r>
              <w:rPr>
                <w:rFonts w:hint="eastAsia" w:ascii="Times New Roman" w:hAnsi="Times New Roman" w:eastAsia="宋体" w:cs="Times New Roman"/>
                <w:bCs w:val="0"/>
                <w:color w:val="auto"/>
                <w:spacing w:val="0"/>
                <w:position w:val="-14"/>
                <w:sz w:val="21"/>
                <w:szCs w:val="21"/>
                <w:highlight w:val="none"/>
                <w:vertAlign w:val="baseline"/>
                <w:lang w:val="en-US" w:eastAsia="zh-CN"/>
              </w:rPr>
              <w:object>
                <v:shape id="_x0000_i1031" o:spt="75" type="#_x0000_t75" style="height:19pt;width:27pt;" o:ole="t" filled="f" o:preferrelative="t" stroked="f" coordsize="21600,21600">
                  <v:path/>
                  <v:fill on="f" focussize="0,0"/>
                  <v:stroke on="f"/>
                  <v:imagedata r:id="rId25" o:title=""/>
                  <o:lock v:ext="edit" aspectratio="t"/>
                  <w10:wrap type="none"/>
                  <w10:anchorlock/>
                </v:shape>
                <o:OLEObject Type="Embed" ProgID="Equation.KSEE3" ShapeID="_x0000_i1031" DrawAspect="Content" ObjectID="_1468075731" r:id="rId24">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--核算时段内氮氧化物排放量，t；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eastAsia" w:ascii="Times New Roman" w:hAnsi="Times New Roman" w:eastAsia="宋体" w:cs="Times New Roman"/>
                <w:bCs w:val="0"/>
                <w:color w:val="auto"/>
                <w:spacing w:val="0"/>
                <w:sz w:val="21"/>
                <w:szCs w:val="21"/>
                <w:highlight w:val="none"/>
                <w:vertAlign w:val="baseline"/>
                <w:lang w:val="en-US" w:eastAsia="zh-CN"/>
              </w:rPr>
            </w:pPr>
            <w:r>
              <w:rPr>
                <w:rFonts w:hint="default" w:ascii="Times New Roman" w:hAnsi="Times New Roman" w:eastAsia="宋体" w:cs="Times New Roman"/>
                <w:bCs w:val="0"/>
                <w:color w:val="auto"/>
                <w:spacing w:val="0"/>
                <w:position w:val="-14"/>
                <w:sz w:val="21"/>
                <w:szCs w:val="21"/>
                <w:highlight w:val="none"/>
                <w:vertAlign w:val="baseline"/>
                <w:lang w:val="en-US" w:eastAsia="zh-CN"/>
              </w:rPr>
              <w:object>
                <v:shape id="_x0000_i1032" o:spt="75" type="#_x0000_t75" style="height:19pt;width:27pt;" o:ole="t" filled="f" o:preferrelative="t" stroked="f" coordsize="21600,21600">
                  <v:path/>
                  <v:fill on="f" focussize="0,0"/>
                  <v:stroke on="f"/>
                  <v:imagedata r:id="rId27" o:title=""/>
                  <o:lock v:ext="edit" aspectratio="t"/>
                  <w10:wrap type="none"/>
                  <w10:anchorlock/>
                </v:shape>
                <o:OLEObject Type="Embed" ProgID="Equation.KSEE3" ShapeID="_x0000_i1032" DrawAspect="Content" ObjectID="_1468075732" r:id="rId26">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--锅炉炉膛出口氮氧化物质量浓度，mg/m</w:t>
            </w:r>
            <w:r>
              <w:rPr>
                <w:rFonts w:hint="eastAsia" w:ascii="Times New Roman" w:hAnsi="Times New Roman" w:eastAsia="宋体" w:cs="Times New Roman"/>
                <w:bCs w:val="0"/>
                <w:color w:val="auto"/>
                <w:spacing w:val="0"/>
                <w:sz w:val="21"/>
                <w:szCs w:val="21"/>
                <w:highlight w:val="none"/>
                <w:vertAlign w:val="superscript"/>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，根据设计资料本次取</w:t>
            </w:r>
            <w:r>
              <w:rPr>
                <w:rFonts w:hint="eastAsia" w:eastAsia="宋体" w:cs="Times New Roman"/>
                <w:bCs w:val="0"/>
                <w:color w:val="auto"/>
                <w:spacing w:val="0"/>
                <w:sz w:val="21"/>
                <w:szCs w:val="21"/>
                <w:highlight w:val="none"/>
                <w:vertAlign w:val="baseline"/>
                <w:lang w:val="en-US" w:eastAsia="zh-CN"/>
              </w:rPr>
              <w:t>150</w:t>
            </w:r>
            <w:r>
              <w:rPr>
                <w:rFonts w:hint="eastAsia" w:ascii="Times New Roman" w:hAnsi="Times New Roman" w:eastAsia="宋体" w:cs="Times New Roman"/>
                <w:bCs w:val="0"/>
                <w:color w:val="auto"/>
                <w:spacing w:val="0"/>
                <w:sz w:val="21"/>
                <w:szCs w:val="21"/>
                <w:highlight w:val="none"/>
                <w:vertAlign w:val="baseline"/>
                <w:lang w:val="en-US" w:eastAsia="zh-CN"/>
              </w:rPr>
              <w:t>mg/m</w:t>
            </w:r>
            <w:r>
              <w:rPr>
                <w:rFonts w:hint="eastAsia" w:ascii="Times New Roman" w:hAnsi="Times New Roman" w:eastAsia="宋体" w:cs="Times New Roman"/>
                <w:bCs w:val="0"/>
                <w:color w:val="auto"/>
                <w:spacing w:val="0"/>
                <w:sz w:val="21"/>
                <w:szCs w:val="21"/>
                <w:highlight w:val="none"/>
                <w:vertAlign w:val="superscript"/>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eastAsia"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val="0"/>
                <w:color w:val="auto"/>
                <w:spacing w:val="0"/>
                <w:sz w:val="21"/>
                <w:szCs w:val="21"/>
                <w:highlight w:val="none"/>
                <w:vertAlign w:val="baseline"/>
                <w:lang w:val="en-US" w:eastAsia="zh-CN"/>
              </w:rPr>
              <w:t>Q--核算时段内标态干烟气排放量，m</w:t>
            </w:r>
            <w:r>
              <w:rPr>
                <w:rFonts w:hint="eastAsia" w:ascii="Times New Roman" w:hAnsi="Times New Roman" w:eastAsia="宋体" w:cs="Times New Roman"/>
                <w:bCs w:val="0"/>
                <w:color w:val="auto"/>
                <w:spacing w:val="0"/>
                <w:sz w:val="21"/>
                <w:szCs w:val="21"/>
                <w:highlight w:val="none"/>
                <w:vertAlign w:val="superscript"/>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default" w:ascii="Times New Roman" w:hAnsi="Times New Roman" w:eastAsia="宋体" w:cs="Times New Roman"/>
                <w:bCs w:val="0"/>
                <w:color w:val="auto"/>
                <w:spacing w:val="0"/>
                <w:sz w:val="21"/>
                <w:szCs w:val="21"/>
                <w:highlight w:val="yellow"/>
                <w:vertAlign w:val="baseline"/>
                <w:lang w:val="en-US" w:eastAsia="zh-CN"/>
              </w:rPr>
            </w:pPr>
            <w:r>
              <w:rPr>
                <w:rFonts w:hint="default" w:ascii="Times New Roman" w:hAnsi="Times New Roman" w:eastAsia="宋体" w:cs="Times New Roman"/>
                <w:bCs w:val="0"/>
                <w:color w:val="auto"/>
                <w:spacing w:val="0"/>
                <w:position w:val="-14"/>
                <w:sz w:val="21"/>
                <w:szCs w:val="21"/>
                <w:highlight w:val="none"/>
                <w:vertAlign w:val="baseline"/>
                <w:lang w:val="en-US" w:eastAsia="zh-CN"/>
              </w:rPr>
              <w:object>
                <v:shape id="_x0000_i1033" o:spt="75" type="#_x0000_t75" style="height:19pt;width:24.95pt;" o:ole="t" filled="f" o:preferrelative="t" stroked="f" coordsize="21600,21600">
                  <v:path/>
                  <v:fill on="f" focussize="0,0"/>
                  <v:stroke on="f"/>
                  <v:imagedata r:id="rId29" o:title=""/>
                  <o:lock v:ext="edit" aspectratio="t"/>
                  <w10:wrap type="none"/>
                  <w10:anchorlock/>
                </v:shape>
                <o:OLEObject Type="Embed" ProgID="Equation.KSEE3" ShapeID="_x0000_i1033" DrawAspect="Content" ObjectID="_1468075733" r:id="rId28">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--脱硝效率，%，本次取</w:t>
            </w:r>
            <w:r>
              <w:rPr>
                <w:rFonts w:hint="eastAsia" w:cs="Times New Roman"/>
                <w:bCs w:val="0"/>
                <w:color w:val="auto"/>
                <w:spacing w:val="0"/>
                <w:sz w:val="21"/>
                <w:szCs w:val="21"/>
                <w:highlight w:val="none"/>
                <w:vertAlign w:val="baseline"/>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0%；</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default" w:ascii="Times New Roman" w:hAnsi="Times New Roman" w:eastAsia="宋体" w:cs="Times New Roman"/>
                <w:bCs w:val="0"/>
                <w:color w:val="auto"/>
                <w:spacing w:val="0"/>
                <w:position w:val="-28"/>
                <w:sz w:val="21"/>
                <w:szCs w:val="21"/>
                <w:highlight w:val="none"/>
                <w:vertAlign w:val="baseline"/>
                <w:lang w:val="en-US" w:eastAsia="zh-CN"/>
              </w:rPr>
              <w:object>
                <v:shape id="_x0000_i1034" o:spt="75" type="#_x0000_t75" style="height:34pt;width:172pt;" o:ole="t" filled="f" o:preferrelative="t" stroked="f" coordsize="21600,21600">
                  <v:path/>
                  <v:fill on="f" focussize="0,0"/>
                  <v:stroke on="f"/>
                  <v:imagedata r:id="rId31" o:title=""/>
                  <o:lock v:ext="edit" aspectratio="t"/>
                  <w10:wrap type="none"/>
                  <w10:anchorlock/>
                </v:shape>
                <o:OLEObject Type="Embed" ProgID="Equation.KSEE3" ShapeID="_x0000_i1034" DrawAspect="Content" ObjectID="_1468075734" r:id="rId30">
                  <o:LockedField>false</o:LockedField>
                </o:OLEObject>
              </w:objec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val="0"/>
                <w:color w:val="auto"/>
                <w:spacing w:val="0"/>
                <w:sz w:val="21"/>
                <w:szCs w:val="21"/>
                <w:highlight w:val="none"/>
                <w:vertAlign w:val="baseline"/>
                <w:lang w:val="en-US" w:eastAsia="zh-CN"/>
              </w:rPr>
              <w:t>式中：</w:t>
            </w:r>
            <w:r>
              <w:rPr>
                <w:rFonts w:hint="eastAsia" w:ascii="Times New Roman" w:hAnsi="Times New Roman" w:eastAsia="宋体" w:cs="Times New Roman"/>
                <w:bCs w:val="0"/>
                <w:color w:val="auto"/>
                <w:spacing w:val="0"/>
                <w:position w:val="-14"/>
                <w:sz w:val="21"/>
                <w:szCs w:val="21"/>
                <w:highlight w:val="none"/>
                <w:vertAlign w:val="baseline"/>
                <w:lang w:val="en-US" w:eastAsia="zh-CN"/>
              </w:rPr>
              <w:object>
                <v:shape id="_x0000_i1035" o:spt="75" type="#_x0000_t75" style="height:19pt;width:24pt;" o:ole="t" filled="f" o:preferrelative="t" stroked="f" coordsize="21600,21600">
                  <v:path/>
                  <v:fill on="f" focussize="0,0"/>
                  <v:stroke on="f"/>
                  <v:imagedata r:id="rId33" o:title=""/>
                  <o:lock v:ext="edit" aspectratio="t"/>
                  <w10:wrap type="none"/>
                  <w10:anchorlock/>
                </v:shape>
                <o:OLEObject Type="Embed" ProgID="Equation.KSEE3" ShapeID="_x0000_i1035" DrawAspect="Content" ObjectID="_1468075735" r:id="rId32">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--核算时段内二氧化硫排放量，t；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val="0"/>
                <w:color w:val="auto"/>
                <w:spacing w:val="0"/>
                <w:sz w:val="21"/>
                <w:szCs w:val="21"/>
                <w:highlight w:val="none"/>
                <w:vertAlign w:val="baseline"/>
                <w:lang w:val="en-US" w:eastAsia="zh-CN"/>
              </w:rPr>
              <w:t>R--核算时段内锅炉燃料耗量，万m</w:t>
            </w:r>
            <w:r>
              <w:rPr>
                <w:rFonts w:hint="eastAsia" w:ascii="Times New Roman" w:hAnsi="Times New Roman" w:eastAsia="宋体" w:cs="Times New Roman"/>
                <w:bCs w:val="0"/>
                <w:color w:val="auto"/>
                <w:spacing w:val="0"/>
                <w:sz w:val="21"/>
                <w:szCs w:val="21"/>
                <w:highlight w:val="none"/>
                <w:vertAlign w:val="superscript"/>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eastAsia" w:ascii="Times New Roman" w:hAnsi="Times New Roman" w:eastAsia="宋体" w:cs="Times New Roman"/>
                <w:bCs w:val="0"/>
                <w:color w:val="auto"/>
                <w:spacing w:val="0"/>
                <w:sz w:val="21"/>
                <w:szCs w:val="21"/>
                <w:highlight w:val="none"/>
                <w:vertAlign w:val="baseline"/>
                <w:lang w:val="en-US" w:eastAsia="zh-CN"/>
              </w:rPr>
            </w:pPr>
            <w:r>
              <w:rPr>
                <w:rFonts w:hint="default" w:ascii="Times New Roman" w:hAnsi="Times New Roman" w:eastAsia="宋体" w:cs="Times New Roman"/>
                <w:bCs w:val="0"/>
                <w:color w:val="auto"/>
                <w:spacing w:val="0"/>
                <w:position w:val="-12"/>
                <w:sz w:val="21"/>
                <w:szCs w:val="21"/>
                <w:highlight w:val="none"/>
                <w:vertAlign w:val="baseline"/>
                <w:lang w:val="en-US" w:eastAsia="zh-CN"/>
              </w:rPr>
              <w:object>
                <v:shape id="_x0000_i1036" o:spt="75" type="#_x0000_t75" style="height:18pt;width:13pt;" o:ole="t" filled="f" o:preferrelative="t" stroked="f" coordsize="21600,21600">
                  <v:path/>
                  <v:fill on="f" focussize="0,0"/>
                  <v:stroke on="f"/>
                  <v:imagedata r:id="rId35" o:title=""/>
                  <o:lock v:ext="edit" aspectratio="t"/>
                  <w10:wrap type="none"/>
                  <w10:anchorlock/>
                </v:shape>
                <o:OLEObject Type="Embed" ProgID="Equation.KSEE3" ShapeID="_x0000_i1036" DrawAspect="Content" ObjectID="_1468075736" r:id="rId34">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--燃料总硫的质量浓度，mg/m</w:t>
            </w:r>
            <w:r>
              <w:rPr>
                <w:rFonts w:hint="eastAsia" w:ascii="Times New Roman" w:hAnsi="Times New Roman" w:eastAsia="宋体" w:cs="Times New Roman"/>
                <w:bCs w:val="0"/>
                <w:color w:val="auto"/>
                <w:spacing w:val="0"/>
                <w:sz w:val="21"/>
                <w:szCs w:val="21"/>
                <w:highlight w:val="none"/>
                <w:vertAlign w:val="superscript"/>
                <w:lang w:val="en-US" w:eastAsia="zh-CN"/>
              </w:rPr>
              <w:t>3</w:t>
            </w:r>
            <w:r>
              <w:rPr>
                <w:rFonts w:hint="eastAsia" w:ascii="Times New Roman" w:hAnsi="Times New Roman" w:eastAsia="宋体" w:cs="Times New Roman"/>
                <w:bCs w:val="0"/>
                <w:color w:val="auto"/>
                <w:spacing w:val="0"/>
                <w:sz w:val="21"/>
                <w:szCs w:val="21"/>
                <w:highlight w:val="none"/>
                <w:vertAlign w:val="baseline"/>
                <w:lang w:val="en-US" w:eastAsia="zh-CN"/>
              </w:rPr>
              <w:t>，本次</w:t>
            </w:r>
            <w:r>
              <w:rPr>
                <w:rFonts w:hint="default" w:ascii="Times New Roman" w:hAnsi="Times New Roman" w:eastAsia="宋体" w:cs="Times New Roman"/>
                <w:bCs/>
                <w:color w:val="auto"/>
                <w:spacing w:val="0"/>
                <w:sz w:val="21"/>
                <w:szCs w:val="21"/>
                <w:highlight w:val="none"/>
              </w:rPr>
              <w:t>根据《天然气》（GB17820-2018）中天然气技术指标含硫量S为20mg/m</w:t>
            </w:r>
            <w:r>
              <w:rPr>
                <w:rFonts w:hint="default" w:ascii="Times New Roman" w:hAnsi="Times New Roman" w:eastAsia="宋体" w:cs="Times New Roman"/>
                <w:bCs/>
                <w:color w:val="auto"/>
                <w:spacing w:val="0"/>
                <w:sz w:val="21"/>
                <w:szCs w:val="21"/>
                <w:highlight w:val="none"/>
                <w:vertAlign w:val="superscript"/>
              </w:rPr>
              <w:t>3</w:t>
            </w:r>
            <w:r>
              <w:rPr>
                <w:rFonts w:hint="eastAsia" w:ascii="Times New Roman" w:hAnsi="Times New Roman" w:eastAsia="宋体" w:cs="Times New Roman"/>
                <w:bCs w:val="0"/>
                <w:color w:val="auto"/>
                <w:spacing w:val="0"/>
                <w:sz w:val="21"/>
                <w:szCs w:val="21"/>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default" w:ascii="Times New Roman" w:hAnsi="Times New Roman" w:eastAsia="宋体" w:cs="Times New Roman"/>
                <w:bCs w:val="0"/>
                <w:color w:val="auto"/>
                <w:spacing w:val="0"/>
                <w:position w:val="-14"/>
                <w:sz w:val="21"/>
                <w:szCs w:val="21"/>
                <w:highlight w:val="none"/>
                <w:vertAlign w:val="baseline"/>
                <w:lang w:val="en-US" w:eastAsia="zh-CN"/>
              </w:rPr>
              <w:object>
                <v:shape id="_x0000_i1037" o:spt="75" type="#_x0000_t75" style="height:19pt;width:22pt;" o:ole="t" filled="f" o:preferrelative="t" stroked="f" coordsize="21600,21600">
                  <v:path/>
                  <v:fill on="f" focussize="0,0"/>
                  <v:stroke on="f"/>
                  <v:imagedata r:id="rId37" o:title=""/>
                  <o:lock v:ext="edit" aspectratio="t"/>
                  <w10:wrap type="none"/>
                  <w10:anchorlock/>
                </v:shape>
                <o:OLEObject Type="Embed" ProgID="Equation.KSEE3" ShapeID="_x0000_i1037" DrawAspect="Content" ObjectID="_1468075737" r:id="rId36">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--脱硫效率，%，本次取0；</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1050" w:firstLineChars="500"/>
              <w:textAlignment w:val="auto"/>
              <w:rPr>
                <w:rFonts w:hint="default" w:ascii="Times New Roman" w:hAnsi="Times New Roman" w:eastAsia="宋体" w:cs="Times New Roman"/>
                <w:bCs w:val="0"/>
                <w:color w:val="auto"/>
                <w:spacing w:val="0"/>
                <w:sz w:val="21"/>
                <w:szCs w:val="21"/>
                <w:highlight w:val="none"/>
                <w:vertAlign w:val="baseline"/>
                <w:lang w:val="en-US" w:eastAsia="zh-CN"/>
              </w:rPr>
            </w:pPr>
            <w:r>
              <w:rPr>
                <w:rFonts w:hint="eastAsia" w:ascii="Times New Roman" w:hAnsi="Times New Roman" w:eastAsia="宋体" w:cs="Times New Roman"/>
                <w:bCs w:val="0"/>
                <w:color w:val="auto"/>
                <w:spacing w:val="0"/>
                <w:sz w:val="21"/>
                <w:szCs w:val="21"/>
                <w:highlight w:val="none"/>
                <w:vertAlign w:val="baseline"/>
                <w:lang w:val="en-US" w:eastAsia="zh-CN"/>
              </w:rPr>
              <w:t>K--燃料中的硫燃烧后氧化成二氧化硫的份额，量纲一的量，本次取1。</w:t>
            </w:r>
          </w:p>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auto"/>
                <w:szCs w:val="21"/>
                <w:highlight w:val="none"/>
              </w:rPr>
            </w:pPr>
            <w:r>
              <w:rPr>
                <w:rFonts w:hint="eastAsia" w:ascii="宋体" w:hAnsi="宋体" w:cs="宋体"/>
                <w:color w:val="auto"/>
                <w:szCs w:val="21"/>
                <w:highlight w:val="none"/>
              </w:rPr>
              <w:object>
                <v:shape id="_x0000_i1038" o:spt="75" type="#_x0000_t75" style="height:34pt;width:140pt;" o:ole="t" filled="f" o:preferrelative="t" stroked="f" coordsize="21600,21600">
                  <v:path/>
                  <v:fill on="f" focussize="0,0"/>
                  <v:stroke on="f" joinstyle="miter"/>
                  <v:imagedata r:id="rId39" o:title=""/>
                  <o:lock v:ext="edit" aspectratio="t"/>
                  <w10:wrap type="none"/>
                  <w10:anchorlock/>
                </v:shape>
                <o:OLEObject Type="Embed" ProgID="Equation.3" ShapeID="_x0000_i1038" DrawAspect="Content" ObjectID="_1468075738" r:id="rId38">
                  <o:LockedField>false</o:LockedField>
                </o:OLEObject>
              </w:objec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式中：E</w:t>
            </w:r>
            <w:r>
              <w:rPr>
                <w:rFonts w:hint="default" w:ascii="Times New Roman" w:hAnsi="Times New Roman" w:cs="Times New Roman"/>
                <w:color w:val="auto"/>
                <w:szCs w:val="21"/>
                <w:highlight w:val="none"/>
                <w:vertAlign w:val="subscript"/>
              </w:rPr>
              <w:t>j</w:t>
            </w:r>
            <w:r>
              <w:rPr>
                <w:rFonts w:hint="default" w:ascii="Times New Roman" w:hAnsi="Times New Roman" w:cs="Times New Roman"/>
                <w:color w:val="auto"/>
                <w:szCs w:val="21"/>
                <w:highlight w:val="none"/>
              </w:rPr>
              <w:t>——核算时段内第j中污染物的排放量，t；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050" w:firstLineChars="5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R——核算时段内燃料耗量，t或万m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050" w:firstLineChars="5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β</w:t>
            </w:r>
            <w:r>
              <w:rPr>
                <w:rFonts w:hint="default" w:ascii="Times New Roman" w:hAnsi="Times New Roman" w:cs="Times New Roman"/>
                <w:color w:val="auto"/>
                <w:szCs w:val="21"/>
                <w:highlight w:val="none"/>
                <w:vertAlign w:val="subscript"/>
              </w:rPr>
              <w:t>j</w:t>
            </w:r>
            <w:r>
              <w:rPr>
                <w:rFonts w:hint="default" w:ascii="Times New Roman" w:hAnsi="Times New Roman" w:cs="Times New Roman"/>
                <w:color w:val="auto"/>
                <w:szCs w:val="21"/>
                <w:highlight w:val="none"/>
              </w:rPr>
              <w:t>——产污系数，kg/t或kg/万m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；颗粒物产生量参照《建设项目环境保护使用手册》（苏绍梅主编）计算，燃烧1万Nm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天然气产生0.8~2.4kg颗粒物，本项目取平均值1.6kg。</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050" w:firstLineChars="500"/>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Cs w:val="0"/>
                <w:color w:val="auto"/>
                <w:spacing w:val="0"/>
                <w:position w:val="-10"/>
                <w:sz w:val="21"/>
                <w:szCs w:val="21"/>
                <w:highlight w:val="none"/>
                <w:vertAlign w:val="baseline"/>
                <w:lang w:val="en-US" w:eastAsia="zh-CN"/>
              </w:rPr>
              <w:object>
                <v:shape id="_x0000_i1039" o:spt="75" type="#_x0000_t75" style="height:13pt;width:10pt;" o:ole="t" filled="f" o:preferrelative="t" stroked="f" coordsize="21600,21600">
                  <v:path/>
                  <v:fill on="f" focussize="0,0"/>
                  <v:stroke on="f"/>
                  <v:imagedata r:id="rId41" o:title=""/>
                  <o:lock v:ext="edit" aspectratio="t"/>
                  <w10:wrap type="none"/>
                  <w10:anchorlock/>
                </v:shape>
                <o:OLEObject Type="Embed" ProgID="Equation.KSEE3" ShapeID="_x0000_i1039" DrawAspect="Content" ObjectID="_1468075739" r:id="rId40">
                  <o:LockedField>false</o:LockedField>
                </o:OLEObject>
              </w:object>
            </w:r>
            <w:r>
              <w:rPr>
                <w:rFonts w:hint="eastAsia" w:ascii="Times New Roman" w:hAnsi="Times New Roman" w:eastAsia="宋体" w:cs="Times New Roman"/>
                <w:bCs w:val="0"/>
                <w:color w:val="auto"/>
                <w:spacing w:val="0"/>
                <w:sz w:val="21"/>
                <w:szCs w:val="21"/>
                <w:highlight w:val="none"/>
                <w:vertAlign w:val="baseline"/>
                <w:lang w:val="en-US" w:eastAsia="zh-CN"/>
              </w:rPr>
              <w:t>--污染物脱除效率，%；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故本项目燃气锅炉大气污染物排放量为：SO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：0.</w:t>
            </w:r>
            <w:r>
              <w:rPr>
                <w:rFonts w:hint="eastAsia" w:ascii="Times New Roman" w:hAnsi="Times New Roman" w:eastAsia="宋体" w:cs="Times New Roman"/>
                <w:bCs/>
                <w:color w:val="auto"/>
                <w:spacing w:val="0"/>
                <w:sz w:val="21"/>
                <w:szCs w:val="21"/>
                <w:highlight w:val="none"/>
                <w:lang w:val="en-US" w:eastAsia="zh-CN"/>
              </w:rPr>
              <w:t>112</w:t>
            </w:r>
            <w:r>
              <w:rPr>
                <w:rFonts w:hint="default" w:ascii="Times New Roman" w:hAnsi="Times New Roman" w:eastAsia="宋体" w:cs="Times New Roman"/>
                <w:bCs/>
                <w:color w:val="auto"/>
                <w:spacing w:val="0"/>
                <w:sz w:val="21"/>
                <w:szCs w:val="21"/>
                <w:highlight w:val="none"/>
              </w:rPr>
              <w:t>t/a，0.</w:t>
            </w:r>
            <w:r>
              <w:rPr>
                <w:rFonts w:hint="eastAsia" w:ascii="Times New Roman" w:hAnsi="Times New Roman" w:eastAsia="宋体" w:cs="Times New Roman"/>
                <w:bCs/>
                <w:color w:val="auto"/>
                <w:spacing w:val="0"/>
                <w:sz w:val="21"/>
                <w:szCs w:val="21"/>
                <w:highlight w:val="none"/>
                <w:lang w:val="en-US" w:eastAsia="zh-CN"/>
              </w:rPr>
              <w:t>020</w:t>
            </w:r>
            <w:r>
              <w:rPr>
                <w:rFonts w:hint="default" w:ascii="Times New Roman" w:hAnsi="Times New Roman" w:eastAsia="宋体" w:cs="Times New Roman"/>
                <w:bCs/>
                <w:color w:val="auto"/>
                <w:spacing w:val="0"/>
                <w:sz w:val="21"/>
                <w:szCs w:val="21"/>
                <w:highlight w:val="none"/>
              </w:rPr>
              <w:t>kg/h；颗粒物：0.</w:t>
            </w:r>
            <w:r>
              <w:rPr>
                <w:rFonts w:hint="eastAsia" w:ascii="Times New Roman" w:hAnsi="Times New Roman" w:eastAsia="宋体" w:cs="Times New Roman"/>
                <w:bCs/>
                <w:color w:val="auto"/>
                <w:spacing w:val="0"/>
                <w:sz w:val="21"/>
                <w:szCs w:val="21"/>
                <w:highlight w:val="none"/>
                <w:lang w:val="en-US" w:eastAsia="zh-CN"/>
              </w:rPr>
              <w:t>447</w:t>
            </w:r>
            <w:r>
              <w:rPr>
                <w:rFonts w:hint="default" w:ascii="Times New Roman" w:hAnsi="Times New Roman" w:eastAsia="宋体" w:cs="Times New Roman"/>
                <w:bCs/>
                <w:color w:val="auto"/>
                <w:spacing w:val="0"/>
                <w:sz w:val="21"/>
                <w:szCs w:val="21"/>
                <w:highlight w:val="none"/>
              </w:rPr>
              <w:t>t/a，0.0</w:t>
            </w:r>
            <w:r>
              <w:rPr>
                <w:rFonts w:hint="eastAsia" w:ascii="Times New Roman" w:hAnsi="Times New Roman" w:eastAsia="宋体" w:cs="Times New Roman"/>
                <w:bCs/>
                <w:color w:val="auto"/>
                <w:spacing w:val="0"/>
                <w:sz w:val="21"/>
                <w:szCs w:val="21"/>
                <w:highlight w:val="none"/>
                <w:lang w:val="en-US" w:eastAsia="zh-CN"/>
              </w:rPr>
              <w:t>79</w:t>
            </w:r>
            <w:r>
              <w:rPr>
                <w:rFonts w:hint="default" w:ascii="Times New Roman" w:hAnsi="Times New Roman" w:eastAsia="宋体" w:cs="Times New Roman"/>
                <w:bCs/>
                <w:color w:val="auto"/>
                <w:spacing w:val="0"/>
                <w:sz w:val="21"/>
                <w:szCs w:val="21"/>
                <w:highlight w:val="none"/>
              </w:rPr>
              <w:t>kg/h；NOx：</w:t>
            </w:r>
            <w:r>
              <w:rPr>
                <w:rFonts w:hint="eastAsia" w:ascii="Times New Roman" w:hAnsi="Times New Roman" w:eastAsia="宋体" w:cs="Times New Roman"/>
                <w:bCs/>
                <w:color w:val="auto"/>
                <w:spacing w:val="0"/>
                <w:sz w:val="21"/>
                <w:szCs w:val="21"/>
                <w:highlight w:val="none"/>
                <w:lang w:val="en-US" w:eastAsia="zh-CN"/>
              </w:rPr>
              <w:t>2.</w:t>
            </w:r>
            <w:r>
              <w:rPr>
                <w:rFonts w:hint="eastAsia" w:cs="Times New Roman"/>
                <w:bCs/>
                <w:color w:val="auto"/>
                <w:spacing w:val="0"/>
                <w:sz w:val="21"/>
                <w:szCs w:val="21"/>
                <w:highlight w:val="none"/>
                <w:lang w:val="en-US" w:eastAsia="zh-CN"/>
              </w:rPr>
              <w:t>94</w:t>
            </w:r>
            <w:r>
              <w:rPr>
                <w:rFonts w:hint="default" w:ascii="Times New Roman" w:hAnsi="Times New Roman" w:eastAsia="宋体" w:cs="Times New Roman"/>
                <w:bCs/>
                <w:color w:val="auto"/>
                <w:spacing w:val="0"/>
                <w:sz w:val="21"/>
                <w:szCs w:val="21"/>
                <w:highlight w:val="none"/>
              </w:rPr>
              <w:t>t/a，</w:t>
            </w:r>
            <w:r>
              <w:rPr>
                <w:rFonts w:hint="eastAsia" w:cs="Times New Roman"/>
                <w:bCs/>
                <w:color w:val="auto"/>
                <w:spacing w:val="0"/>
                <w:sz w:val="21"/>
                <w:szCs w:val="21"/>
                <w:highlight w:val="none"/>
                <w:lang w:val="en-US" w:eastAsia="zh-CN"/>
              </w:rPr>
              <w:t>0.518</w:t>
            </w:r>
            <w:r>
              <w:rPr>
                <w:rFonts w:hint="default" w:ascii="Times New Roman" w:hAnsi="Times New Roman" w:eastAsia="宋体" w:cs="Times New Roman"/>
                <w:bCs/>
                <w:color w:val="auto"/>
                <w:spacing w:val="0"/>
                <w:sz w:val="21"/>
                <w:szCs w:val="21"/>
                <w:highlight w:val="none"/>
              </w:rPr>
              <w:t>kg/h。</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、颗粒物及NOx的排放浓度分别为</w:t>
            </w:r>
            <w:r>
              <w:rPr>
                <w:rFonts w:hint="eastAsia" w:cs="Times New Roman"/>
                <w:bCs/>
                <w:color w:val="auto"/>
                <w:spacing w:val="0"/>
                <w:sz w:val="21"/>
                <w:szCs w:val="21"/>
                <w:highlight w:val="none"/>
                <w:lang w:val="en-US" w:eastAsia="zh-CN"/>
              </w:rPr>
              <w:t>4.05</w:t>
            </w: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r>
              <w:rPr>
                <w:rFonts w:hint="default" w:ascii="Times New Roman" w:hAnsi="Times New Roman" w:eastAsia="宋体" w:cs="Times New Roman"/>
                <w:bCs/>
                <w:color w:val="auto"/>
                <w:spacing w:val="0"/>
                <w:sz w:val="21"/>
                <w:szCs w:val="21"/>
                <w:highlight w:val="none"/>
              </w:rPr>
              <w:t>，14.</w:t>
            </w:r>
            <w:r>
              <w:rPr>
                <w:rFonts w:hint="eastAsia" w:ascii="Times New Roman" w:hAnsi="Times New Roman" w:eastAsia="宋体" w:cs="Times New Roman"/>
                <w:bCs/>
                <w:color w:val="auto"/>
                <w:spacing w:val="0"/>
                <w:sz w:val="21"/>
                <w:szCs w:val="21"/>
                <w:highlight w:val="none"/>
                <w:lang w:val="en-US" w:eastAsia="zh-CN"/>
              </w:rPr>
              <w:t>85</w:t>
            </w: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105</w:t>
            </w: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r>
              <w:rPr>
                <w:rFonts w:hint="default" w:ascii="Times New Roman" w:hAnsi="Times New Roman" w:eastAsia="宋体" w:cs="Times New Roman"/>
                <w:bCs/>
                <w:color w:val="auto"/>
                <w:spacing w:val="0"/>
                <w:sz w:val="21"/>
                <w:szCs w:val="21"/>
                <w:highlight w:val="none"/>
              </w:rPr>
              <w:t>，烟气集中收集后，经</w:t>
            </w:r>
            <w:r>
              <w:rPr>
                <w:rFonts w:hint="eastAsia" w:cs="Times New Roman"/>
                <w:bCs/>
                <w:color w:val="auto"/>
                <w:spacing w:val="0"/>
                <w:sz w:val="21"/>
                <w:szCs w:val="21"/>
                <w:highlight w:val="none"/>
                <w:lang w:val="en-US" w:eastAsia="zh-CN"/>
              </w:rPr>
              <w:t>27</w:t>
            </w:r>
            <w:r>
              <w:rPr>
                <w:rFonts w:hint="default" w:ascii="Times New Roman" w:hAnsi="Times New Roman" w:eastAsia="宋体" w:cs="Times New Roman"/>
                <w:bCs/>
                <w:color w:val="auto"/>
                <w:spacing w:val="0"/>
                <w:sz w:val="21"/>
                <w:szCs w:val="21"/>
                <w:highlight w:val="none"/>
              </w:rPr>
              <w:t>米高烟囱排放。</w:t>
            </w:r>
          </w:p>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2）蒸煮过程产生的异味</w:t>
            </w:r>
          </w:p>
          <w:p>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蒸煮过程中蒸汽温度接近水的沸点，低于采用烹炒等方法加工食物时的温度，废水以水蒸气为主，并含有少量调味料，产生的异味以臭气浓度表征。</w:t>
            </w:r>
          </w:p>
          <w:p>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在国际上，通常根据嗅觉判别标准，将臭气强度划分为6级，根据《恶臭污染评估技术及环境基准》（邹克华主编，2013，P237）恶臭浓度与恶臭强度的关系见下表。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
                <w:bCs/>
                <w:color w:val="auto"/>
                <w:highlight w:val="none"/>
              </w:rPr>
            </w:pPr>
            <w:r>
              <w:rPr>
                <w:rFonts w:hint="default"/>
                <w:b/>
                <w:bCs/>
                <w:color w:val="auto"/>
                <w:highlight w:val="none"/>
              </w:rPr>
              <w:t>表4-</w:t>
            </w:r>
            <w:r>
              <w:rPr>
                <w:rFonts w:hint="eastAsia"/>
                <w:b/>
                <w:bCs/>
                <w:color w:val="auto"/>
                <w:highlight w:val="none"/>
                <w:lang w:val="en-US" w:eastAsia="zh-CN"/>
              </w:rPr>
              <w:t>2</w:t>
            </w:r>
            <w:r>
              <w:rPr>
                <w:rFonts w:hint="default"/>
                <w:b/>
                <w:bCs/>
                <w:color w:val="auto"/>
                <w:highlight w:val="none"/>
              </w:rPr>
              <w:t xml:space="preserve"> </w:t>
            </w:r>
            <w:r>
              <w:rPr>
                <w:rFonts w:hint="eastAsia"/>
                <w:b/>
                <w:bCs/>
                <w:color w:val="auto"/>
                <w:highlight w:val="none"/>
              </w:rPr>
              <w:t>臭气强度分级表及对应臭气浓度</w:t>
            </w:r>
          </w:p>
          <w:tbl>
            <w:tblPr>
              <w:tblStyle w:val="32"/>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3957"/>
              <w:gridCol w:w="29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强度等级</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嗅觉判别标准</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对应臭气浓度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无臭</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勉强可以感觉到轻微臭味（检知阀值浓度）</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容易感到轻微臭味（认知阀值浓度）</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34-78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明显感到臭味（可嗅出臭气种类）</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78-176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强烈臭味</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176-600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w:t>
                  </w:r>
                </w:p>
              </w:tc>
              <w:tc>
                <w:tcPr>
                  <w:tcW w:w="2461"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无法忍受的强烈臭味</w:t>
                  </w:r>
                </w:p>
              </w:tc>
              <w:tc>
                <w:tcPr>
                  <w:tcW w:w="1845" w:type="pc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≥600</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color w:val="auto"/>
                <w:highlight w:val="none"/>
              </w:rPr>
            </w:pPr>
          </w:p>
          <w:p>
            <w:pPr>
              <w:pStyle w:val="79"/>
              <w:keepNext w:val="0"/>
              <w:keepLines w:val="0"/>
              <w:suppressLineNumbers w:val="0"/>
              <w:spacing w:before="0" w:beforeAutospacing="0" w:after="0" w:afterAutospacing="0" w:line="360" w:lineRule="auto"/>
              <w:ind w:left="0" w:right="0"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本项目蒸煮过程中异味通过集气罩+低温等离子净化装置处理后，通过</w:t>
            </w:r>
            <w:r>
              <w:rPr>
                <w:rFonts w:hint="eastAsia"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lang w:val="en-US" w:eastAsia="zh-CN"/>
              </w:rPr>
              <w:t>m高排气筒（DA002）排放，集气效率95%，风机风量2000m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/h，低温等离子净化装置净化效率可达99%。</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position w:val="0"/>
                <w:sz w:val="21"/>
                <w:szCs w:val="21"/>
                <w:highlight w:val="none"/>
              </w:rPr>
            </w:pPr>
            <w:r>
              <w:rPr>
                <w:rFonts w:hint="default"/>
                <w:color w:val="auto"/>
                <w:sz w:val="21"/>
                <w:szCs w:val="21"/>
                <w:highlight w:val="none"/>
                <w:lang w:val="en-US" w:eastAsia="zh-CN"/>
              </w:rPr>
              <w:t>蒸煮过程产生的臭气强度为2级，臭气浓度排放浓度60（无量纲），满足《恶臭污染物排放标准》（GB14554-93）中表2的标准限值要求。</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3）</w:t>
            </w:r>
            <w:r>
              <w:rPr>
                <w:rFonts w:hint="default"/>
                <w:color w:val="auto"/>
                <w:sz w:val="21"/>
                <w:szCs w:val="21"/>
                <w:highlight w:val="none"/>
                <w:lang w:val="en-US" w:eastAsia="zh-CN"/>
              </w:rPr>
              <w:t>烟熏</w:t>
            </w:r>
            <w:r>
              <w:rPr>
                <w:rFonts w:hint="eastAsia"/>
                <w:color w:val="auto"/>
                <w:sz w:val="21"/>
                <w:szCs w:val="21"/>
                <w:highlight w:val="none"/>
                <w:lang w:val="en-US" w:eastAsia="zh-CN"/>
              </w:rPr>
              <w:t>烤制</w:t>
            </w:r>
            <w:r>
              <w:rPr>
                <w:rFonts w:hint="default"/>
                <w:color w:val="auto"/>
                <w:sz w:val="21"/>
                <w:szCs w:val="21"/>
                <w:highlight w:val="none"/>
                <w:lang w:val="en-US" w:eastAsia="zh-CN"/>
              </w:rPr>
              <w:t>过程产生的废气</w:t>
            </w:r>
          </w:p>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本项目年产红肠、</w:t>
            </w:r>
            <w:r>
              <w:rPr>
                <w:rFonts w:hint="eastAsia" w:ascii="Times New Roman" w:hAnsi="Times New Roman" w:eastAsia="宋体" w:cs="Times New Roman"/>
                <w:color w:val="auto"/>
                <w:sz w:val="21"/>
                <w:szCs w:val="21"/>
                <w:highlight w:val="none"/>
                <w:lang w:val="en-US" w:eastAsia="zh-CN"/>
              </w:rPr>
              <w:t>儿童肠、松仁烤肠共</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200t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年耗</w:t>
            </w:r>
            <w:r>
              <w:rPr>
                <w:rFonts w:hint="eastAsia" w:ascii="Times New Roman" w:hAnsi="Times New Roman" w:eastAsia="宋体" w:cs="Times New Roman"/>
                <w:color w:val="auto"/>
                <w:sz w:val="21"/>
                <w:szCs w:val="21"/>
                <w:highlight w:val="none"/>
                <w:lang w:val="en-US" w:eastAsia="zh-CN"/>
              </w:rPr>
              <w:t>果木粒</w:t>
            </w:r>
            <w:r>
              <w:rPr>
                <w:rFonts w:hint="eastAsia" w:cs="Times New Roman"/>
                <w:color w:val="auto"/>
                <w:sz w:val="21"/>
                <w:szCs w:val="21"/>
                <w:highlight w:val="none"/>
                <w:lang w:val="en-US" w:eastAsia="zh-CN"/>
              </w:rPr>
              <w:t>及木头</w:t>
            </w:r>
            <w:r>
              <w:rPr>
                <w:rFonts w:hint="default" w:ascii="Times New Roman" w:hAnsi="Times New Roman" w:eastAsia="宋体" w:cs="Times New Roman"/>
                <w:bCs/>
                <w:color w:val="auto"/>
                <w:sz w:val="21"/>
                <w:szCs w:val="21"/>
                <w:highlight w:val="none"/>
                <w:lang w:val="en-US" w:eastAsia="zh-CN"/>
              </w:rPr>
              <w:t>404.25t/a</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olor w:val="auto"/>
                <w:highlight w:val="none"/>
                <w:lang w:val="en-US" w:eastAsia="zh-CN"/>
              </w:rPr>
            </w:pPr>
            <w:r>
              <w:rPr>
                <w:rFonts w:hint="default" w:ascii="Times New Roman" w:hAnsi="Times New Roman" w:eastAsia="宋体" w:cs="Times New Roman"/>
                <w:color w:val="auto"/>
                <w:kern w:val="0"/>
                <w:sz w:val="21"/>
                <w:szCs w:val="21"/>
                <w:lang w:val="en-US" w:eastAsia="zh-CN" w:bidi="ar"/>
              </w:rPr>
              <w:t>根据《排污许可证申请与核发技术规范工业炉窑》（HJ1121</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2020）中相关要求，工业炉窑废气污染物实际排放量的核算方法包括实测法、物料衡算法和产排污系数法等，本项目为新建项目，无实测数据，无生物质颗粒燃料分析报告，因此本项目污染物核算方法采用产排污系数法：</w:t>
            </w:r>
            <w:r>
              <w:rPr>
                <w:rFonts w:hint="default" w:ascii="Times New Roman" w:hAnsi="Times New Roman"/>
                <w:color w:val="auto"/>
                <w:sz w:val="21"/>
                <w:szCs w:val="21"/>
                <w:highlight w:val="none"/>
                <w:lang w:val="en-US" w:eastAsia="zh-CN"/>
              </w:rPr>
              <w:t>参照《排放源统计调查产排污核算方法和系数手册》中4430生物质工业锅炉核算烟气中主要污染物有颗粒物、SO</w:t>
            </w:r>
            <w:r>
              <w:rPr>
                <w:rFonts w:hint="default" w:ascii="Times New Roman" w:hAnsi="Times New Roman"/>
                <w:color w:val="auto"/>
                <w:sz w:val="21"/>
                <w:szCs w:val="21"/>
                <w:highlight w:val="none"/>
                <w:vertAlign w:val="subscript"/>
                <w:lang w:val="en-US" w:eastAsia="zh-CN"/>
              </w:rPr>
              <w:t>2</w:t>
            </w:r>
            <w:r>
              <w:rPr>
                <w:rFonts w:hint="default" w:ascii="Times New Roman" w:hAnsi="Times New Roman"/>
                <w:color w:val="auto"/>
                <w:sz w:val="21"/>
                <w:szCs w:val="21"/>
                <w:highlight w:val="none"/>
                <w:lang w:val="en-US" w:eastAsia="zh-CN"/>
              </w:rPr>
              <w:t>和NOx。</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3</w:t>
            </w:r>
            <w:r>
              <w:rPr>
                <w:rFonts w:hint="eastAsia"/>
                <w:b/>
                <w:bCs/>
                <w:color w:val="auto"/>
                <w:highlight w:val="none"/>
              </w:rPr>
              <w:t xml:space="preserve"> </w:t>
            </w:r>
            <w:r>
              <w:rPr>
                <w:rFonts w:hint="eastAsia"/>
                <w:b/>
                <w:bCs/>
                <w:color w:val="auto"/>
                <w:highlight w:val="none"/>
                <w:lang w:val="en-US" w:eastAsia="zh-CN"/>
              </w:rPr>
              <w:t>生物质</w:t>
            </w:r>
            <w:r>
              <w:rPr>
                <w:rFonts w:hint="default"/>
                <w:b/>
                <w:bCs/>
                <w:color w:val="auto"/>
                <w:highlight w:val="none"/>
              </w:rPr>
              <w:t>锅炉废气污染物产排污系数一览表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339"/>
              <w:gridCol w:w="1700"/>
              <w:gridCol w:w="1356"/>
              <w:gridCol w:w="1453"/>
              <w:gridCol w:w="9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2"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原料名称</w:t>
                  </w:r>
                </w:p>
              </w:tc>
              <w:tc>
                <w:tcPr>
                  <w:tcW w:w="132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污染物指标</w:t>
                  </w:r>
                </w:p>
              </w:tc>
              <w:tc>
                <w:tcPr>
                  <w:tcW w:w="16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单位</w:t>
                  </w:r>
                </w:p>
              </w:tc>
              <w:tc>
                <w:tcPr>
                  <w:tcW w:w="134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产污系数</w:t>
                  </w:r>
                </w:p>
              </w:tc>
              <w:tc>
                <w:tcPr>
                  <w:tcW w:w="1436"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末端治理技术名称</w:t>
                  </w:r>
                </w:p>
              </w:tc>
              <w:tc>
                <w:tcPr>
                  <w:tcW w:w="94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去除效率</w:t>
                  </w:r>
                </w:p>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2" w:type="dxa"/>
                  <w:vMerge w:val="restart"/>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生物质</w:t>
                  </w:r>
                </w:p>
              </w:tc>
              <w:tc>
                <w:tcPr>
                  <w:tcW w:w="132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工业废气量</w:t>
                  </w:r>
                </w:p>
              </w:tc>
              <w:tc>
                <w:tcPr>
                  <w:tcW w:w="16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标m</w:t>
                  </w:r>
                  <w:r>
                    <w:rPr>
                      <w:rFonts w:hint="default"/>
                      <w:color w:val="auto"/>
                      <w:sz w:val="18"/>
                      <w:szCs w:val="18"/>
                      <w:highlight w:val="none"/>
                      <w:vertAlign w:val="superscript"/>
                    </w:rPr>
                    <w:t>3</w:t>
                  </w:r>
                  <w:r>
                    <w:rPr>
                      <w:rFonts w:hint="default"/>
                      <w:color w:val="auto"/>
                      <w:sz w:val="18"/>
                      <w:szCs w:val="18"/>
                      <w:highlight w:val="none"/>
                    </w:rPr>
                    <w:t>/</w:t>
                  </w:r>
                  <w:r>
                    <w:rPr>
                      <w:rFonts w:hint="eastAsia"/>
                      <w:color w:val="auto"/>
                      <w:sz w:val="18"/>
                      <w:szCs w:val="18"/>
                      <w:highlight w:val="none"/>
                    </w:rPr>
                    <w:t>t-原料</w:t>
                  </w:r>
                </w:p>
              </w:tc>
              <w:tc>
                <w:tcPr>
                  <w:tcW w:w="134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6240</w:t>
                  </w:r>
                </w:p>
              </w:tc>
              <w:tc>
                <w:tcPr>
                  <w:tcW w:w="1436"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直排</w:t>
                  </w:r>
                </w:p>
              </w:tc>
              <w:tc>
                <w:tcPr>
                  <w:tcW w:w="94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2" w:type="dxa"/>
                  <w:vMerge w:val="continue"/>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p>
              </w:tc>
              <w:tc>
                <w:tcPr>
                  <w:tcW w:w="132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二氧化硫</w:t>
                  </w:r>
                </w:p>
              </w:tc>
              <w:tc>
                <w:tcPr>
                  <w:tcW w:w="16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kg/</w:t>
                  </w:r>
                  <w:r>
                    <w:rPr>
                      <w:rFonts w:hint="eastAsia"/>
                      <w:color w:val="auto"/>
                      <w:sz w:val="18"/>
                      <w:szCs w:val="18"/>
                      <w:highlight w:val="none"/>
                    </w:rPr>
                    <w:t>t-原料</w:t>
                  </w:r>
                </w:p>
              </w:tc>
              <w:tc>
                <w:tcPr>
                  <w:tcW w:w="134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17</w:t>
                  </w:r>
                  <w:r>
                    <w:rPr>
                      <w:rFonts w:hint="default"/>
                      <w:color w:val="auto"/>
                      <w:sz w:val="18"/>
                      <w:szCs w:val="18"/>
                      <w:highlight w:val="none"/>
                    </w:rPr>
                    <w:t>S</w:t>
                  </w:r>
                </w:p>
              </w:tc>
              <w:tc>
                <w:tcPr>
                  <w:tcW w:w="1436"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直排</w:t>
                  </w:r>
                </w:p>
              </w:tc>
              <w:tc>
                <w:tcPr>
                  <w:tcW w:w="94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2" w:type="dxa"/>
                  <w:vMerge w:val="continue"/>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p>
              </w:tc>
              <w:tc>
                <w:tcPr>
                  <w:tcW w:w="132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16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kg/</w:t>
                  </w:r>
                  <w:r>
                    <w:rPr>
                      <w:rFonts w:hint="eastAsia"/>
                      <w:color w:val="auto"/>
                      <w:sz w:val="18"/>
                      <w:szCs w:val="18"/>
                      <w:highlight w:val="none"/>
                    </w:rPr>
                    <w:t>t-原料</w:t>
                  </w:r>
                </w:p>
              </w:tc>
              <w:tc>
                <w:tcPr>
                  <w:tcW w:w="134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37.6</w:t>
                  </w:r>
                </w:p>
              </w:tc>
              <w:tc>
                <w:tcPr>
                  <w:tcW w:w="1436"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lang w:val="en-US" w:eastAsia="zh-CN"/>
                    </w:rPr>
                    <w:t>静电</w:t>
                  </w:r>
                  <w:r>
                    <w:rPr>
                      <w:rFonts w:hint="eastAsia"/>
                      <w:color w:val="auto"/>
                      <w:sz w:val="18"/>
                      <w:szCs w:val="18"/>
                      <w:highlight w:val="none"/>
                    </w:rPr>
                    <w:t>除尘器</w:t>
                  </w:r>
                </w:p>
              </w:tc>
              <w:tc>
                <w:tcPr>
                  <w:tcW w:w="94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rPr>
                    <w:t>98.</w:t>
                  </w:r>
                  <w:r>
                    <w:rPr>
                      <w:rFonts w:hint="eastAsia"/>
                      <w:color w:val="auto"/>
                      <w:sz w:val="18"/>
                      <w:szCs w:val="18"/>
                      <w:highlight w:val="none"/>
                      <w:lang w:val="en-US" w:eastAsia="zh-CN"/>
                    </w:rPr>
                    <w:t>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2" w:type="dxa"/>
                  <w:vMerge w:val="continue"/>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p>
              </w:tc>
              <w:tc>
                <w:tcPr>
                  <w:tcW w:w="132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氮氧化物</w:t>
                  </w:r>
                </w:p>
              </w:tc>
              <w:tc>
                <w:tcPr>
                  <w:tcW w:w="16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kg/</w:t>
                  </w:r>
                  <w:r>
                    <w:rPr>
                      <w:rFonts w:hint="eastAsia"/>
                      <w:color w:val="auto"/>
                      <w:sz w:val="18"/>
                      <w:szCs w:val="18"/>
                      <w:highlight w:val="none"/>
                    </w:rPr>
                    <w:t>t-原料</w:t>
                  </w:r>
                </w:p>
              </w:tc>
              <w:tc>
                <w:tcPr>
                  <w:tcW w:w="134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1.02</w:t>
                  </w:r>
                </w:p>
              </w:tc>
              <w:tc>
                <w:tcPr>
                  <w:tcW w:w="1436"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直排</w:t>
                  </w:r>
                </w:p>
              </w:tc>
              <w:tc>
                <w:tcPr>
                  <w:tcW w:w="94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4" w:type="dxa"/>
                  <w:gridSpan w:val="6"/>
                  <w:noWrap w:val="0"/>
                  <w:vAlign w:val="center"/>
                </w:tcPr>
                <w:p>
                  <w:pPr>
                    <w:pStyle w:val="140"/>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left"/>
                    <w:textAlignment w:val="auto"/>
                    <w:rPr>
                      <w:rFonts w:hint="default"/>
                      <w:color w:val="auto"/>
                      <w:sz w:val="18"/>
                      <w:szCs w:val="18"/>
                      <w:highlight w:val="none"/>
                    </w:rPr>
                  </w:pPr>
                  <w:r>
                    <w:rPr>
                      <w:rFonts w:hint="eastAsia"/>
                      <w:color w:val="auto"/>
                      <w:sz w:val="18"/>
                      <w:szCs w:val="18"/>
                      <w:highlight w:val="none"/>
                    </w:rPr>
                    <w:t>注：①二氧化硫的产污系数是以含硫量（S％）的形式表示的，其中含硫量（S％）是指生物质收到基硫分含量，以质量百分数的形式表示。例如生物质中含硫量（S％）为0.1％，则 S=0.1。</w:t>
                  </w:r>
                </w:p>
              </w:tc>
            </w:tr>
          </w:tbl>
          <w:p>
            <w:pPr>
              <w:keepNext w:val="0"/>
              <w:keepLines w:val="0"/>
              <w:pageBreakBefore w:val="0"/>
              <w:widowControl w:val="0"/>
              <w:suppressLineNumbers w:val="0"/>
              <w:tabs>
                <w:tab w:val="left" w:pos="6480"/>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4"/>
                <w:szCs w:val="32"/>
                <w:highlight w:val="none"/>
              </w:rPr>
            </w:pPr>
            <w:r>
              <w:rPr>
                <w:rFonts w:hint="default"/>
                <w:color w:val="auto"/>
                <w:sz w:val="21"/>
                <w:szCs w:val="21"/>
                <w:highlight w:val="none"/>
              </w:rPr>
              <w:t>根据上表中产排污系数，计算出本项目污染物产生情况见表4-</w:t>
            </w:r>
            <w:r>
              <w:rPr>
                <w:rFonts w:hint="eastAsia"/>
                <w:color w:val="auto"/>
                <w:sz w:val="21"/>
                <w:szCs w:val="21"/>
                <w:highlight w:val="none"/>
                <w:lang w:val="en-US" w:eastAsia="zh-CN"/>
              </w:rPr>
              <w:t>4</w:t>
            </w:r>
            <w:r>
              <w:rPr>
                <w:rFonts w:hint="default"/>
                <w:color w:val="auto"/>
                <w:sz w:val="21"/>
                <w:szCs w:val="21"/>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
                <w:bCs/>
                <w:color w:val="auto"/>
                <w:highlight w:val="none"/>
              </w:rPr>
            </w:pPr>
            <w:r>
              <w:rPr>
                <w:rFonts w:hint="default"/>
                <w:b/>
                <w:bCs/>
                <w:color w:val="auto"/>
                <w:highlight w:val="none"/>
              </w:rPr>
              <w:t>表4-</w:t>
            </w:r>
            <w:r>
              <w:rPr>
                <w:rFonts w:hint="eastAsia"/>
                <w:b/>
                <w:bCs/>
                <w:color w:val="auto"/>
                <w:highlight w:val="none"/>
                <w:lang w:val="en-US" w:eastAsia="zh-CN"/>
              </w:rPr>
              <w:t>4</w:t>
            </w:r>
            <w:r>
              <w:rPr>
                <w:rFonts w:hint="default"/>
                <w:b/>
                <w:bCs/>
                <w:color w:val="auto"/>
                <w:highlight w:val="none"/>
              </w:rPr>
              <w:t xml:space="preserve"> </w:t>
            </w:r>
            <w:r>
              <w:rPr>
                <w:rFonts w:hint="eastAsia"/>
                <w:b/>
                <w:bCs/>
                <w:color w:val="auto"/>
                <w:highlight w:val="none"/>
              </w:rPr>
              <w:t>烟熏炉</w:t>
            </w:r>
            <w:r>
              <w:rPr>
                <w:rFonts w:hint="default"/>
                <w:b/>
                <w:bCs/>
                <w:color w:val="auto"/>
                <w:highlight w:val="none"/>
              </w:rPr>
              <w:t>废气污染物产生情况一览表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296"/>
              <w:gridCol w:w="1309"/>
              <w:gridCol w:w="1276"/>
              <w:gridCol w:w="1419"/>
              <w:gridCol w:w="132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污染物指标</w:t>
                  </w:r>
                </w:p>
              </w:tc>
              <w:tc>
                <w:tcPr>
                  <w:tcW w:w="12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产生浓度</w:t>
                  </w:r>
                </w:p>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r>
                    <w:rPr>
                      <w:rFonts w:hint="default"/>
                      <w:color w:val="auto"/>
                      <w:sz w:val="18"/>
                      <w:szCs w:val="18"/>
                      <w:highlight w:val="none"/>
                    </w:rPr>
                    <w:t>）</w:t>
                  </w:r>
                </w:p>
              </w:tc>
              <w:tc>
                <w:tcPr>
                  <w:tcW w:w="1292"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产生量</w:t>
                  </w:r>
                </w:p>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（t/a）</w:t>
                  </w:r>
                </w:p>
              </w:tc>
              <w:tc>
                <w:tcPr>
                  <w:tcW w:w="126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排放浓度</w:t>
                  </w:r>
                </w:p>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r>
                    <w:rPr>
                      <w:rFonts w:hint="default"/>
                      <w:color w:val="auto"/>
                      <w:sz w:val="18"/>
                      <w:szCs w:val="18"/>
                      <w:highlight w:val="none"/>
                    </w:rPr>
                    <w:t>）</w:t>
                  </w:r>
                </w:p>
              </w:tc>
              <w:tc>
                <w:tcPr>
                  <w:tcW w:w="1401"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排放量</w:t>
                  </w:r>
                </w:p>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（t/a）</w:t>
                  </w:r>
                </w:p>
              </w:tc>
              <w:tc>
                <w:tcPr>
                  <w:tcW w:w="130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排放浓度限值</w:t>
                  </w:r>
                </w:p>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（mg/m</w:t>
                  </w:r>
                  <w:r>
                    <w:rPr>
                      <w:rFonts w:hint="default"/>
                      <w:color w:val="auto"/>
                      <w:sz w:val="18"/>
                      <w:szCs w:val="18"/>
                      <w:highlight w:val="none"/>
                      <w:vertAlign w:val="superscript"/>
                    </w:rPr>
                    <w:t>3</w:t>
                  </w:r>
                  <w:r>
                    <w:rPr>
                      <w:rFonts w:hint="default"/>
                      <w:color w:val="auto"/>
                      <w:sz w:val="18"/>
                      <w:szCs w:val="18"/>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二氧化硫</w:t>
                  </w:r>
                </w:p>
              </w:tc>
              <w:tc>
                <w:tcPr>
                  <w:tcW w:w="12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eastAsia" w:eastAsia="宋体"/>
                      <w:color w:val="auto"/>
                      <w:sz w:val="18"/>
                      <w:szCs w:val="18"/>
                      <w:highlight w:val="none"/>
                      <w:lang w:val="en-US" w:eastAsia="zh-CN"/>
                    </w:rPr>
                  </w:pPr>
                  <w:r>
                    <w:rPr>
                      <w:rFonts w:hint="eastAsia"/>
                      <w:color w:val="auto"/>
                      <w:sz w:val="18"/>
                      <w:szCs w:val="18"/>
                      <w:highlight w:val="none"/>
                    </w:rPr>
                    <w:t>27</w:t>
                  </w:r>
                  <w:r>
                    <w:rPr>
                      <w:rFonts w:hint="eastAsia"/>
                      <w:color w:val="auto"/>
                      <w:sz w:val="18"/>
                      <w:szCs w:val="18"/>
                      <w:highlight w:val="none"/>
                      <w:lang w:val="en-US" w:eastAsia="zh-CN"/>
                    </w:rPr>
                    <w:t>4</w:t>
                  </w:r>
                </w:p>
              </w:tc>
              <w:tc>
                <w:tcPr>
                  <w:tcW w:w="1292"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69</w:t>
                  </w:r>
                </w:p>
              </w:tc>
              <w:tc>
                <w:tcPr>
                  <w:tcW w:w="126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color w:val="auto"/>
                      <w:sz w:val="18"/>
                      <w:szCs w:val="18"/>
                      <w:highlight w:val="none"/>
                    </w:rPr>
                  </w:pPr>
                  <w:r>
                    <w:rPr>
                      <w:rFonts w:hint="eastAsia"/>
                      <w:color w:val="auto"/>
                      <w:sz w:val="18"/>
                      <w:szCs w:val="18"/>
                      <w:highlight w:val="none"/>
                    </w:rPr>
                    <w:t>27</w:t>
                  </w:r>
                  <w:r>
                    <w:rPr>
                      <w:rFonts w:hint="eastAsia"/>
                      <w:color w:val="auto"/>
                      <w:sz w:val="18"/>
                      <w:szCs w:val="18"/>
                      <w:highlight w:val="none"/>
                      <w:lang w:val="en-US" w:eastAsia="zh-CN"/>
                    </w:rPr>
                    <w:t>4</w:t>
                  </w:r>
                </w:p>
              </w:tc>
              <w:tc>
                <w:tcPr>
                  <w:tcW w:w="1401"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color w:val="auto"/>
                      <w:sz w:val="18"/>
                      <w:szCs w:val="18"/>
                      <w:highlight w:val="none"/>
                    </w:rPr>
                  </w:pPr>
                  <w:r>
                    <w:rPr>
                      <w:rFonts w:hint="eastAsia"/>
                      <w:color w:val="auto"/>
                      <w:sz w:val="18"/>
                      <w:szCs w:val="18"/>
                      <w:highlight w:val="none"/>
                    </w:rPr>
                    <w:t>0.</w:t>
                  </w:r>
                  <w:r>
                    <w:rPr>
                      <w:rFonts w:hint="eastAsia"/>
                      <w:color w:val="auto"/>
                      <w:sz w:val="18"/>
                      <w:szCs w:val="18"/>
                      <w:highlight w:val="none"/>
                      <w:lang w:val="en-US" w:eastAsia="zh-CN"/>
                    </w:rPr>
                    <w:t>69</w:t>
                  </w:r>
                </w:p>
              </w:tc>
              <w:tc>
                <w:tcPr>
                  <w:tcW w:w="130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eastAsia"/>
                      <w:color w:val="auto"/>
                      <w:sz w:val="18"/>
                      <w:szCs w:val="18"/>
                      <w:highlight w:val="none"/>
                    </w:rPr>
                    <w:t>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颗粒物</w:t>
                  </w:r>
                </w:p>
              </w:tc>
              <w:tc>
                <w:tcPr>
                  <w:tcW w:w="12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rPr>
                    <w:t>60</w:t>
                  </w:r>
                  <w:r>
                    <w:rPr>
                      <w:rFonts w:hint="eastAsia"/>
                      <w:color w:val="auto"/>
                      <w:sz w:val="18"/>
                      <w:szCs w:val="18"/>
                      <w:highlight w:val="none"/>
                      <w:lang w:val="en-US" w:eastAsia="zh-CN"/>
                    </w:rPr>
                    <w:t>26</w:t>
                  </w:r>
                </w:p>
              </w:tc>
              <w:tc>
                <w:tcPr>
                  <w:tcW w:w="1292"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lang w:val="en-US" w:eastAsia="zh-CN"/>
                    </w:rPr>
                    <w:t>15.20</w:t>
                  </w:r>
                </w:p>
              </w:tc>
              <w:tc>
                <w:tcPr>
                  <w:tcW w:w="126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lang w:val="en-US" w:eastAsia="zh-CN"/>
                    </w:rPr>
                    <w:t>78</w:t>
                  </w:r>
                </w:p>
              </w:tc>
              <w:tc>
                <w:tcPr>
                  <w:tcW w:w="1401"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20</w:t>
                  </w:r>
                </w:p>
              </w:tc>
              <w:tc>
                <w:tcPr>
                  <w:tcW w:w="130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eastAsia"/>
                      <w:color w:val="auto"/>
                      <w:sz w:val="18"/>
                      <w:szCs w:val="18"/>
                      <w:highlight w:val="none"/>
                    </w:rPr>
                  </w:pPr>
                  <w:r>
                    <w:rPr>
                      <w:rFonts w:hint="eastAsia"/>
                      <w:color w:val="auto"/>
                      <w:sz w:val="18"/>
                      <w:szCs w:val="18"/>
                      <w:highlight w:val="none"/>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default"/>
                      <w:color w:val="auto"/>
                      <w:sz w:val="18"/>
                      <w:szCs w:val="18"/>
                      <w:highlight w:val="none"/>
                    </w:rPr>
                    <w:t>氮氧化物</w:t>
                  </w:r>
                </w:p>
              </w:tc>
              <w:tc>
                <w:tcPr>
                  <w:tcW w:w="128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eastAsia" w:eastAsia="宋体"/>
                      <w:color w:val="auto"/>
                      <w:sz w:val="18"/>
                      <w:szCs w:val="18"/>
                      <w:highlight w:val="none"/>
                      <w:lang w:val="en-US" w:eastAsia="zh-CN"/>
                    </w:rPr>
                  </w:pPr>
                  <w:r>
                    <w:rPr>
                      <w:rFonts w:hint="eastAsia"/>
                      <w:color w:val="auto"/>
                      <w:sz w:val="18"/>
                      <w:szCs w:val="18"/>
                      <w:highlight w:val="none"/>
                    </w:rPr>
                    <w:t>16</w:t>
                  </w:r>
                  <w:r>
                    <w:rPr>
                      <w:rFonts w:hint="eastAsia"/>
                      <w:color w:val="auto"/>
                      <w:sz w:val="18"/>
                      <w:szCs w:val="18"/>
                      <w:highlight w:val="none"/>
                      <w:lang w:val="en-US" w:eastAsia="zh-CN"/>
                    </w:rPr>
                    <w:t>3</w:t>
                  </w:r>
                </w:p>
              </w:tc>
              <w:tc>
                <w:tcPr>
                  <w:tcW w:w="1292"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eastAsia="宋体"/>
                      <w:color w:val="auto"/>
                      <w:sz w:val="18"/>
                      <w:szCs w:val="18"/>
                      <w:highlight w:val="none"/>
                      <w:lang w:val="en-US" w:eastAsia="zh-CN"/>
                    </w:rPr>
                  </w:pPr>
                  <w:r>
                    <w:rPr>
                      <w:rFonts w:hint="eastAsia"/>
                      <w:color w:val="auto"/>
                      <w:sz w:val="18"/>
                      <w:szCs w:val="18"/>
                      <w:highlight w:val="none"/>
                      <w:lang w:val="en-US" w:eastAsia="zh-CN"/>
                    </w:rPr>
                    <w:t>0.41</w:t>
                  </w:r>
                </w:p>
              </w:tc>
              <w:tc>
                <w:tcPr>
                  <w:tcW w:w="1260"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color w:val="auto"/>
                      <w:sz w:val="18"/>
                      <w:szCs w:val="18"/>
                      <w:highlight w:val="none"/>
                    </w:rPr>
                  </w:pPr>
                  <w:r>
                    <w:rPr>
                      <w:rFonts w:hint="eastAsia"/>
                      <w:color w:val="auto"/>
                      <w:sz w:val="18"/>
                      <w:szCs w:val="18"/>
                      <w:highlight w:val="none"/>
                    </w:rPr>
                    <w:t>16</w:t>
                  </w:r>
                  <w:r>
                    <w:rPr>
                      <w:rFonts w:hint="eastAsia"/>
                      <w:color w:val="auto"/>
                      <w:sz w:val="18"/>
                      <w:szCs w:val="18"/>
                      <w:highlight w:val="none"/>
                      <w:lang w:val="en-US" w:eastAsia="zh-CN"/>
                    </w:rPr>
                    <w:t>3</w:t>
                  </w:r>
                </w:p>
              </w:tc>
              <w:tc>
                <w:tcPr>
                  <w:tcW w:w="1401"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leftChars="0" w:right="0" w:rightChars="0"/>
                    <w:rPr>
                      <w:rFonts w:hint="default"/>
                      <w:color w:val="auto"/>
                      <w:sz w:val="18"/>
                      <w:szCs w:val="18"/>
                      <w:highlight w:val="none"/>
                    </w:rPr>
                  </w:pPr>
                  <w:r>
                    <w:rPr>
                      <w:rFonts w:hint="eastAsia"/>
                      <w:color w:val="auto"/>
                      <w:sz w:val="18"/>
                      <w:szCs w:val="18"/>
                      <w:highlight w:val="none"/>
                      <w:lang w:val="en-US" w:eastAsia="zh-CN"/>
                    </w:rPr>
                    <w:t>0.41</w:t>
                  </w:r>
                </w:p>
              </w:tc>
              <w:tc>
                <w:tcPr>
                  <w:tcW w:w="1303" w:type="dxa"/>
                  <w:noWrap w:val="0"/>
                  <w:vAlign w:val="center"/>
                </w:tcPr>
                <w:p>
                  <w:pPr>
                    <w:pStyle w:val="140"/>
                    <w:keepNext w:val="0"/>
                    <w:keepLines w:val="0"/>
                    <w:suppressLineNumbers w:val="0"/>
                    <w:kinsoku w:val="0"/>
                    <w:overflowPunct w:val="0"/>
                    <w:autoSpaceDE w:val="0"/>
                    <w:autoSpaceDN w:val="0"/>
                    <w:spacing w:before="0" w:beforeAutospacing="0" w:after="0" w:afterAutospacing="0"/>
                    <w:ind w:left="0" w:right="0"/>
                    <w:rPr>
                      <w:rFonts w:hint="default"/>
                      <w:color w:val="auto"/>
                      <w:sz w:val="18"/>
                      <w:szCs w:val="18"/>
                      <w:highlight w:val="none"/>
                    </w:rPr>
                  </w:pPr>
                  <w:r>
                    <w:rPr>
                      <w:rFonts w:hint="eastAsia"/>
                      <w:color w:val="auto"/>
                      <w:sz w:val="18"/>
                      <w:szCs w:val="18"/>
                      <w:highlight w:val="none"/>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烟熏炉废气经</w:t>
            </w:r>
            <w:r>
              <w:rPr>
                <w:rFonts w:hint="eastAsia" w:cs="Times New Roman"/>
                <w:color w:val="auto"/>
                <w:sz w:val="21"/>
                <w:szCs w:val="21"/>
                <w:highlight w:val="none"/>
                <w:lang w:val="en-US" w:eastAsia="zh-CN"/>
              </w:rPr>
              <w:t>静电</w:t>
            </w:r>
            <w:r>
              <w:rPr>
                <w:rFonts w:hint="default" w:ascii="Times New Roman" w:hAnsi="Times New Roman" w:cs="Times New Roman"/>
                <w:color w:val="auto"/>
                <w:sz w:val="21"/>
                <w:szCs w:val="21"/>
                <w:highlight w:val="none"/>
              </w:rPr>
              <w:t>除尘器处理后，烟气通过一根</w:t>
            </w:r>
            <w:r>
              <w:rPr>
                <w:rFonts w:hint="eastAsia" w:ascii="Times New Roman" w:hAnsi="Times New Roman" w:cs="Times New Roman"/>
                <w:color w:val="auto"/>
                <w:sz w:val="21"/>
                <w:szCs w:val="21"/>
                <w:highlight w:val="none"/>
                <w:lang w:val="en-US" w:eastAsia="zh-CN"/>
              </w:rPr>
              <w:t>27</w:t>
            </w:r>
            <w:r>
              <w:rPr>
                <w:rFonts w:hint="default" w:ascii="Times New Roman" w:hAnsi="Times New Roman" w:cs="Times New Roman"/>
                <w:color w:val="auto"/>
                <w:sz w:val="21"/>
                <w:szCs w:val="21"/>
                <w:highlight w:val="none"/>
              </w:rPr>
              <w:t>m高烟囱（DA002）排放，污染物浓度满足《工业炉窑大气污染物排放标准》（GB9078-1996）中表2和表4标准限值要求</w:t>
            </w:r>
            <w:r>
              <w:rPr>
                <w:rFonts w:hint="eastAsia" w:cs="Times New Roman"/>
                <w:color w:val="auto"/>
                <w:sz w:val="21"/>
                <w:szCs w:val="21"/>
                <w:highlight w:val="none"/>
                <w:lang w:eastAsia="zh-CN"/>
              </w:rPr>
              <w:t>。</w:t>
            </w:r>
          </w:p>
          <w:p>
            <w:pPr>
              <w:pStyle w:val="44"/>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类比</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铁岭信义食品有限公司年产3500吨熏煮香肠项目竣工环境保护验收监测报告表</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类比项目年产品均为西式肉制品香肠类，年产3500吨熏煮香肠，生产工艺均包括蒸煮、烟熏，产生臭气通过等离子净化装置处理后排气筒排放，类比项目验收期间臭气浓度排放浓度为28-32（无量纲），则本项目臭气浓度排浓度为32（无量纲），</w:t>
            </w:r>
            <w:r>
              <w:rPr>
                <w:rFonts w:hint="default" w:ascii="Times New Roman" w:hAnsi="Times New Roman" w:eastAsia="宋体" w:cs="Times New Roman"/>
                <w:color w:val="auto"/>
                <w:sz w:val="21"/>
                <w:szCs w:val="21"/>
                <w:highlight w:val="none"/>
                <w:lang w:val="en-US" w:eastAsia="zh-CN"/>
              </w:rPr>
              <w:t>通过集气罩+低温等离子净化装置处理后，通过27m高排气筒（DA002）排放，</w:t>
            </w:r>
            <w:r>
              <w:rPr>
                <w:rFonts w:hint="default" w:ascii="Times New Roman" w:hAnsi="Times New Roman" w:cs="Times New Roman"/>
                <w:color w:val="auto"/>
                <w:sz w:val="21"/>
                <w:szCs w:val="21"/>
                <w:highlight w:val="none"/>
                <w:lang w:val="en-US" w:eastAsia="zh-CN"/>
              </w:rPr>
              <w:t>满足《恶臭污染物排放标准》（GB14554-93）中表2的标准限值要求。</w:t>
            </w:r>
          </w:p>
          <w:p>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Style w:val="145"/>
                <w:rFonts w:hint="eastAsia" w:ascii="宋体" w:hAnsi="宋体" w:eastAsia="宋体" w:cs="宋体"/>
                <w:color w:val="auto"/>
                <w:highlight w:val="none"/>
                <w:lang w:val="en-US" w:eastAsia="zh-CN"/>
              </w:rPr>
            </w:pPr>
            <w:r>
              <w:rPr>
                <w:rFonts w:hint="eastAsia" w:cs="Times New Roman"/>
                <w:bCs/>
                <w:color w:val="auto"/>
                <w:sz w:val="21"/>
                <w:szCs w:val="21"/>
                <w:highlight w:val="none"/>
                <w:lang w:val="en-US" w:eastAsia="zh-CN"/>
              </w:rPr>
              <w:t>4）</w:t>
            </w:r>
            <w:r>
              <w:rPr>
                <w:rStyle w:val="145"/>
                <w:rFonts w:hint="eastAsia" w:ascii="宋体" w:hAnsi="宋体" w:eastAsia="宋体" w:cs="宋体"/>
                <w:color w:val="auto"/>
                <w:highlight w:val="none"/>
                <w:lang w:val="en-US" w:eastAsia="zh-CN"/>
              </w:rPr>
              <w:t>污水处理站恶臭气体</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污水处理站恶臭气体统一收集，经活性炭吸附后通过15m排气筒排放。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本项目污水处理站恶臭污染物源强根据美国EPA对城市污水处理厂恶臭污染物产生情况的研究，每去除1g的BOD</w:t>
            </w:r>
            <w:r>
              <w:rPr>
                <w:rFonts w:hint="default"/>
                <w:color w:val="auto"/>
                <w:sz w:val="21"/>
                <w:szCs w:val="21"/>
                <w:highlight w:val="none"/>
                <w:vertAlign w:val="subscript"/>
              </w:rPr>
              <w:t>5</w:t>
            </w:r>
            <w:r>
              <w:rPr>
                <w:rFonts w:hint="default"/>
                <w:color w:val="auto"/>
                <w:sz w:val="21"/>
                <w:szCs w:val="21"/>
                <w:highlight w:val="none"/>
              </w:rPr>
              <w:t>，可产生0.0031g的NH</w:t>
            </w:r>
            <w:r>
              <w:rPr>
                <w:rFonts w:hint="default"/>
                <w:color w:val="auto"/>
                <w:sz w:val="21"/>
                <w:szCs w:val="21"/>
                <w:highlight w:val="none"/>
                <w:vertAlign w:val="subscript"/>
              </w:rPr>
              <w:t>3</w:t>
            </w:r>
            <w:r>
              <w:rPr>
                <w:rFonts w:hint="default"/>
                <w:color w:val="auto"/>
                <w:sz w:val="21"/>
                <w:szCs w:val="21"/>
                <w:highlight w:val="none"/>
              </w:rPr>
              <w:t>、0.00012g的H</w:t>
            </w:r>
            <w:r>
              <w:rPr>
                <w:rFonts w:hint="default"/>
                <w:color w:val="auto"/>
                <w:sz w:val="21"/>
                <w:szCs w:val="21"/>
                <w:highlight w:val="none"/>
                <w:vertAlign w:val="subscript"/>
              </w:rPr>
              <w:t>2</w:t>
            </w:r>
            <w:r>
              <w:rPr>
                <w:rFonts w:hint="default"/>
                <w:color w:val="auto"/>
                <w:sz w:val="21"/>
                <w:szCs w:val="21"/>
                <w:highlight w:val="none"/>
              </w:rPr>
              <w:t>S，本项目污水处理站处理BOD</w:t>
            </w:r>
            <w:r>
              <w:rPr>
                <w:rFonts w:hint="default"/>
                <w:color w:val="auto"/>
                <w:sz w:val="21"/>
                <w:szCs w:val="21"/>
                <w:highlight w:val="none"/>
                <w:vertAlign w:val="subscript"/>
              </w:rPr>
              <w:t>5</w:t>
            </w:r>
            <w:r>
              <w:rPr>
                <w:rFonts w:hint="default"/>
                <w:color w:val="auto"/>
                <w:sz w:val="21"/>
                <w:szCs w:val="21"/>
                <w:highlight w:val="none"/>
              </w:rPr>
              <w:t>的量为</w:t>
            </w:r>
            <w:r>
              <w:rPr>
                <w:rFonts w:hint="eastAsia"/>
                <w:color w:val="auto"/>
                <w:sz w:val="21"/>
                <w:szCs w:val="21"/>
                <w:highlight w:val="none"/>
                <w:lang w:val="en-US" w:eastAsia="zh-CN"/>
              </w:rPr>
              <w:t>7.252</w:t>
            </w:r>
            <w:r>
              <w:rPr>
                <w:rFonts w:hint="default"/>
                <w:color w:val="auto"/>
                <w:sz w:val="21"/>
                <w:szCs w:val="21"/>
                <w:highlight w:val="none"/>
              </w:rPr>
              <w:t>t/a，产生NH</w:t>
            </w:r>
            <w:r>
              <w:rPr>
                <w:rFonts w:hint="default"/>
                <w:color w:val="auto"/>
                <w:sz w:val="21"/>
                <w:szCs w:val="21"/>
                <w:highlight w:val="none"/>
                <w:vertAlign w:val="subscript"/>
              </w:rPr>
              <w:t>3</w:t>
            </w:r>
            <w:r>
              <w:rPr>
                <w:rFonts w:hint="default"/>
                <w:color w:val="auto"/>
                <w:sz w:val="21"/>
                <w:szCs w:val="21"/>
                <w:highlight w:val="none"/>
              </w:rPr>
              <w:t>的量为</w:t>
            </w:r>
            <w:r>
              <w:rPr>
                <w:rFonts w:hint="eastAsia"/>
                <w:color w:val="auto"/>
                <w:sz w:val="21"/>
                <w:szCs w:val="21"/>
                <w:highlight w:val="none"/>
                <w:lang w:val="en-US" w:eastAsia="zh-CN"/>
              </w:rPr>
              <w:t>0.022</w:t>
            </w:r>
            <w:r>
              <w:rPr>
                <w:rFonts w:hint="default"/>
                <w:color w:val="auto"/>
                <w:sz w:val="21"/>
                <w:szCs w:val="21"/>
                <w:highlight w:val="none"/>
              </w:rPr>
              <w:t>t/a，0.00</w:t>
            </w:r>
            <w:r>
              <w:rPr>
                <w:rFonts w:hint="eastAsia"/>
                <w:color w:val="auto"/>
                <w:sz w:val="21"/>
                <w:szCs w:val="21"/>
                <w:highlight w:val="none"/>
                <w:lang w:val="en-US" w:eastAsia="zh-CN"/>
              </w:rPr>
              <w:t>79</w:t>
            </w:r>
            <w:r>
              <w:rPr>
                <w:rFonts w:hint="default"/>
                <w:color w:val="auto"/>
                <w:sz w:val="21"/>
                <w:szCs w:val="21"/>
                <w:highlight w:val="none"/>
              </w:rPr>
              <w:t>kg/h，H</w:t>
            </w:r>
            <w:r>
              <w:rPr>
                <w:rFonts w:hint="default"/>
                <w:color w:val="auto"/>
                <w:sz w:val="21"/>
                <w:szCs w:val="21"/>
                <w:highlight w:val="none"/>
                <w:vertAlign w:val="subscript"/>
              </w:rPr>
              <w:t>2</w:t>
            </w:r>
            <w:r>
              <w:rPr>
                <w:rFonts w:hint="default"/>
                <w:color w:val="auto"/>
                <w:sz w:val="21"/>
                <w:szCs w:val="21"/>
                <w:highlight w:val="none"/>
              </w:rPr>
              <w:t>S的量约为</w:t>
            </w:r>
            <w:r>
              <w:rPr>
                <w:rFonts w:hint="eastAsia"/>
                <w:color w:val="auto"/>
                <w:sz w:val="21"/>
                <w:szCs w:val="21"/>
                <w:highlight w:val="none"/>
                <w:lang w:val="en-US" w:eastAsia="zh-CN"/>
              </w:rPr>
              <w:t>0.00087</w:t>
            </w:r>
            <w:r>
              <w:rPr>
                <w:rFonts w:hint="default"/>
                <w:color w:val="auto"/>
                <w:sz w:val="21"/>
                <w:szCs w:val="21"/>
                <w:highlight w:val="none"/>
              </w:rPr>
              <w:t>t/a，0.</w:t>
            </w:r>
            <w:r>
              <w:rPr>
                <w:rFonts w:hint="eastAsia"/>
                <w:color w:val="auto"/>
                <w:sz w:val="21"/>
                <w:szCs w:val="21"/>
                <w:highlight w:val="none"/>
                <w:lang w:val="en-US" w:eastAsia="zh-CN"/>
              </w:rPr>
              <w:t>00031</w:t>
            </w:r>
            <w:r>
              <w:rPr>
                <w:rFonts w:hint="default"/>
                <w:color w:val="auto"/>
                <w:sz w:val="21"/>
                <w:szCs w:val="21"/>
                <w:highlight w:val="none"/>
              </w:rPr>
              <w:t>kg/h。废气集中收集效率为90%，收集后经活性炭吸附装置处理，处理后通过15m高排气筒（DA003）排放，活性炭吸附效率为90%。则污水处理站有组织废气排放量为NH</w:t>
            </w:r>
            <w:r>
              <w:rPr>
                <w:rFonts w:hint="default"/>
                <w:color w:val="auto"/>
                <w:sz w:val="21"/>
                <w:szCs w:val="21"/>
                <w:highlight w:val="none"/>
                <w:vertAlign w:val="subscript"/>
              </w:rPr>
              <w:t>3</w:t>
            </w:r>
            <w:r>
              <w:rPr>
                <w:rFonts w:hint="default"/>
                <w:color w:val="auto"/>
                <w:sz w:val="21"/>
                <w:szCs w:val="21"/>
                <w:highlight w:val="none"/>
              </w:rPr>
              <w:t xml:space="preserve"> 0.0</w:t>
            </w:r>
            <w:r>
              <w:rPr>
                <w:rFonts w:hint="eastAsia"/>
                <w:color w:val="auto"/>
                <w:sz w:val="21"/>
                <w:szCs w:val="21"/>
                <w:highlight w:val="none"/>
                <w:lang w:val="en-US" w:eastAsia="zh-CN"/>
              </w:rPr>
              <w:t>022</w:t>
            </w:r>
            <w:r>
              <w:rPr>
                <w:rFonts w:hint="default"/>
                <w:color w:val="auto"/>
                <w:sz w:val="21"/>
                <w:szCs w:val="21"/>
                <w:highlight w:val="none"/>
              </w:rPr>
              <w:t>t/a，H</w:t>
            </w:r>
            <w:r>
              <w:rPr>
                <w:rFonts w:hint="default"/>
                <w:color w:val="auto"/>
                <w:sz w:val="21"/>
                <w:szCs w:val="21"/>
                <w:highlight w:val="none"/>
                <w:vertAlign w:val="subscript"/>
              </w:rPr>
              <w:t>2</w:t>
            </w:r>
            <w:r>
              <w:rPr>
                <w:rFonts w:hint="default"/>
                <w:color w:val="auto"/>
                <w:sz w:val="21"/>
                <w:szCs w:val="21"/>
                <w:highlight w:val="none"/>
              </w:rPr>
              <w:t>S 0.0</w:t>
            </w:r>
            <w:r>
              <w:rPr>
                <w:rFonts w:hint="eastAsia"/>
                <w:color w:val="auto"/>
                <w:sz w:val="21"/>
                <w:szCs w:val="21"/>
                <w:highlight w:val="none"/>
                <w:lang w:val="en-US" w:eastAsia="zh-CN"/>
              </w:rPr>
              <w:t>0</w:t>
            </w:r>
            <w:r>
              <w:rPr>
                <w:rFonts w:hint="default"/>
                <w:color w:val="auto"/>
                <w:sz w:val="21"/>
                <w:szCs w:val="21"/>
                <w:highlight w:val="none"/>
              </w:rPr>
              <w:t>00</w:t>
            </w:r>
            <w:r>
              <w:rPr>
                <w:rFonts w:hint="eastAsia"/>
                <w:color w:val="auto"/>
                <w:sz w:val="21"/>
                <w:szCs w:val="21"/>
                <w:highlight w:val="none"/>
                <w:lang w:val="en-US" w:eastAsia="zh-CN"/>
              </w:rPr>
              <w:t>87</w:t>
            </w:r>
            <w:r>
              <w:rPr>
                <w:rFonts w:hint="default"/>
                <w:color w:val="auto"/>
                <w:sz w:val="21"/>
                <w:szCs w:val="21"/>
                <w:highlight w:val="none"/>
              </w:rPr>
              <w:t>t/a，无组织废气排放量为NH</w:t>
            </w:r>
            <w:r>
              <w:rPr>
                <w:rFonts w:hint="default"/>
                <w:color w:val="auto"/>
                <w:sz w:val="21"/>
                <w:szCs w:val="21"/>
                <w:highlight w:val="none"/>
                <w:vertAlign w:val="subscript"/>
              </w:rPr>
              <w:t>3</w:t>
            </w:r>
            <w:r>
              <w:rPr>
                <w:rFonts w:hint="default"/>
                <w:color w:val="auto"/>
                <w:sz w:val="21"/>
                <w:szCs w:val="21"/>
                <w:highlight w:val="none"/>
              </w:rPr>
              <w:t>0.00</w:t>
            </w:r>
            <w:r>
              <w:rPr>
                <w:rFonts w:hint="eastAsia"/>
                <w:color w:val="auto"/>
                <w:sz w:val="21"/>
                <w:szCs w:val="21"/>
                <w:highlight w:val="none"/>
                <w:lang w:val="en-US" w:eastAsia="zh-CN"/>
              </w:rPr>
              <w:t>22</w:t>
            </w:r>
            <w:r>
              <w:rPr>
                <w:rFonts w:hint="default"/>
                <w:color w:val="auto"/>
                <w:sz w:val="21"/>
                <w:szCs w:val="21"/>
                <w:highlight w:val="none"/>
              </w:rPr>
              <w:t>t/a，H</w:t>
            </w:r>
            <w:r>
              <w:rPr>
                <w:rFonts w:hint="default"/>
                <w:color w:val="auto"/>
                <w:sz w:val="21"/>
                <w:szCs w:val="21"/>
                <w:highlight w:val="none"/>
                <w:vertAlign w:val="subscript"/>
              </w:rPr>
              <w:t>2</w:t>
            </w:r>
            <w:r>
              <w:rPr>
                <w:rFonts w:hint="default"/>
                <w:color w:val="auto"/>
                <w:sz w:val="21"/>
                <w:szCs w:val="21"/>
                <w:highlight w:val="none"/>
              </w:rPr>
              <w:t>S为0.000</w:t>
            </w:r>
            <w:r>
              <w:rPr>
                <w:rFonts w:hint="eastAsia"/>
                <w:color w:val="auto"/>
                <w:sz w:val="21"/>
                <w:szCs w:val="21"/>
                <w:highlight w:val="none"/>
                <w:lang w:val="en-US" w:eastAsia="zh-CN"/>
              </w:rPr>
              <w:t>087</w:t>
            </w:r>
            <w:r>
              <w:rPr>
                <w:rFonts w:hint="default"/>
                <w:color w:val="auto"/>
                <w:sz w:val="21"/>
                <w:szCs w:val="21"/>
                <w:highlight w:val="none"/>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污水处理站风机风量2000m</w:t>
            </w:r>
            <w:r>
              <w:rPr>
                <w:rFonts w:hint="default"/>
                <w:color w:val="auto"/>
                <w:sz w:val="21"/>
                <w:szCs w:val="21"/>
                <w:highlight w:val="none"/>
                <w:vertAlign w:val="superscript"/>
              </w:rPr>
              <w:t>3</w:t>
            </w:r>
            <w:r>
              <w:rPr>
                <w:rFonts w:hint="default"/>
                <w:color w:val="auto"/>
                <w:sz w:val="21"/>
                <w:szCs w:val="21"/>
                <w:highlight w:val="none"/>
              </w:rPr>
              <w:t>/h，经活性炭吸附装置处理后，有组织废气排放浓度为NH</w:t>
            </w:r>
            <w:r>
              <w:rPr>
                <w:rFonts w:hint="default"/>
                <w:color w:val="auto"/>
                <w:sz w:val="21"/>
                <w:szCs w:val="21"/>
                <w:highlight w:val="none"/>
                <w:vertAlign w:val="subscript"/>
              </w:rPr>
              <w:t>3</w:t>
            </w:r>
            <w:r>
              <w:rPr>
                <w:rFonts w:hint="default"/>
                <w:color w:val="auto"/>
                <w:sz w:val="21"/>
                <w:szCs w:val="21"/>
                <w:highlight w:val="none"/>
              </w:rPr>
              <w:t>0.</w:t>
            </w:r>
            <w:r>
              <w:rPr>
                <w:rFonts w:hint="eastAsia"/>
                <w:color w:val="auto"/>
                <w:sz w:val="21"/>
                <w:szCs w:val="21"/>
                <w:highlight w:val="none"/>
                <w:lang w:val="en-US" w:eastAsia="zh-CN"/>
              </w:rPr>
              <w:t>395</w:t>
            </w:r>
            <w:r>
              <w:rPr>
                <w:rFonts w:hint="default"/>
                <w:color w:val="auto"/>
                <w:sz w:val="21"/>
                <w:szCs w:val="21"/>
                <w:highlight w:val="none"/>
              </w:rPr>
              <w:t>mg/m</w:t>
            </w:r>
            <w:r>
              <w:rPr>
                <w:rFonts w:hint="default"/>
                <w:color w:val="auto"/>
                <w:sz w:val="21"/>
                <w:szCs w:val="21"/>
                <w:highlight w:val="none"/>
                <w:vertAlign w:val="superscript"/>
              </w:rPr>
              <w:t>3</w:t>
            </w:r>
            <w:r>
              <w:rPr>
                <w:rFonts w:hint="default"/>
                <w:color w:val="auto"/>
                <w:sz w:val="21"/>
                <w:szCs w:val="21"/>
                <w:highlight w:val="none"/>
              </w:rPr>
              <w:t>，H</w:t>
            </w:r>
            <w:r>
              <w:rPr>
                <w:rFonts w:hint="default"/>
                <w:color w:val="auto"/>
                <w:sz w:val="21"/>
                <w:szCs w:val="21"/>
                <w:highlight w:val="none"/>
                <w:vertAlign w:val="subscript"/>
              </w:rPr>
              <w:t>2</w:t>
            </w:r>
            <w:r>
              <w:rPr>
                <w:rFonts w:hint="default"/>
                <w:color w:val="auto"/>
                <w:sz w:val="21"/>
                <w:szCs w:val="21"/>
                <w:highlight w:val="none"/>
              </w:rPr>
              <w:t>S 0.0</w:t>
            </w:r>
            <w:r>
              <w:rPr>
                <w:rFonts w:hint="eastAsia"/>
                <w:color w:val="auto"/>
                <w:sz w:val="21"/>
                <w:szCs w:val="21"/>
                <w:highlight w:val="none"/>
                <w:lang w:val="en-US" w:eastAsia="zh-CN"/>
              </w:rPr>
              <w:t>155</w:t>
            </w:r>
            <w:r>
              <w:rPr>
                <w:rFonts w:hint="default"/>
                <w:color w:val="auto"/>
                <w:sz w:val="21"/>
                <w:szCs w:val="21"/>
                <w:highlight w:val="none"/>
              </w:rPr>
              <w:t>mg/m</w:t>
            </w:r>
            <w:r>
              <w:rPr>
                <w:rFonts w:hint="default"/>
                <w:color w:val="auto"/>
                <w:sz w:val="21"/>
                <w:szCs w:val="21"/>
                <w:highlight w:val="none"/>
                <w:vertAlign w:val="superscript"/>
              </w:rPr>
              <w:t>3</w:t>
            </w:r>
            <w:r>
              <w:rPr>
                <w:rFonts w:hint="eastAsia"/>
                <w:color w:val="auto"/>
                <w:sz w:val="21"/>
                <w:szCs w:val="21"/>
                <w:highlight w:val="none"/>
                <w:vertAlign w:val="baseline"/>
                <w:lang w:eastAsia="zh-CN"/>
              </w:rPr>
              <w:t>，</w:t>
            </w:r>
            <w:r>
              <w:rPr>
                <w:rFonts w:hint="default"/>
                <w:color w:val="auto"/>
                <w:sz w:val="21"/>
                <w:szCs w:val="21"/>
                <w:highlight w:val="none"/>
              </w:rPr>
              <w:t>臭气浓度5.2（无量纲），有组织废气满足《恶臭污染物排放标准》（GB14554-93）表2标准限值。</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sz w:val="21"/>
                <w:szCs w:val="21"/>
                <w:highlight w:val="none"/>
              </w:rPr>
            </w:pPr>
            <w:r>
              <w:rPr>
                <w:rFonts w:hint="eastAsia"/>
                <w:color w:val="auto"/>
                <w:sz w:val="21"/>
                <w:szCs w:val="21"/>
                <w:highlight w:val="none"/>
              </w:rPr>
              <w:t>生产加工车间和污水处理站采取封闭措施，厂界氨、硫化氢及臭气浓度满足《恶臭污染物排放标准》（GB14554-93）表1中二级标准限值要求。</w:t>
            </w:r>
          </w:p>
          <w:p>
            <w:pPr>
              <w:pStyle w:val="3"/>
              <w:keepNext w:val="0"/>
              <w:keepLines w:val="0"/>
              <w:pageBreakBefore w:val="0"/>
              <w:numPr>
                <w:ilvl w:val="0"/>
                <w:numId w:val="9"/>
              </w:numPr>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食堂油烟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食堂烹饪食物时将有油烟产生，根据《排放源统计调查产排污核算方法和系数手册》（公告 2021年 第24号）中“附3生活源-附表1 生活源产排污系数手册”的餐饮油烟内容进行计算。</w:t>
            </w:r>
          </w:p>
          <w:p>
            <w:pPr>
              <w:pStyle w:val="4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eastAsia="仿宋_GB2312"/>
                <w:color w:val="auto"/>
                <w:highlight w:val="none"/>
                <w:lang w:val="en-US" w:eastAsia="zh-CN"/>
              </w:rPr>
            </w:pPr>
            <w:r>
              <w:rPr>
                <w:rFonts w:hint="default" w:ascii="Times New Roman" w:hAnsi="Times New Roman" w:eastAsia="宋体" w:cs="Times New Roman"/>
                <w:snapToGrid w:val="0"/>
                <w:color w:val="auto"/>
                <w:kern w:val="0"/>
                <w:sz w:val="21"/>
                <w:szCs w:val="21"/>
                <w:highlight w:val="none"/>
              </w:rPr>
              <w:t>餐饮油烟挥发性有机物产生量（吨）=人口数（万人）×排放系数（克/人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snapToGrid w:val="0"/>
                <w:color w:val="auto"/>
                <w:kern w:val="0"/>
                <w:sz w:val="21"/>
                <w:szCs w:val="21"/>
                <w:highlight w:val="none"/>
              </w:rPr>
              <w:t>年）/100。本项目人口数为0.0</w:t>
            </w:r>
            <w:r>
              <w:rPr>
                <w:rFonts w:hint="eastAsia" w:ascii="Times New Roman" w:hAnsi="Times New Roman" w:eastAsia="宋体" w:cs="Times New Roman"/>
                <w:snapToGrid w:val="0"/>
                <w:color w:val="auto"/>
                <w:kern w:val="0"/>
                <w:sz w:val="21"/>
                <w:szCs w:val="21"/>
                <w:highlight w:val="none"/>
                <w:lang w:val="en-US" w:eastAsia="zh-CN"/>
              </w:rPr>
              <w:t>15</w:t>
            </w:r>
            <w:r>
              <w:rPr>
                <w:rFonts w:hint="default" w:ascii="Times New Roman" w:hAnsi="Times New Roman" w:eastAsia="宋体" w:cs="Times New Roman"/>
                <w:snapToGrid w:val="0"/>
                <w:color w:val="auto"/>
                <w:kern w:val="0"/>
                <w:sz w:val="21"/>
                <w:szCs w:val="21"/>
                <w:highlight w:val="none"/>
              </w:rPr>
              <w:t>万人，项目所在地为黑龙江省地理区划为三区，餐饮油烟挥发性有机物排放系数为301（克/人•年）。则餐饮油烟挥发性有机物产生量为0.0</w:t>
            </w:r>
            <w:r>
              <w:rPr>
                <w:rFonts w:hint="eastAsia" w:ascii="Times New Roman" w:hAnsi="Times New Roman" w:eastAsia="宋体" w:cs="Times New Roman"/>
                <w:snapToGrid w:val="0"/>
                <w:color w:val="auto"/>
                <w:kern w:val="0"/>
                <w:sz w:val="21"/>
                <w:szCs w:val="21"/>
                <w:highlight w:val="none"/>
                <w:lang w:val="en-US" w:eastAsia="zh-CN"/>
              </w:rPr>
              <w:t>45</w:t>
            </w:r>
            <w:r>
              <w:rPr>
                <w:rFonts w:hint="default" w:ascii="Times New Roman" w:hAnsi="Times New Roman" w:eastAsia="宋体" w:cs="Times New Roman"/>
                <w:snapToGrid w:val="0"/>
                <w:color w:val="auto"/>
                <w:kern w:val="0"/>
                <w:sz w:val="21"/>
                <w:szCs w:val="21"/>
                <w:highlight w:val="none"/>
              </w:rPr>
              <w:t>t/a，根据建设单位提供食堂设计基础灶头数</w:t>
            </w:r>
            <w:r>
              <w:rPr>
                <w:rFonts w:hint="eastAsia" w:ascii="Times New Roman" w:hAnsi="Times New Roman" w:eastAsia="宋体" w:cs="Times New Roman"/>
                <w:snapToGrid w:val="0"/>
                <w:color w:val="auto"/>
                <w:kern w:val="0"/>
                <w:sz w:val="21"/>
                <w:szCs w:val="21"/>
                <w:highlight w:val="none"/>
                <w:lang w:val="en-US" w:eastAsia="zh-CN"/>
              </w:rPr>
              <w:t>4</w:t>
            </w:r>
            <w:r>
              <w:rPr>
                <w:rFonts w:hint="default" w:ascii="Times New Roman" w:hAnsi="Times New Roman" w:eastAsia="宋体" w:cs="Times New Roman"/>
                <w:snapToGrid w:val="0"/>
                <w:color w:val="auto"/>
                <w:kern w:val="0"/>
                <w:sz w:val="21"/>
                <w:szCs w:val="21"/>
                <w:highlight w:val="none"/>
              </w:rPr>
              <w:t>个灶头，运行时间按6h/d计，单个灶头处理风量为2000m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/h，油烟产生浓度为</w:t>
            </w:r>
            <w:r>
              <w:rPr>
                <w:rFonts w:hint="eastAsia" w:ascii="Times New Roman" w:hAnsi="Times New Roman" w:eastAsia="宋体" w:cs="Times New Roman"/>
                <w:snapToGrid w:val="0"/>
                <w:color w:val="auto"/>
                <w:kern w:val="0"/>
                <w:sz w:val="21"/>
                <w:szCs w:val="21"/>
                <w:highlight w:val="none"/>
                <w:lang w:val="en-US" w:eastAsia="zh-CN"/>
              </w:rPr>
              <w:t>2.68</w:t>
            </w:r>
            <w:r>
              <w:rPr>
                <w:rFonts w:hint="default" w:ascii="Times New Roman" w:hAnsi="Times New Roman" w:eastAsia="宋体" w:cs="Times New Roman"/>
                <w:snapToGrid w:val="0"/>
                <w:color w:val="auto"/>
                <w:kern w:val="0"/>
                <w:sz w:val="21"/>
                <w:szCs w:val="21"/>
                <w:highlight w:val="none"/>
              </w:rPr>
              <w:t>mg/m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，油烟净化器最低去除效率为</w:t>
            </w:r>
            <w:r>
              <w:rPr>
                <w:rFonts w:hint="eastAsia" w:ascii="Times New Roman" w:hAnsi="Times New Roman" w:eastAsia="宋体" w:cs="Times New Roman"/>
                <w:snapToGrid w:val="0"/>
                <w:color w:val="auto"/>
                <w:kern w:val="0"/>
                <w:sz w:val="21"/>
                <w:szCs w:val="21"/>
                <w:highlight w:val="none"/>
                <w:lang w:val="en-US" w:eastAsia="zh-CN"/>
              </w:rPr>
              <w:t>75</w:t>
            </w:r>
            <w:r>
              <w:rPr>
                <w:rFonts w:hint="default" w:ascii="Times New Roman" w:hAnsi="Times New Roman" w:eastAsia="宋体" w:cs="Times New Roman"/>
                <w:snapToGrid w:val="0"/>
                <w:color w:val="auto"/>
                <w:kern w:val="0"/>
                <w:sz w:val="21"/>
                <w:szCs w:val="21"/>
                <w:highlight w:val="none"/>
              </w:rPr>
              <w:t>%，油烟排放浓度为</w:t>
            </w:r>
            <w:r>
              <w:rPr>
                <w:rFonts w:hint="eastAsia" w:ascii="Times New Roman" w:hAnsi="Times New Roman" w:eastAsia="宋体" w:cs="Times New Roman"/>
                <w:snapToGrid w:val="0"/>
                <w:color w:val="auto"/>
                <w:kern w:val="0"/>
                <w:sz w:val="21"/>
                <w:szCs w:val="21"/>
                <w:highlight w:val="none"/>
                <w:lang w:val="en-US" w:eastAsia="zh-CN"/>
              </w:rPr>
              <w:t>0.402</w:t>
            </w:r>
            <w:r>
              <w:rPr>
                <w:rFonts w:hint="default" w:ascii="Times New Roman" w:hAnsi="Times New Roman" w:eastAsia="宋体" w:cs="Times New Roman"/>
                <w:snapToGrid w:val="0"/>
                <w:color w:val="auto"/>
                <w:kern w:val="0"/>
                <w:sz w:val="21"/>
                <w:szCs w:val="21"/>
                <w:highlight w:val="none"/>
              </w:rPr>
              <w:t>mg/m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，可达《</w:t>
            </w:r>
            <w:r>
              <w:rPr>
                <w:rFonts w:hint="eastAsia" w:ascii="Times New Roman" w:hAnsi="Times New Roman" w:eastAsia="宋体" w:cs="Times New Roman"/>
                <w:snapToGrid w:val="0"/>
                <w:color w:val="auto"/>
                <w:kern w:val="0"/>
                <w:sz w:val="21"/>
                <w:szCs w:val="21"/>
                <w:highlight w:val="none"/>
                <w:lang w:eastAsia="zh-CN"/>
              </w:rPr>
              <w:t>饮食业油烟排放标准（试行）</w:t>
            </w:r>
            <w:r>
              <w:rPr>
                <w:rFonts w:hint="default" w:ascii="Times New Roman" w:hAnsi="Times New Roman" w:eastAsia="宋体" w:cs="Times New Roman"/>
                <w:snapToGrid w:val="0"/>
                <w:color w:val="auto"/>
                <w:kern w:val="0"/>
                <w:sz w:val="21"/>
                <w:szCs w:val="21"/>
                <w:highlight w:val="none"/>
              </w:rPr>
              <w:t>》（GB18483-2001）（</w:t>
            </w:r>
            <w:r>
              <w:rPr>
                <w:rFonts w:hint="eastAsia" w:ascii="Times New Roman" w:hAnsi="Times New Roman" w:eastAsia="宋体" w:cs="Times New Roman"/>
                <w:snapToGrid w:val="0"/>
                <w:color w:val="auto"/>
                <w:kern w:val="0"/>
                <w:sz w:val="21"/>
                <w:szCs w:val="21"/>
                <w:highlight w:val="none"/>
                <w:lang w:val="en-US" w:eastAsia="zh-CN"/>
              </w:rPr>
              <w:t>中</w:t>
            </w:r>
            <w:r>
              <w:rPr>
                <w:rFonts w:hint="default" w:ascii="Times New Roman" w:hAnsi="Times New Roman" w:eastAsia="宋体" w:cs="Times New Roman"/>
                <w:snapToGrid w:val="0"/>
                <w:color w:val="auto"/>
                <w:kern w:val="0"/>
                <w:sz w:val="21"/>
                <w:szCs w:val="21"/>
                <w:highlight w:val="none"/>
              </w:rPr>
              <w:t>型）油烟最高允许排放浓度为2.0mg/m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的要求，经净化后的油烟经专用烟道排出</w:t>
            </w:r>
            <w:r>
              <w:rPr>
                <w:rFonts w:hint="default"/>
                <w:snapToGrid w:val="0"/>
                <w:color w:val="auto"/>
                <w:kern w:val="0"/>
                <w:szCs w:val="21"/>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本项目废气污染物经处理后均可达标排放，对环境空气影响较小。</w:t>
            </w:r>
          </w:p>
          <w:p>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pPr>
              <w:pStyle w:val="137"/>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5 </w:t>
            </w:r>
            <w:r>
              <w:rPr>
                <w:rFonts w:hint="default" w:ascii="Times New Roman" w:hAnsi="Times New Roman" w:eastAsia="宋体" w:cs="Times New Roman"/>
                <w:b/>
                <w:color w:val="auto"/>
                <w:sz w:val="21"/>
                <w:szCs w:val="21"/>
                <w:highlight w:val="none"/>
              </w:rPr>
              <w:t>废气排放口基本情况一览表</w:t>
            </w:r>
          </w:p>
          <w:tbl>
            <w:tblPr>
              <w:tblStyle w:val="32"/>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485"/>
              <w:gridCol w:w="855"/>
              <w:gridCol w:w="855"/>
              <w:gridCol w:w="960"/>
              <w:gridCol w:w="1230"/>
              <w:gridCol w:w="1890"/>
            </w:tblGrid>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5" w:type="pct"/>
                  <w:tcBorders>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DA001</w:t>
                  </w:r>
                </w:p>
              </w:tc>
              <w:tc>
                <w:tcPr>
                  <w:tcW w:w="9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锅炉烟囱</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1.2</w:t>
                  </w:r>
                </w:p>
              </w:tc>
              <w:tc>
                <w:tcPr>
                  <w:tcW w:w="5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50</w:t>
                  </w:r>
                </w:p>
              </w:tc>
              <w:tc>
                <w:tcPr>
                  <w:tcW w:w="76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一般排放口</w:t>
                  </w:r>
                </w:p>
              </w:tc>
              <w:tc>
                <w:tcPr>
                  <w:tcW w:w="1175"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ascii="Times New Roman" w:hAnsi="Times New Roman" w:cs="Times New Roman"/>
                      <w:bCs/>
                      <w:color w:val="auto"/>
                      <w:sz w:val="18"/>
                      <w:szCs w:val="18"/>
                      <w:highlight w:val="none"/>
                    </w:rPr>
                    <w:t>126.35811567</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ascii="Times New Roman" w:hAnsi="Times New Roman" w:cs="Times New Roman"/>
                      <w:bCs/>
                      <w:color w:val="auto"/>
                      <w:sz w:val="18"/>
                      <w:szCs w:val="18"/>
                      <w:highlight w:val="none"/>
                    </w:rPr>
                    <w:t>45.39049405</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DA00</w:t>
                  </w:r>
                  <w:r>
                    <w:rPr>
                      <w:rFonts w:hint="default" w:ascii="Times New Roman" w:hAnsi="Times New Roman" w:cs="Times New Roman"/>
                      <w:color w:val="auto"/>
                      <w:sz w:val="18"/>
                      <w:szCs w:val="18"/>
                      <w:highlight w:val="none"/>
                      <w:lang w:val="en-US" w:eastAsia="zh-CN"/>
                    </w:rPr>
                    <w:t>2</w:t>
                  </w:r>
                </w:p>
              </w:tc>
              <w:tc>
                <w:tcPr>
                  <w:tcW w:w="9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蒸煮、烟熏</w:t>
                  </w:r>
                  <w:r>
                    <w:rPr>
                      <w:rFonts w:hint="eastAsia" w:cs="Times New Roman"/>
                      <w:color w:val="auto"/>
                      <w:sz w:val="18"/>
                      <w:szCs w:val="18"/>
                      <w:highlight w:val="none"/>
                      <w:lang w:val="en-US" w:eastAsia="zh-CN"/>
                    </w:rPr>
                    <w:t>烤制</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c>
                <w:tcPr>
                  <w:tcW w:w="5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76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一般排放口</w:t>
                  </w:r>
                </w:p>
              </w:tc>
              <w:tc>
                <w:tcPr>
                  <w:tcW w:w="1175"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ascii="Times New Roman" w:hAnsi="Times New Roman" w:cs="Times New Roman"/>
                      <w:bCs/>
                      <w:color w:val="auto"/>
                      <w:sz w:val="18"/>
                      <w:szCs w:val="18"/>
                      <w:highlight w:val="none"/>
                    </w:rPr>
                    <w:t>126.35919929</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ascii="Times New Roman" w:hAnsi="Times New Roman" w:cs="Times New Roman"/>
                      <w:bCs/>
                      <w:color w:val="auto"/>
                      <w:sz w:val="18"/>
                      <w:szCs w:val="18"/>
                      <w:highlight w:val="none"/>
                    </w:rPr>
                    <w:t>45.38987621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DA00</w:t>
                  </w:r>
                  <w:r>
                    <w:rPr>
                      <w:rFonts w:hint="default" w:ascii="Times New Roman" w:hAnsi="Times New Roman" w:cs="Times New Roman"/>
                      <w:color w:val="auto"/>
                      <w:sz w:val="18"/>
                      <w:szCs w:val="18"/>
                      <w:highlight w:val="none"/>
                      <w:lang w:val="en-US" w:eastAsia="zh-CN"/>
                    </w:rPr>
                    <w:t>3</w:t>
                  </w:r>
                </w:p>
              </w:tc>
              <w:tc>
                <w:tcPr>
                  <w:tcW w:w="9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污水处理站</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c>
                <w:tcPr>
                  <w:tcW w:w="5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p>
              </w:tc>
              <w:tc>
                <w:tcPr>
                  <w:tcW w:w="76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一般排放口</w:t>
                  </w:r>
                </w:p>
              </w:tc>
              <w:tc>
                <w:tcPr>
                  <w:tcW w:w="1175"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ascii="Times New Roman" w:hAnsi="Times New Roman" w:cs="Times New Roman"/>
                      <w:bCs/>
                      <w:color w:val="auto"/>
                      <w:sz w:val="18"/>
                      <w:szCs w:val="18"/>
                      <w:highlight w:val="none"/>
                    </w:rPr>
                    <w:t>126.35943532</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ascii="Times New Roman" w:hAnsi="Times New Roman" w:cs="Times New Roman"/>
                      <w:bCs/>
                      <w:color w:val="auto"/>
                      <w:sz w:val="18"/>
                      <w:szCs w:val="18"/>
                      <w:highlight w:val="none"/>
                    </w:rPr>
                    <w:t>45.39046391</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pPr>
              <w:pStyle w:val="6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废气治理措施发生故障，废气未经处理直接排放</w:t>
            </w:r>
            <w:r>
              <w:rPr>
                <w:rFonts w:hint="eastAsia"/>
                <w:color w:val="auto"/>
                <w:sz w:val="21"/>
                <w:szCs w:val="21"/>
                <w:highlight w:val="none"/>
                <w:lang w:eastAsia="zh-CN"/>
              </w:rPr>
              <w:t>。</w:t>
            </w:r>
          </w:p>
          <w:p>
            <w:pPr>
              <w:pStyle w:val="6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6 </w:t>
            </w:r>
            <w:r>
              <w:rPr>
                <w:rFonts w:hint="default" w:ascii="Times New Roman" w:hAnsi="Times New Roman" w:cs="Times New Roman"/>
                <w:b/>
                <w:color w:val="auto"/>
                <w:sz w:val="21"/>
                <w:szCs w:val="21"/>
                <w:highlight w:val="none"/>
              </w:rPr>
              <w:t>非正常排放参数表</w:t>
            </w:r>
          </w:p>
          <w:tbl>
            <w:tblPr>
              <w:tblStyle w:val="32"/>
              <w:tblW w:w="5000" w:type="pct"/>
              <w:jc w:val="center"/>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93"/>
              <w:gridCol w:w="1314"/>
              <w:gridCol w:w="1201"/>
              <w:gridCol w:w="1213"/>
              <w:gridCol w:w="952"/>
              <w:gridCol w:w="1018"/>
              <w:gridCol w:w="1047"/>
            </w:tblGrid>
            <w:tr>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04" w:type="pct"/>
                  <w:tcBorders>
                    <w:left w:val="nil"/>
                    <w:bottom w:val="single" w:color="000000" w:sz="4" w:space="0"/>
                    <w:right w:val="single" w:color="000000"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817" w:type="pct"/>
                  <w:tcBorders>
                    <w:left w:val="single" w:color="000000" w:sz="4" w:space="0"/>
                    <w:bottom w:val="single" w:color="000000" w:sz="4" w:space="0"/>
                    <w:right w:val="single" w:color="000000"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w:t>
                  </w:r>
                </w:p>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排放原因</w:t>
                  </w:r>
                </w:p>
              </w:tc>
              <w:tc>
                <w:tcPr>
                  <w:tcW w:w="747" w:type="pct"/>
                  <w:tcBorders>
                    <w:left w:val="single" w:color="000000" w:sz="4" w:space="0"/>
                    <w:bottom w:val="single" w:color="000000" w:sz="4" w:space="0"/>
                    <w:right w:val="single" w:color="000000"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754" w:type="pct"/>
                  <w:tcBorders>
                    <w:left w:val="single" w:color="auto" w:sz="4" w:space="0"/>
                    <w:bottom w:val="single" w:color="000000" w:sz="4" w:space="0"/>
                    <w:right w:val="single" w:color="000000"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w:t>
                  </w:r>
                </w:p>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Cs/>
                      <w:color w:val="auto"/>
                      <w:sz w:val="18"/>
                      <w:szCs w:val="18"/>
                      <w:highlight w:val="none"/>
                    </w:rPr>
                    <w:t>速率kg/h</w:t>
                  </w:r>
                </w:p>
              </w:tc>
              <w:tc>
                <w:tcPr>
                  <w:tcW w:w="592" w:type="pct"/>
                  <w:tcBorders>
                    <w:left w:val="single" w:color="000000" w:sz="4" w:space="0"/>
                    <w:bottom w:val="single" w:color="000000" w:sz="4" w:space="0"/>
                    <w:right w:val="single" w:color="000000"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633" w:type="pct"/>
                  <w:tcBorders>
                    <w:left w:val="single" w:color="000000" w:sz="4" w:space="0"/>
                    <w:bottom w:val="single" w:color="000000" w:sz="4" w:space="0"/>
                    <w:right w:val="single" w:color="auto" w:sz="4" w:space="0"/>
                  </w:tcBorders>
                  <w:noWrap w:val="0"/>
                  <w:vAlign w:val="center"/>
                </w:tcPr>
                <w:p>
                  <w:pPr>
                    <w:pStyle w:val="67"/>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651" w:type="pct"/>
                  <w:tcBorders>
                    <w:left w:val="single" w:color="auto" w:sz="4" w:space="0"/>
                    <w:bottom w:val="single" w:color="000000" w:sz="4" w:space="0"/>
                    <w:right w:val="nil"/>
                  </w:tcBorders>
                  <w:noWrap w:val="0"/>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0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8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低氮燃烧器失效，处理效率降低为</w:t>
                  </w:r>
                  <w:r>
                    <w:rPr>
                      <w:rFonts w:hint="eastAsia"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rPr>
                    <w:t>%</w:t>
                  </w: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氮氧化物</w:t>
                  </w:r>
                </w:p>
              </w:tc>
              <w:tc>
                <w:tcPr>
                  <w:tcW w:w="754" w:type="pct"/>
                  <w:tcBorders>
                    <w:top w:val="single" w:color="000000" w:sz="4" w:space="0"/>
                    <w:left w:val="single" w:color="auto" w:sz="4" w:space="0"/>
                    <w:bottom w:val="single" w:color="000000" w:sz="4" w:space="0"/>
                    <w:right w:val="single" w:color="000000" w:sz="4" w:space="0"/>
                  </w:tcBorders>
                  <w:noWrap w:val="0"/>
                  <w:vAlign w:val="center"/>
                </w:tcPr>
                <w:p>
                  <w:pPr>
                    <w:pStyle w:val="4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0.74</w:t>
                  </w:r>
                </w:p>
              </w:tc>
              <w:tc>
                <w:tcPr>
                  <w:tcW w:w="5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33" w:type="pct"/>
                  <w:tcBorders>
                    <w:top w:val="single" w:color="000000"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51" w:type="pct"/>
                  <w:tcBorders>
                    <w:top w:val="single" w:color="000000" w:sz="4" w:space="0"/>
                    <w:left w:val="single" w:color="auto" w:sz="4" w:space="0"/>
                    <w:bottom w:val="single" w:color="000000"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0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DA002</w:t>
                  </w:r>
                </w:p>
              </w:tc>
              <w:tc>
                <w:tcPr>
                  <w:tcW w:w="8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低温等离子净化装置失效，处理效率降低为</w:t>
                  </w:r>
                  <w:r>
                    <w:rPr>
                      <w:rFonts w:hint="eastAsia"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rPr>
                    <w:t>%</w:t>
                  </w: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臭气浓度</w:t>
                  </w:r>
                </w:p>
              </w:tc>
              <w:tc>
                <w:tcPr>
                  <w:tcW w:w="754" w:type="pct"/>
                  <w:tcBorders>
                    <w:top w:val="single" w:color="000000" w:sz="4" w:space="0"/>
                    <w:left w:val="single" w:color="auto"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eastAsia="宋体" w:cs="Times New Roman"/>
                      <w:color w:val="auto"/>
                      <w:sz w:val="18"/>
                      <w:szCs w:val="18"/>
                      <w:highlight w:val="none"/>
                    </w:rPr>
                    <w:t>600</w:t>
                  </w:r>
                  <w:r>
                    <w:rPr>
                      <w:rFonts w:hint="eastAsia"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rPr>
                    <w:t>（无量纲）</w:t>
                  </w:r>
                </w:p>
              </w:tc>
              <w:tc>
                <w:tcPr>
                  <w:tcW w:w="5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33" w:type="pct"/>
                  <w:tcBorders>
                    <w:top w:val="single" w:color="000000"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51" w:type="pct"/>
                  <w:tcBorders>
                    <w:top w:val="single" w:color="000000" w:sz="4" w:space="0"/>
                    <w:left w:val="single" w:color="auto" w:sz="4" w:space="0"/>
                    <w:bottom w:val="single" w:color="000000"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0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DA002</w:t>
                  </w:r>
                </w:p>
              </w:tc>
              <w:tc>
                <w:tcPr>
                  <w:tcW w:w="8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静电</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85</w:t>
                  </w:r>
                  <w:r>
                    <w:rPr>
                      <w:rFonts w:hint="default" w:ascii="Times New Roman" w:hAnsi="Times New Roman" w:eastAsia="宋体" w:cs="Times New Roman"/>
                      <w:color w:val="auto"/>
                      <w:sz w:val="18"/>
                      <w:szCs w:val="18"/>
                      <w:highlight w:val="none"/>
                    </w:rPr>
                    <w:t>%</w:t>
                  </w: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颗粒物</w:t>
                  </w:r>
                </w:p>
              </w:tc>
              <w:tc>
                <w:tcPr>
                  <w:tcW w:w="754" w:type="pct"/>
                  <w:tcBorders>
                    <w:top w:val="single" w:color="000000" w:sz="4" w:space="0"/>
                    <w:left w:val="single" w:color="auto"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0.814</w:t>
                  </w:r>
                </w:p>
              </w:tc>
              <w:tc>
                <w:tcPr>
                  <w:tcW w:w="5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33" w:type="pct"/>
                  <w:tcBorders>
                    <w:top w:val="single" w:color="000000"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51" w:type="pct"/>
                  <w:tcBorders>
                    <w:top w:val="single" w:color="000000" w:sz="4" w:space="0"/>
                    <w:left w:val="single" w:color="auto" w:sz="4" w:space="0"/>
                    <w:bottom w:val="single" w:color="000000"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0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DA003</w:t>
                  </w:r>
                </w:p>
              </w:tc>
              <w:tc>
                <w:tcPr>
                  <w:tcW w:w="81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活性炭吸附装置失效，处理效率降低为0%</w:t>
                  </w:r>
                </w:p>
              </w:tc>
              <w:tc>
                <w:tcPr>
                  <w:tcW w:w="74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硫化氢</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default"/>
                      <w:color w:val="auto"/>
                      <w:highlight w:val="none"/>
                    </w:rPr>
                    <w:t>氨</w:t>
                  </w:r>
                </w:p>
              </w:tc>
              <w:tc>
                <w:tcPr>
                  <w:tcW w:w="754" w:type="pct"/>
                  <w:tcBorders>
                    <w:top w:val="single" w:color="000000" w:sz="4" w:space="0"/>
                    <w:left w:val="single" w:color="auto"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eastAsia"/>
                      <w:color w:val="auto"/>
                      <w:sz w:val="18"/>
                      <w:szCs w:val="18"/>
                      <w:highlight w:val="none"/>
                      <w:lang w:val="en-US" w:eastAsia="zh-CN"/>
                    </w:rPr>
                  </w:pPr>
                  <w:r>
                    <w:rPr>
                      <w:rFonts w:hint="default"/>
                      <w:color w:val="auto"/>
                      <w:sz w:val="18"/>
                      <w:szCs w:val="18"/>
                      <w:highlight w:val="none"/>
                    </w:rPr>
                    <w:t>0.</w:t>
                  </w:r>
                  <w:r>
                    <w:rPr>
                      <w:rFonts w:hint="eastAsia"/>
                      <w:color w:val="auto"/>
                      <w:sz w:val="18"/>
                      <w:szCs w:val="18"/>
                      <w:highlight w:val="none"/>
                      <w:lang w:val="en-US" w:eastAsia="zh-CN"/>
                    </w:rPr>
                    <w:t>00031</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color w:val="auto"/>
                      <w:spacing w:val="0"/>
                      <w:position w:val="0"/>
                      <w:sz w:val="18"/>
                      <w:szCs w:val="18"/>
                      <w:highlight w:val="none"/>
                      <w:lang w:val="en-US" w:eastAsia="zh-CN"/>
                    </w:rPr>
                    <w:t>0.00</w:t>
                  </w:r>
                  <w:r>
                    <w:rPr>
                      <w:rFonts w:hint="eastAsia" w:cs="Times New Roman"/>
                      <w:bCs/>
                      <w:color w:val="auto"/>
                      <w:spacing w:val="0"/>
                      <w:position w:val="0"/>
                      <w:sz w:val="18"/>
                      <w:szCs w:val="18"/>
                      <w:highlight w:val="none"/>
                      <w:lang w:val="en-US" w:eastAsia="zh-CN"/>
                    </w:rPr>
                    <w:t>79</w:t>
                  </w:r>
                </w:p>
              </w:tc>
              <w:tc>
                <w:tcPr>
                  <w:tcW w:w="59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33" w:type="pct"/>
                  <w:tcBorders>
                    <w:top w:val="single" w:color="000000" w:sz="4" w:space="0"/>
                    <w:left w:val="single" w:color="000000" w:sz="4" w:space="0"/>
                    <w:bottom w:val="single" w:color="000000"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651" w:type="pct"/>
                  <w:tcBorders>
                    <w:top w:val="single" w:color="000000" w:sz="4" w:space="0"/>
                    <w:left w:val="single" w:color="auto" w:sz="4" w:space="0"/>
                    <w:bottom w:val="single" w:color="000000"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根据《排污单位自行监测技术指南 农副食品加工业》（HJ986-2018）和《排污单位自行监测技术指南 火力发电及锅炉》（HJ820-2017</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制定本项目废气监测计划如下。</w:t>
            </w:r>
          </w:p>
          <w:p>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7 </w:t>
            </w:r>
            <w:r>
              <w:rPr>
                <w:rFonts w:hint="default" w:ascii="Times New Roman" w:hAnsi="Times New Roman" w:cs="Times New Roman"/>
                <w:b/>
                <w:color w:val="auto"/>
                <w:szCs w:val="21"/>
                <w:highlight w:val="none"/>
              </w:rPr>
              <w:t>废气监测方案</w:t>
            </w:r>
          </w:p>
          <w:tbl>
            <w:tblPr>
              <w:tblStyle w:val="32"/>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159"/>
              <w:gridCol w:w="1716"/>
              <w:gridCol w:w="1175"/>
              <w:gridCol w:w="323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751" w:type="dxa"/>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159"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1716" w:type="dxa"/>
                  <w:tcBorders>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1175" w:type="dxa"/>
                  <w:tcBorders>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3236" w:type="dxa"/>
                  <w:tcBorders>
                    <w:left w:val="single" w:color="auto" w:sz="4" w:space="0"/>
                    <w:bottom w:val="single" w:color="auto" w:sz="4" w:space="0"/>
                    <w:right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11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锅炉烟囱</w:t>
                  </w:r>
                </w:p>
              </w:tc>
              <w:tc>
                <w:tcPr>
                  <w:tcW w:w="171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颗粒物、二氧化硫、</w:t>
                  </w:r>
                  <w:r>
                    <w:rPr>
                      <w:rFonts w:hint="eastAsia" w:cs="Times New Roman"/>
                      <w:color w:val="auto"/>
                      <w:sz w:val="18"/>
                      <w:szCs w:val="18"/>
                      <w:highlight w:val="none"/>
                      <w:lang w:val="en-US" w:eastAsia="zh-CN"/>
                    </w:rPr>
                    <w:t>林格曼</w:t>
                  </w:r>
                  <w:r>
                    <w:rPr>
                      <w:rFonts w:hint="default" w:ascii="Times New Roman" w:hAnsi="Times New Roman" w:eastAsia="宋体" w:cs="Times New Roman"/>
                      <w:color w:val="auto"/>
                      <w:sz w:val="18"/>
                      <w:szCs w:val="18"/>
                      <w:highlight w:val="none"/>
                    </w:rPr>
                    <w:t>黑度</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氮氧化物</w:t>
                  </w:r>
                </w:p>
              </w:tc>
              <w:tc>
                <w:tcPr>
                  <w:tcW w:w="11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1次/</w:t>
                  </w:r>
                  <w:r>
                    <w:rPr>
                      <w:rFonts w:hint="default" w:ascii="Times New Roman" w:hAnsi="Times New Roman" w:eastAsia="宋体" w:cs="Times New Roman"/>
                      <w:color w:val="auto"/>
                      <w:sz w:val="18"/>
                      <w:szCs w:val="18"/>
                      <w:highlight w:val="none"/>
                      <w:lang w:val="en-US" w:eastAsia="zh-CN"/>
                    </w:rPr>
                    <w:t>年</w:t>
                  </w:r>
                </w:p>
                <w:p>
                  <w:pPr>
                    <w:pStyle w:val="42"/>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1次/月</w:t>
                  </w:r>
                </w:p>
              </w:tc>
              <w:tc>
                <w:tcPr>
                  <w:tcW w:w="3236" w:type="dxa"/>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rPr>
                  </w:pPr>
                  <w:r>
                    <w:rPr>
                      <w:rFonts w:hint="default" w:ascii="Times New Roman" w:hAnsi="Times New Roman" w:eastAsia="宋体" w:cs="Times New Roman"/>
                      <w:color w:val="auto"/>
                      <w:sz w:val="18"/>
                      <w:szCs w:val="18"/>
                      <w:highlight w:val="none"/>
                    </w:rPr>
                    <w:t>《锅炉大气污染物排放标准》（GB13271-2014）中</w:t>
                  </w:r>
                  <w:r>
                    <w:rPr>
                      <w:rFonts w:hint="eastAsia" w:ascii="宋体" w:hAnsi="宋体" w:cs="宋体"/>
                      <w:color w:val="auto"/>
                      <w:kern w:val="0"/>
                      <w:sz w:val="18"/>
                      <w:szCs w:val="18"/>
                      <w:highlight w:val="none"/>
                    </w:rPr>
                    <w:t>表</w:t>
                  </w:r>
                  <w:r>
                    <w:rPr>
                      <w:rFonts w:hint="default"/>
                      <w:color w:val="auto"/>
                      <w:sz w:val="18"/>
                      <w:szCs w:val="18"/>
                      <w:highlight w:val="none"/>
                    </w:rPr>
                    <w:t>2</w:t>
                  </w:r>
                  <w:r>
                    <w:rPr>
                      <w:rFonts w:hint="eastAsia"/>
                      <w:color w:val="auto"/>
                      <w:sz w:val="18"/>
                      <w:szCs w:val="18"/>
                      <w:highlight w:val="none"/>
                      <w:lang w:val="en-US" w:eastAsia="zh-CN"/>
                    </w:rPr>
                    <w:t>燃气标准限值要求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default" w:ascii="Times New Roman" w:hAnsi="Times New Roman" w:eastAsia="宋体" w:cs="Times New Roman"/>
                      <w:color w:val="auto"/>
                      <w:sz w:val="18"/>
                      <w:szCs w:val="18"/>
                      <w:highlight w:val="none"/>
                      <w:lang w:val="en-US" w:eastAsia="zh-CN"/>
                    </w:rPr>
                    <w:t>2</w:t>
                  </w:r>
                </w:p>
              </w:tc>
              <w:tc>
                <w:tcPr>
                  <w:tcW w:w="11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蒸煮、烟熏</w:t>
                  </w:r>
                  <w:r>
                    <w:rPr>
                      <w:rFonts w:hint="eastAsia" w:cs="Times New Roman"/>
                      <w:color w:val="auto"/>
                      <w:sz w:val="18"/>
                      <w:szCs w:val="18"/>
                      <w:highlight w:val="none"/>
                      <w:lang w:val="en-US" w:eastAsia="zh-CN"/>
                    </w:rPr>
                    <w:t>烤制</w:t>
                  </w:r>
                </w:p>
              </w:tc>
              <w:tc>
                <w:tcPr>
                  <w:tcW w:w="1716" w:type="dxa"/>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臭气浓度</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二氧化硫、氮氧化物、颗粒物</w:t>
                  </w:r>
                </w:p>
              </w:tc>
              <w:tc>
                <w:tcPr>
                  <w:tcW w:w="1175" w:type="dxa"/>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1次/</w:t>
                  </w:r>
                  <w:r>
                    <w:rPr>
                      <w:rFonts w:hint="default" w:ascii="Times New Roman" w:hAnsi="Times New Roman" w:eastAsia="宋体" w:cs="Times New Roman"/>
                      <w:color w:val="auto"/>
                      <w:sz w:val="18"/>
                      <w:szCs w:val="18"/>
                      <w:highlight w:val="none"/>
                      <w:lang w:val="en-US" w:eastAsia="zh-CN"/>
                    </w:rPr>
                    <w:t>半年</w:t>
                  </w:r>
                </w:p>
              </w:tc>
              <w:tc>
                <w:tcPr>
                  <w:tcW w:w="3236" w:type="dxa"/>
                  <w:tcBorders>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《恶臭污染物排放标准》（GB14554-93）中表2标准</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《工业炉窑大气污染物排放标准》（GB9078-1996）中表2 和表4标准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default" w:ascii="Times New Roman" w:hAnsi="Times New Roman" w:eastAsia="宋体" w:cs="Times New Roman"/>
                      <w:color w:val="auto"/>
                      <w:sz w:val="18"/>
                      <w:szCs w:val="18"/>
                      <w:highlight w:val="none"/>
                      <w:lang w:val="en-US" w:eastAsia="zh-CN"/>
                    </w:rPr>
                    <w:t>3</w:t>
                  </w:r>
                </w:p>
              </w:tc>
              <w:tc>
                <w:tcPr>
                  <w:tcW w:w="1159" w:type="dxa"/>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污水处理站</w:t>
                  </w:r>
                </w:p>
              </w:tc>
              <w:tc>
                <w:tcPr>
                  <w:tcW w:w="1716" w:type="dxa"/>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臭气浓度、氨、硫化氢</w:t>
                  </w:r>
                </w:p>
              </w:tc>
              <w:tc>
                <w:tcPr>
                  <w:tcW w:w="1175" w:type="dxa"/>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1次/</w:t>
                  </w:r>
                  <w:r>
                    <w:rPr>
                      <w:rFonts w:hint="default" w:ascii="Times New Roman" w:hAnsi="Times New Roman" w:eastAsia="宋体" w:cs="Times New Roman"/>
                      <w:color w:val="auto"/>
                      <w:sz w:val="18"/>
                      <w:szCs w:val="18"/>
                      <w:highlight w:val="none"/>
                      <w:lang w:val="en-US" w:eastAsia="zh-CN"/>
                    </w:rPr>
                    <w:t>季度</w:t>
                  </w:r>
                </w:p>
              </w:tc>
              <w:tc>
                <w:tcPr>
                  <w:tcW w:w="3236" w:type="dxa"/>
                  <w:tcBorders>
                    <w:left w:val="single" w:color="auto" w:sz="4"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sz w:val="18"/>
                      <w:szCs w:val="18"/>
                      <w:highlight w:val="none"/>
                    </w:rPr>
                    <w:t>《恶臭污染物排放标准》（GB14554-93）中表2标准</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8</w:t>
            </w:r>
            <w:r>
              <w:rPr>
                <w:rFonts w:hint="default"/>
                <w:b/>
                <w:bCs/>
                <w:color w:val="auto"/>
                <w:highlight w:val="none"/>
              </w:rPr>
              <w:t xml:space="preserve"> 无组织废气监测要求</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4"/>
              <w:gridCol w:w="2857"/>
              <w:gridCol w:w="28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监测点位</w:t>
                  </w:r>
                </w:p>
              </w:tc>
              <w:tc>
                <w:tcPr>
                  <w:tcW w:w="2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监测因子</w:t>
                  </w:r>
                </w:p>
              </w:tc>
              <w:tc>
                <w:tcPr>
                  <w:tcW w:w="2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厂界</w:t>
                  </w:r>
                </w:p>
              </w:tc>
              <w:tc>
                <w:tcPr>
                  <w:tcW w:w="2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臭气浓度、硫化氢、氨</w:t>
                  </w:r>
                </w:p>
              </w:tc>
              <w:tc>
                <w:tcPr>
                  <w:tcW w:w="2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1次/半年</w:t>
                  </w:r>
                </w:p>
              </w:tc>
            </w:tr>
          </w:tbl>
          <w:p>
            <w:pPr>
              <w:keepNext w:val="0"/>
              <w:keepLines w:val="0"/>
              <w:suppressLineNumbers w:val="0"/>
              <w:adjustRightInd w:val="0"/>
              <w:snapToGrid w:val="0"/>
              <w:spacing w:before="0" w:beforeAutospacing="0" w:after="0" w:afterAutospacing="0" w:line="360" w:lineRule="auto"/>
              <w:ind w:left="0" w:right="0" w:firstLine="420" w:firstLineChars="200"/>
              <w:rPr>
                <w:rFonts w:hint="eastAsia" w:cs="Times New Roman"/>
                <w:bCs/>
                <w:color w:val="auto"/>
                <w:szCs w:val="21"/>
                <w:highlight w:val="none"/>
                <w:lang w:eastAsia="zh-CN"/>
              </w:rPr>
            </w:pPr>
            <w:r>
              <w:rPr>
                <w:rFonts w:hint="eastAsia" w:cs="Times New Roman"/>
                <w:bCs/>
                <w:color w:val="auto"/>
                <w:szCs w:val="21"/>
                <w:highlight w:val="none"/>
                <w:lang w:eastAsia="zh-CN"/>
              </w:rPr>
              <w:t>（</w:t>
            </w:r>
            <w:r>
              <w:rPr>
                <w:rFonts w:hint="eastAsia" w:cs="Times New Roman"/>
                <w:bCs/>
                <w:color w:val="auto"/>
                <w:szCs w:val="21"/>
                <w:highlight w:val="none"/>
                <w:lang w:val="en-US" w:eastAsia="zh-CN"/>
              </w:rPr>
              <w:t>5）废气处理技术</w:t>
            </w:r>
            <w:r>
              <w:rPr>
                <w:rFonts w:hint="eastAsia" w:cs="Times New Roman"/>
                <w:bCs/>
                <w:color w:val="auto"/>
                <w:szCs w:val="21"/>
                <w:highlight w:val="none"/>
                <w:lang w:eastAsia="zh-CN"/>
              </w:rPr>
              <w:t>可行性分析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ascii="Times New Roman"/>
                <w:b w:val="0"/>
                <w:bCs/>
                <w:color w:val="auto"/>
                <w:sz w:val="21"/>
                <w:szCs w:val="21"/>
                <w:highlight w:val="none"/>
              </w:rPr>
              <w:t>本项目</w:t>
            </w:r>
            <w:r>
              <w:rPr>
                <w:rFonts w:hint="eastAsia" w:ascii="Times New Roman"/>
                <w:b w:val="0"/>
                <w:bCs/>
                <w:color w:val="auto"/>
                <w:sz w:val="21"/>
                <w:szCs w:val="21"/>
                <w:highlight w:val="none"/>
              </w:rPr>
              <w:t>采取</w:t>
            </w:r>
            <w:r>
              <w:rPr>
                <w:rFonts w:hint="eastAsia" w:ascii="Times New Roman"/>
                <w:b w:val="0"/>
                <w:bCs/>
                <w:color w:val="auto"/>
                <w:sz w:val="21"/>
                <w:szCs w:val="21"/>
                <w:highlight w:val="none"/>
                <w:lang w:val="en-US" w:eastAsia="zh-CN"/>
              </w:rPr>
              <w:t>锅炉</w:t>
            </w:r>
            <w:r>
              <w:rPr>
                <w:rFonts w:hint="default" w:ascii="Times New Roman"/>
                <w:b w:val="0"/>
                <w:bCs/>
                <w:color w:val="auto"/>
                <w:sz w:val="21"/>
                <w:szCs w:val="21"/>
                <w:highlight w:val="none"/>
              </w:rPr>
              <w:t xml:space="preserve">废气治理措施与《排污许可证申请与核发技术规范 </w:t>
            </w:r>
            <w:r>
              <w:rPr>
                <w:rFonts w:hint="eastAsia" w:ascii="Times New Roman"/>
                <w:b w:val="0"/>
                <w:bCs/>
                <w:color w:val="auto"/>
                <w:sz w:val="21"/>
                <w:szCs w:val="21"/>
                <w:highlight w:val="none"/>
                <w:lang w:eastAsia="zh-CN"/>
              </w:rPr>
              <w:t>锅炉</w:t>
            </w:r>
            <w:r>
              <w:rPr>
                <w:rFonts w:hint="default" w:ascii="Times New Roman"/>
                <w:b w:val="0"/>
                <w:bCs/>
                <w:color w:val="auto"/>
                <w:sz w:val="21"/>
                <w:szCs w:val="21"/>
                <w:highlight w:val="none"/>
              </w:rPr>
              <w:t xml:space="preserve">》（HJ </w:t>
            </w:r>
            <w:r>
              <w:rPr>
                <w:rFonts w:hint="eastAsia" w:ascii="Times New Roman"/>
                <w:b w:val="0"/>
                <w:bCs/>
                <w:color w:val="auto"/>
                <w:sz w:val="21"/>
                <w:szCs w:val="21"/>
                <w:highlight w:val="none"/>
                <w:lang w:val="en-US" w:eastAsia="zh-CN"/>
              </w:rPr>
              <w:t>953</w:t>
            </w:r>
            <w:r>
              <w:rPr>
                <w:rFonts w:hint="default" w:ascii="Times New Roman"/>
                <w:b w:val="0"/>
                <w:bCs/>
                <w:color w:val="auto"/>
                <w:sz w:val="21"/>
                <w:szCs w:val="21"/>
                <w:highlight w:val="none"/>
              </w:rPr>
              <w:t>—</w:t>
            </w:r>
            <w:r>
              <w:rPr>
                <w:rFonts w:hint="eastAsia" w:ascii="Times New Roman"/>
                <w:b w:val="0"/>
                <w:bCs/>
                <w:color w:val="auto"/>
                <w:sz w:val="21"/>
                <w:szCs w:val="21"/>
                <w:highlight w:val="none"/>
                <w:lang w:val="en-US" w:eastAsia="zh-CN"/>
              </w:rPr>
              <w:t>2018</w:t>
            </w:r>
            <w:r>
              <w:rPr>
                <w:rFonts w:hint="default" w:ascii="Times New Roman"/>
                <w:b w:val="0"/>
                <w:bCs/>
                <w:color w:val="auto"/>
                <w:sz w:val="21"/>
                <w:szCs w:val="21"/>
                <w:highlight w:val="none"/>
              </w:rPr>
              <w:t>）</w:t>
            </w:r>
            <w:r>
              <w:rPr>
                <w:rFonts w:hint="eastAsia" w:ascii="Times New Roman"/>
                <w:b w:val="0"/>
                <w:bCs/>
                <w:color w:val="auto"/>
                <w:sz w:val="21"/>
                <w:szCs w:val="21"/>
                <w:highlight w:val="none"/>
              </w:rPr>
              <w:t>可行技术进行对比分析</w:t>
            </w:r>
            <w:r>
              <w:rPr>
                <w:rFonts w:hint="default"/>
                <w:color w:val="auto"/>
                <w:sz w:val="21"/>
                <w:szCs w:val="21"/>
                <w:highlight w:val="none"/>
              </w:rPr>
              <w:t>燃气锅炉采用低氮燃烧器处理，锅炉烟气经气经</w:t>
            </w:r>
            <w:r>
              <w:rPr>
                <w:rFonts w:hint="eastAsia"/>
                <w:color w:val="auto"/>
                <w:sz w:val="21"/>
                <w:szCs w:val="21"/>
                <w:highlight w:val="none"/>
                <w:lang w:val="en-US" w:eastAsia="zh-CN"/>
              </w:rPr>
              <w:t>27</w:t>
            </w:r>
            <w:r>
              <w:rPr>
                <w:rFonts w:hint="default"/>
                <w:color w:val="auto"/>
                <w:sz w:val="21"/>
                <w:szCs w:val="21"/>
                <w:highlight w:val="none"/>
              </w:rPr>
              <w:t>m</w:t>
            </w:r>
            <w:r>
              <w:rPr>
                <w:rFonts w:hint="eastAsia"/>
                <w:color w:val="auto"/>
                <w:sz w:val="21"/>
                <w:szCs w:val="21"/>
                <w:highlight w:val="none"/>
                <w:lang w:val="en-US" w:eastAsia="zh-CN"/>
              </w:rPr>
              <w:t>高烟囱</w:t>
            </w:r>
            <w:r>
              <w:rPr>
                <w:rFonts w:hint="default"/>
                <w:color w:val="auto"/>
                <w:sz w:val="21"/>
                <w:szCs w:val="21"/>
                <w:highlight w:val="none"/>
              </w:rPr>
              <w:t>（DA001）排放</w:t>
            </w:r>
            <w:r>
              <w:rPr>
                <w:rFonts w:hint="eastAsia"/>
                <w:color w:val="auto"/>
                <w:sz w:val="21"/>
                <w:szCs w:val="21"/>
                <w:highlight w:val="none"/>
                <w:lang w:eastAsia="zh-CN"/>
              </w:rPr>
              <w:t>，</w:t>
            </w:r>
            <w:r>
              <w:rPr>
                <w:rFonts w:hint="eastAsia"/>
                <w:color w:val="auto"/>
                <w:sz w:val="21"/>
                <w:szCs w:val="21"/>
                <w:highlight w:val="none"/>
                <w:lang w:val="en-US" w:eastAsia="zh-CN"/>
              </w:rPr>
              <w:t>为可行技术</w:t>
            </w:r>
            <w:r>
              <w:rPr>
                <w:rFonts w:hint="default"/>
                <w:color w:val="auto"/>
                <w:sz w:val="21"/>
                <w:szCs w:val="21"/>
                <w:highlight w:val="none"/>
              </w:rPr>
              <w:t>。</w:t>
            </w:r>
            <w:r>
              <w:rPr>
                <w:rFonts w:hint="eastAsia"/>
                <w:color w:val="auto"/>
                <w:sz w:val="21"/>
                <w:szCs w:val="21"/>
                <w:highlight w:val="none"/>
              </w:rPr>
              <w:t>蒸煮</w:t>
            </w:r>
            <w:r>
              <w:rPr>
                <w:rFonts w:hint="default"/>
                <w:color w:val="auto"/>
                <w:sz w:val="21"/>
                <w:szCs w:val="21"/>
                <w:highlight w:val="none"/>
              </w:rPr>
              <w:t>低温等离子净化装置处理后，</w:t>
            </w:r>
            <w:r>
              <w:rPr>
                <w:rFonts w:hint="eastAsia"/>
                <w:color w:val="auto"/>
                <w:sz w:val="21"/>
                <w:szCs w:val="21"/>
                <w:highlight w:val="none"/>
              </w:rPr>
              <w:t>熏</w:t>
            </w:r>
            <w:r>
              <w:rPr>
                <w:rFonts w:hint="eastAsia"/>
                <w:color w:val="auto"/>
                <w:sz w:val="21"/>
                <w:szCs w:val="21"/>
                <w:highlight w:val="none"/>
                <w:lang w:val="en-US" w:eastAsia="zh-CN"/>
              </w:rPr>
              <w:t>烤</w:t>
            </w:r>
            <w:r>
              <w:rPr>
                <w:rFonts w:hint="eastAsia"/>
                <w:color w:val="auto"/>
                <w:sz w:val="21"/>
                <w:szCs w:val="21"/>
                <w:highlight w:val="none"/>
              </w:rPr>
              <w:t>制产生的废气</w:t>
            </w:r>
            <w:r>
              <w:rPr>
                <w:rFonts w:hint="default"/>
                <w:color w:val="auto"/>
                <w:sz w:val="21"/>
                <w:szCs w:val="21"/>
                <w:highlight w:val="none"/>
              </w:rPr>
              <w:t>经</w:t>
            </w:r>
            <w:r>
              <w:rPr>
                <w:rFonts w:hint="eastAsia"/>
                <w:color w:val="auto"/>
                <w:sz w:val="21"/>
                <w:szCs w:val="21"/>
                <w:highlight w:val="none"/>
              </w:rPr>
              <w:t>静电除尘器处理，一并</w:t>
            </w:r>
            <w:r>
              <w:rPr>
                <w:rFonts w:hint="default"/>
                <w:color w:val="auto"/>
                <w:sz w:val="21"/>
                <w:szCs w:val="21"/>
                <w:highlight w:val="none"/>
              </w:rPr>
              <w:t>经</w:t>
            </w:r>
            <w:r>
              <w:rPr>
                <w:rFonts w:hint="eastAsia"/>
                <w:color w:val="auto"/>
                <w:sz w:val="21"/>
                <w:szCs w:val="21"/>
                <w:highlight w:val="none"/>
                <w:lang w:val="en-US" w:eastAsia="zh-CN"/>
              </w:rPr>
              <w:t>27</w:t>
            </w:r>
            <w:r>
              <w:rPr>
                <w:rFonts w:hint="default"/>
                <w:color w:val="auto"/>
                <w:sz w:val="21"/>
                <w:szCs w:val="21"/>
                <w:highlight w:val="none"/>
              </w:rPr>
              <w:t>m排气筒（DA002）排放。依据《排污许可证申请与核发技术规范 农副产品加工工业-屠宰及肉类加工工业》（HJ860.3-2018）表8屠宰类及肉类加工工业排污单位废气污染防治可行技术中“烟熏炉产生的烟熏废气采用静电除尘或湿式除尘等技术”“油炸锅产生的油烟采用静电油烟处理前、湿法油烟处理器或其他等技术”，本项目烟熏炉废气经静电除尘器+</w:t>
            </w:r>
            <w:r>
              <w:rPr>
                <w:rFonts w:hint="eastAsia"/>
                <w:color w:val="auto"/>
                <w:sz w:val="21"/>
                <w:szCs w:val="21"/>
                <w:highlight w:val="none"/>
              </w:rPr>
              <w:t>低温等离子净化器</w:t>
            </w:r>
            <w:r>
              <w:rPr>
                <w:rFonts w:hint="default"/>
                <w:color w:val="auto"/>
                <w:sz w:val="21"/>
                <w:szCs w:val="21"/>
                <w:highlight w:val="none"/>
              </w:rPr>
              <w:t>处理，最后经</w:t>
            </w:r>
            <w:r>
              <w:rPr>
                <w:rFonts w:hint="eastAsia"/>
                <w:color w:val="auto"/>
                <w:sz w:val="21"/>
                <w:szCs w:val="21"/>
                <w:highlight w:val="none"/>
                <w:lang w:val="en-US" w:eastAsia="zh-CN"/>
              </w:rPr>
              <w:t>27</w:t>
            </w:r>
            <w:r>
              <w:rPr>
                <w:rFonts w:hint="default"/>
                <w:color w:val="auto"/>
                <w:sz w:val="21"/>
                <w:szCs w:val="21"/>
                <w:highlight w:val="none"/>
              </w:rPr>
              <w:t>m排气筒（DA002）排放；污水处理站产生的恶臭气体经活性炭吸附后经15m排气筒（DA003）排放。因此，本项目采取的大气污染防治措施为可行技术。</w:t>
            </w:r>
          </w:p>
          <w:p>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排气筒设置合理性分析</w:t>
            </w:r>
          </w:p>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根据《锅炉大气污染物排放标准》（GB13271-2014）中对于锅炉排气筒的要求可知，燃气锅炉排气筒应不低于8m，并应高于周边200m范围最高建筑物高度3m以上，本项目燃气锅炉烟囱</w:t>
            </w:r>
            <w:r>
              <w:rPr>
                <w:rFonts w:hint="eastAsia" w:ascii="Times New Roman" w:hAnsi="Times New Roman" w:eastAsia="宋体"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lang w:val="en-US" w:eastAsia="zh-CN"/>
              </w:rPr>
              <w:t>高度</w:t>
            </w:r>
            <w:r>
              <w:rPr>
                <w:rFonts w:hint="eastAsia"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lang w:val="en-US" w:eastAsia="zh-CN"/>
              </w:rPr>
              <w:t>m，周边200m范围内最高建筑物为</w:t>
            </w:r>
            <w:r>
              <w:rPr>
                <w:rFonts w:hint="eastAsia" w:ascii="Times New Roman" w:hAnsi="Times New Roman" w:eastAsia="宋体" w:cs="Times New Roman"/>
                <w:color w:val="auto"/>
                <w:sz w:val="21"/>
                <w:szCs w:val="21"/>
                <w:highlight w:val="none"/>
                <w:lang w:val="en-US" w:eastAsia="zh-CN"/>
              </w:rPr>
              <w:t>本项目新建2#厂房，为4</w:t>
            </w:r>
            <w:r>
              <w:rPr>
                <w:rFonts w:hint="default" w:ascii="Times New Roman" w:hAnsi="Times New Roman" w:eastAsia="宋体" w:cs="Times New Roman"/>
                <w:color w:val="auto"/>
                <w:sz w:val="21"/>
                <w:szCs w:val="21"/>
                <w:highlight w:val="none"/>
                <w:lang w:val="en-US" w:eastAsia="zh-CN"/>
              </w:rPr>
              <w:t>层多层建筑，</w:t>
            </w:r>
            <w:r>
              <w:rPr>
                <w:rFonts w:hint="eastAsia" w:ascii="Times New Roman" w:hAnsi="Times New Roman" w:eastAsia="宋体" w:cs="Times New Roman"/>
                <w:color w:val="auto"/>
                <w:sz w:val="21"/>
                <w:szCs w:val="21"/>
                <w:highlight w:val="none"/>
                <w:lang w:val="en-US" w:eastAsia="zh-CN"/>
              </w:rPr>
              <w:t>建筑高度为23.85</w:t>
            </w:r>
            <w:r>
              <w:rPr>
                <w:rFonts w:hint="default" w:ascii="Times New Roman" w:hAnsi="Times New Roman" w:eastAsia="宋体" w:cs="Times New Roman"/>
                <w:color w:val="auto"/>
                <w:sz w:val="21"/>
                <w:szCs w:val="21"/>
                <w:highlight w:val="none"/>
                <w:lang w:val="en-US" w:eastAsia="zh-CN"/>
              </w:rPr>
              <w:t>m，因此本项目燃气锅炉排气筒高于周边200m范围内最高建筑物高度3m以上，符合《锅炉大气污染物排放标准》（GB13271-2014）对于锅炉高度的要求。</w:t>
            </w:r>
          </w:p>
          <w:p>
            <w:pPr>
              <w:pStyle w:val="44"/>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20" w:firstLineChars="200"/>
              <w:jc w:val="both"/>
              <w:textAlignment w:val="baseline"/>
              <w:rPr>
                <w:rFonts w:hint="default"/>
                <w:color w:val="auto"/>
                <w:szCs w:val="20"/>
              </w:rPr>
            </w:pP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中对于</w:t>
            </w:r>
            <w:r>
              <w:rPr>
                <w:rFonts w:hint="default" w:ascii="Times New Roman" w:hAnsi="Times New Roman" w:cs="Times New Roman"/>
                <w:color w:val="auto"/>
                <w:sz w:val="21"/>
                <w:szCs w:val="21"/>
                <w:highlight w:val="none"/>
              </w:rPr>
              <w:t>工业炉窑</w:t>
            </w:r>
            <w:r>
              <w:rPr>
                <w:rFonts w:hint="default" w:ascii="Times New Roman" w:hAnsi="Times New Roman" w:eastAsia="宋体" w:cs="Times New Roman"/>
                <w:color w:val="auto"/>
                <w:sz w:val="21"/>
                <w:szCs w:val="21"/>
                <w:highlight w:val="none"/>
                <w:lang w:val="en-US" w:eastAsia="zh-CN"/>
              </w:rPr>
              <w:t>排气筒的要求可知，</w:t>
            </w:r>
            <w:r>
              <w:rPr>
                <w:rFonts w:hint="default" w:ascii="Times New Roman" w:hAnsi="Times New Roman" w:cs="Times New Roman"/>
                <w:color w:val="auto"/>
                <w:sz w:val="21"/>
                <w:szCs w:val="21"/>
                <w:highlight w:val="none"/>
              </w:rPr>
              <w:t>工业炉窑</w:t>
            </w:r>
            <w:r>
              <w:rPr>
                <w:rFonts w:hint="default" w:ascii="Times New Roman" w:hAnsi="Times New Roman" w:eastAsia="宋体" w:cs="Times New Roman"/>
                <w:color w:val="auto"/>
                <w:sz w:val="21"/>
                <w:szCs w:val="21"/>
                <w:highlight w:val="none"/>
                <w:lang w:val="en-US" w:eastAsia="zh-CN"/>
              </w:rPr>
              <w:t>排气筒应不低于</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m，并应高于周边200m范围最高建筑物高度3m以上，本项目</w:t>
            </w:r>
            <w:r>
              <w:rPr>
                <w:rFonts w:hint="eastAsia" w:ascii="Times New Roman" w:hAnsi="Times New Roman" w:eastAsia="宋体" w:cs="Times New Roman"/>
                <w:color w:val="auto"/>
                <w:sz w:val="21"/>
                <w:szCs w:val="21"/>
                <w:highlight w:val="none"/>
                <w:lang w:val="en-US" w:eastAsia="zh-CN"/>
              </w:rPr>
              <w:t>烟熏炉</w:t>
            </w:r>
            <w:r>
              <w:rPr>
                <w:rFonts w:hint="default" w:ascii="Times New Roman" w:hAnsi="Times New Roman" w:eastAsia="宋体" w:cs="Times New Roman"/>
                <w:color w:val="auto"/>
                <w:sz w:val="21"/>
                <w:szCs w:val="21"/>
                <w:highlight w:val="none"/>
                <w:lang w:val="en-US" w:eastAsia="zh-CN"/>
              </w:rPr>
              <w:t>烟囱</w:t>
            </w:r>
            <w:r>
              <w:rPr>
                <w:rFonts w:hint="eastAsia" w:ascii="Times New Roman" w:hAnsi="Times New Roman" w:eastAsia="宋体" w:cs="Times New Roman"/>
                <w:color w:val="auto"/>
                <w:sz w:val="21"/>
                <w:szCs w:val="21"/>
                <w:highlight w:val="none"/>
                <w:lang w:val="en-US" w:eastAsia="zh-CN"/>
              </w:rPr>
              <w:t>（DA002）</w:t>
            </w:r>
            <w:r>
              <w:rPr>
                <w:rFonts w:hint="default" w:ascii="Times New Roman" w:hAnsi="Times New Roman" w:eastAsia="宋体" w:cs="Times New Roman"/>
                <w:color w:val="auto"/>
                <w:sz w:val="21"/>
                <w:szCs w:val="21"/>
                <w:highlight w:val="none"/>
                <w:lang w:val="en-US" w:eastAsia="zh-CN"/>
              </w:rPr>
              <w:t>高度</w:t>
            </w:r>
            <w:r>
              <w:rPr>
                <w:rFonts w:hint="eastAsia"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lang w:val="en-US" w:eastAsia="zh-CN"/>
              </w:rPr>
              <w:t>m，周边200m范围内最高建筑物为本项目新建2#厂房，为4层多层建筑，建筑高度为23.85m，因此本项目</w:t>
            </w:r>
            <w:r>
              <w:rPr>
                <w:rFonts w:hint="default" w:ascii="Times New Roman" w:hAnsi="Times New Roman" w:cs="Times New Roman"/>
                <w:color w:val="auto"/>
                <w:sz w:val="21"/>
                <w:szCs w:val="21"/>
                <w:highlight w:val="none"/>
              </w:rPr>
              <w:t>工业炉窑</w:t>
            </w:r>
            <w:r>
              <w:rPr>
                <w:rFonts w:hint="default" w:ascii="Times New Roman" w:hAnsi="Times New Roman" w:eastAsia="宋体" w:cs="Times New Roman"/>
                <w:color w:val="auto"/>
                <w:sz w:val="21"/>
                <w:szCs w:val="21"/>
                <w:highlight w:val="none"/>
                <w:lang w:val="en-US" w:eastAsia="zh-CN"/>
              </w:rPr>
              <w:t>排气筒高于周边200m范围内最高建筑物高度3m以上，符合</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对于</w:t>
            </w:r>
            <w:r>
              <w:rPr>
                <w:rFonts w:hint="default" w:ascii="Times New Roman" w:hAnsi="Times New Roman" w:cs="Times New Roman"/>
                <w:color w:val="auto"/>
                <w:sz w:val="21"/>
                <w:szCs w:val="21"/>
                <w:highlight w:val="none"/>
              </w:rPr>
              <w:t>工业炉窑</w:t>
            </w:r>
            <w:r>
              <w:rPr>
                <w:rFonts w:hint="default" w:ascii="Times New Roman" w:hAnsi="Times New Roman" w:eastAsia="宋体" w:cs="Times New Roman"/>
                <w:color w:val="auto"/>
                <w:sz w:val="21"/>
                <w:szCs w:val="21"/>
                <w:highlight w:val="none"/>
                <w:lang w:val="en-US" w:eastAsia="zh-CN"/>
              </w:rPr>
              <w:t>排气筒高度的要求。</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color w:val="auto"/>
                <w:highlight w:val="none"/>
              </w:rPr>
            </w:pPr>
            <w:r>
              <w:rPr>
                <w:rFonts w:hint="eastAsia" w:ascii="Times New Roman" w:hAnsi="Times New Roman" w:cs="Times New Roman"/>
                <w:b w:val="0"/>
                <w:bCs w:val="0"/>
                <w:color w:val="auto"/>
                <w:szCs w:val="21"/>
                <w:highlight w:val="none"/>
                <w:lang w:eastAsia="zh-CN"/>
              </w:rPr>
              <w:t>（</w:t>
            </w:r>
            <w:r>
              <w:rPr>
                <w:rFonts w:hint="eastAsia" w:cs="Times New Roman"/>
                <w:b w:val="0"/>
                <w:bCs w:val="0"/>
                <w:color w:val="auto"/>
                <w:szCs w:val="21"/>
                <w:highlight w:val="none"/>
                <w:lang w:val="en-US" w:eastAsia="zh-CN"/>
              </w:rPr>
              <w:t>7</w:t>
            </w:r>
            <w:r>
              <w:rPr>
                <w:rFonts w:hint="eastAsia" w:ascii="Times New Roman" w:hAnsi="Times New Roman" w:cs="Times New Roman"/>
                <w:b w:val="0"/>
                <w:bCs w:val="0"/>
                <w:color w:val="auto"/>
                <w:szCs w:val="21"/>
                <w:highlight w:val="none"/>
                <w:lang w:val="en-US" w:eastAsia="zh-CN"/>
              </w:rPr>
              <w:t>）</w:t>
            </w:r>
            <w:r>
              <w:rPr>
                <w:rFonts w:hint="default" w:ascii="Times New Roman" w:hAnsi="Times New Roman" w:cs="Times New Roman"/>
                <w:b w:val="0"/>
                <w:bCs w:val="0"/>
                <w:color w:val="auto"/>
                <w:szCs w:val="21"/>
                <w:highlight w:val="none"/>
              </w:rPr>
              <w:t>废气排放环境影响</w:t>
            </w:r>
          </w:p>
          <w:p>
            <w:pPr>
              <w:keepNext w:val="0"/>
              <w:keepLines w:val="0"/>
              <w:pageBreakBefore w:val="0"/>
              <w:widowControl w:val="0"/>
              <w:suppressLineNumbers w:val="0"/>
              <w:tabs>
                <w:tab w:val="left" w:pos="232"/>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yellow"/>
                <w:lang w:val="en-US" w:eastAsia="zh-CN"/>
              </w:rPr>
            </w:pPr>
            <w:r>
              <w:rPr>
                <w:rFonts w:hint="default"/>
                <w:color w:val="auto"/>
                <w:sz w:val="21"/>
                <w:szCs w:val="21"/>
                <w:highlight w:val="none"/>
                <w:lang w:val="en-US" w:eastAsia="zh-CN"/>
              </w:rPr>
              <w:t>本项目燃气锅炉烟气排放浓度满足《锅炉大气污染物排放标准》（GB13271-2014）中</w:t>
            </w:r>
            <w:r>
              <w:rPr>
                <w:rFonts w:hint="eastAsia" w:ascii="宋体" w:hAnsi="宋体" w:cs="宋体"/>
                <w:color w:val="auto"/>
                <w:kern w:val="0"/>
                <w:sz w:val="21"/>
                <w:szCs w:val="21"/>
                <w:highlight w:val="none"/>
              </w:rPr>
              <w:t>表</w:t>
            </w:r>
            <w:r>
              <w:rPr>
                <w:rFonts w:hint="default"/>
                <w:color w:val="auto"/>
                <w:sz w:val="21"/>
                <w:szCs w:val="21"/>
                <w:highlight w:val="none"/>
              </w:rPr>
              <w:t>2</w:t>
            </w:r>
            <w:r>
              <w:rPr>
                <w:rFonts w:hint="eastAsia"/>
                <w:color w:val="auto"/>
                <w:sz w:val="21"/>
                <w:szCs w:val="21"/>
                <w:highlight w:val="none"/>
                <w:lang w:val="en-US" w:eastAsia="zh-CN"/>
              </w:rPr>
              <w:t>燃气标准限值要求；</w:t>
            </w:r>
            <w:r>
              <w:rPr>
                <w:rFonts w:hint="default"/>
                <w:color w:val="auto"/>
                <w:sz w:val="21"/>
                <w:szCs w:val="21"/>
                <w:highlight w:val="none"/>
                <w:lang w:val="en-US" w:eastAsia="zh-CN"/>
              </w:rPr>
              <w:t>蒸煮和烟熏炉</w:t>
            </w:r>
            <w:r>
              <w:rPr>
                <w:rFonts w:hint="eastAsia"/>
                <w:color w:val="auto"/>
                <w:sz w:val="21"/>
                <w:szCs w:val="21"/>
                <w:highlight w:val="none"/>
                <w:lang w:val="en-US" w:eastAsia="zh-CN"/>
              </w:rPr>
              <w:t>烟熏烤制</w:t>
            </w:r>
            <w:r>
              <w:rPr>
                <w:rFonts w:hint="default"/>
                <w:color w:val="auto"/>
                <w:sz w:val="21"/>
                <w:szCs w:val="21"/>
                <w:highlight w:val="none"/>
                <w:lang w:val="en-US" w:eastAsia="zh-CN"/>
              </w:rPr>
              <w:t>废气排放浓度满足《恶臭污染物排放标准》（GB14554-93）表2标准限值要求</w:t>
            </w:r>
            <w:r>
              <w:rPr>
                <w:rFonts w:hint="eastAsia"/>
                <w:color w:val="auto"/>
                <w:sz w:val="21"/>
                <w:szCs w:val="21"/>
                <w:highlight w:val="none"/>
                <w:lang w:val="en-US" w:eastAsia="zh-CN"/>
              </w:rPr>
              <w:t>、</w:t>
            </w:r>
            <w:r>
              <w:rPr>
                <w:rFonts w:hint="default"/>
                <w:color w:val="auto"/>
                <w:sz w:val="21"/>
                <w:szCs w:val="21"/>
                <w:highlight w:val="none"/>
                <w:lang w:val="en-US" w:eastAsia="zh-CN"/>
              </w:rPr>
              <w:t>《</w:t>
            </w:r>
            <w:r>
              <w:rPr>
                <w:rFonts w:hint="default" w:ascii="Times New Roman" w:hAnsi="Times New Roman" w:cs="Times New Roman"/>
                <w:color w:val="auto"/>
                <w:sz w:val="21"/>
                <w:szCs w:val="21"/>
                <w:highlight w:val="none"/>
              </w:rPr>
              <w:t>工业炉窑大气污染物排放标准》（GB9078-1996）中表2 和表4标准限值要求</w:t>
            </w:r>
            <w:r>
              <w:rPr>
                <w:rFonts w:hint="eastAsia"/>
                <w:color w:val="auto"/>
                <w:sz w:val="21"/>
                <w:szCs w:val="21"/>
                <w:highlight w:val="none"/>
                <w:lang w:val="en-US" w:eastAsia="zh-CN"/>
              </w:rPr>
              <w:t>；</w:t>
            </w:r>
            <w:r>
              <w:rPr>
                <w:rFonts w:hint="default"/>
                <w:color w:val="auto"/>
                <w:sz w:val="21"/>
                <w:szCs w:val="21"/>
                <w:highlight w:val="none"/>
                <w:lang w:val="en-US" w:eastAsia="zh-CN"/>
              </w:rPr>
              <w:t>污水处理站产生的有组织恶臭气体满足《恶臭污染物排放标准》（GB14554-93）表2标准限值要求；厂区内恶臭气体无组织排放监控点浓度满足《恶臭污染物排放标准》（GB14554-93）中表1中二级标准</w:t>
            </w:r>
            <w:r>
              <w:rPr>
                <w:rFonts w:hint="eastAsia"/>
                <w:color w:val="auto"/>
                <w:sz w:val="21"/>
                <w:szCs w:val="21"/>
                <w:highlight w:val="none"/>
                <w:lang w:val="en-US" w:eastAsia="zh-CN"/>
              </w:rPr>
              <w:t>；</w:t>
            </w:r>
            <w:r>
              <w:rPr>
                <w:rFonts w:hint="eastAsia"/>
                <w:bCs/>
                <w:color w:val="auto"/>
                <w:sz w:val="21"/>
                <w:szCs w:val="21"/>
                <w:highlight w:val="none"/>
              </w:rPr>
              <w:t>食堂油烟经油烟净化器处理后，</w:t>
            </w:r>
            <w:r>
              <w:rPr>
                <w:rFonts w:hint="default" w:ascii="Times New Roman" w:hAnsi="Times New Roman" w:eastAsia="宋体" w:cs="Times New Roman"/>
                <w:snapToGrid w:val="0"/>
                <w:color w:val="auto"/>
                <w:kern w:val="0"/>
                <w:sz w:val="21"/>
                <w:szCs w:val="21"/>
                <w:highlight w:val="none"/>
              </w:rPr>
              <w:t>经专用烟道排出</w:t>
            </w:r>
            <w:r>
              <w:rPr>
                <w:rFonts w:hint="eastAsia"/>
                <w:bCs/>
                <w:color w:val="auto"/>
                <w:sz w:val="21"/>
                <w:szCs w:val="21"/>
                <w:highlight w:val="none"/>
              </w:rPr>
              <w:t>，排放满足</w:t>
            </w:r>
            <w:r>
              <w:rPr>
                <w:rFonts w:hint="default"/>
                <w:color w:val="auto"/>
                <w:sz w:val="21"/>
                <w:szCs w:val="21"/>
                <w:highlight w:val="none"/>
              </w:rPr>
              <w:t>《</w:t>
            </w:r>
            <w:r>
              <w:rPr>
                <w:rFonts w:hint="eastAsia"/>
                <w:color w:val="auto"/>
                <w:sz w:val="21"/>
                <w:szCs w:val="21"/>
                <w:highlight w:val="none"/>
                <w:lang w:eastAsia="zh-CN"/>
              </w:rPr>
              <w:t>饮食业油烟排放标准（试行）</w:t>
            </w:r>
            <w:r>
              <w:rPr>
                <w:rFonts w:hint="default"/>
                <w:color w:val="auto"/>
                <w:sz w:val="21"/>
                <w:szCs w:val="21"/>
                <w:highlight w:val="none"/>
              </w:rPr>
              <w:t>》（GB18483-2001）</w:t>
            </w:r>
            <w:r>
              <w:rPr>
                <w:rFonts w:hint="eastAsia"/>
                <w:color w:val="auto"/>
                <w:sz w:val="21"/>
                <w:szCs w:val="21"/>
                <w:highlight w:val="none"/>
              </w:rPr>
              <w:t>“</w:t>
            </w:r>
            <w:r>
              <w:rPr>
                <w:rFonts w:hint="eastAsia"/>
                <w:color w:val="auto"/>
                <w:sz w:val="21"/>
                <w:szCs w:val="21"/>
                <w:highlight w:val="none"/>
                <w:lang w:val="en-US" w:eastAsia="zh-CN"/>
              </w:rPr>
              <w:t>中</w:t>
            </w:r>
            <w:r>
              <w:rPr>
                <w:rFonts w:hint="eastAsia"/>
                <w:color w:val="auto"/>
                <w:sz w:val="21"/>
                <w:szCs w:val="21"/>
                <w:highlight w:val="none"/>
              </w:rPr>
              <w:t>型”规模限值。</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综上所述，通过采取以上措施，本项目废气对周边大气环境影响较小。</w:t>
            </w:r>
          </w:p>
          <w:p>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9</w:t>
            </w:r>
            <w:r>
              <w:rPr>
                <w:rFonts w:hint="default" w:ascii="Times New Roman" w:hAnsi="Times New Roman" w:cs="Times New Roman"/>
                <w:bCs/>
                <w:color w:val="auto"/>
                <w:szCs w:val="21"/>
                <w:highlight w:val="none"/>
              </w:rPr>
              <w:t>。</w:t>
            </w:r>
          </w:p>
          <w:p>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-9 </w:t>
            </w:r>
            <w:r>
              <w:rPr>
                <w:rFonts w:hint="default"/>
                <w:b/>
                <w:bCs/>
                <w:color w:val="auto"/>
                <w:szCs w:val="21"/>
                <w:highlight w:val="none"/>
              </w:rPr>
              <w:t>废水污染源源强核算结果及相关参数一览表</w:t>
            </w:r>
          </w:p>
          <w:tbl>
            <w:tblPr>
              <w:tblStyle w:val="3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773"/>
              <w:gridCol w:w="367"/>
              <w:gridCol w:w="765"/>
              <w:gridCol w:w="675"/>
              <w:gridCol w:w="675"/>
              <w:gridCol w:w="585"/>
              <w:gridCol w:w="420"/>
              <w:gridCol w:w="321"/>
              <w:gridCol w:w="534"/>
              <w:gridCol w:w="675"/>
              <w:gridCol w:w="62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00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排放源</w:t>
                  </w:r>
                </w:p>
              </w:tc>
              <w:tc>
                <w:tcPr>
                  <w:tcW w:w="48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1544" w:type="pct"/>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污染物产生</w:t>
                  </w:r>
                </w:p>
              </w:tc>
              <w:tc>
                <w:tcPr>
                  <w:tcW w:w="625"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治理措施</w:t>
                  </w:r>
                </w:p>
              </w:tc>
              <w:tc>
                <w:tcPr>
                  <w:tcW w:w="1343" w:type="pct"/>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8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22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47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浓度mg/L</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36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工艺</w:t>
                  </w:r>
                </w:p>
              </w:tc>
              <w:tc>
                <w:tcPr>
                  <w:tcW w:w="2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效率</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19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核算方法</w:t>
                  </w:r>
                </w:p>
              </w:tc>
              <w:tc>
                <w:tcPr>
                  <w:tcW w:w="3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废水量</w:t>
                  </w:r>
                  <w:r>
                    <w:rPr>
                      <w:rFonts w:hint="default" w:ascii="Times New Roman" w:hAnsi="Times New Roman" w:eastAsia="宋体"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排放浓度mg/L</w:t>
                  </w:r>
                </w:p>
              </w:tc>
              <w:tc>
                <w:tcPr>
                  <w:tcW w:w="39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生活污水</w:t>
                  </w:r>
                  <w:r>
                    <w:rPr>
                      <w:rFonts w:hint="eastAsia"/>
                      <w:color w:val="auto"/>
                      <w:sz w:val="18"/>
                      <w:szCs w:val="18"/>
                      <w:highlight w:val="none"/>
                    </w:rPr>
                    <w:t>（含隔油处理的食堂废水）</w:t>
                  </w: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228"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类比法</w:t>
                  </w:r>
                </w:p>
              </w:tc>
              <w:tc>
                <w:tcPr>
                  <w:tcW w:w="475"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3570</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300</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lang w:val="en-US" w:eastAsia="zh-CN"/>
                    </w:rPr>
                    <w:t>1.0</w:t>
                  </w:r>
                  <w:r>
                    <w:rPr>
                      <w:rFonts w:hint="eastAsia" w:cs="Times New Roman"/>
                      <w:color w:val="auto"/>
                      <w:kern w:val="0"/>
                      <w:sz w:val="18"/>
                      <w:szCs w:val="18"/>
                      <w:highlight w:val="none"/>
                      <w:shd w:val="clear" w:color="auto" w:fill="auto"/>
                      <w:lang w:val="en-US" w:eastAsia="zh-CN"/>
                    </w:rPr>
                    <w:t>71</w:t>
                  </w:r>
                </w:p>
              </w:tc>
              <w:tc>
                <w:tcPr>
                  <w:tcW w:w="363"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污水处理站</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261"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物料衡算法</w:t>
                  </w:r>
                </w:p>
              </w:tc>
              <w:tc>
                <w:tcPr>
                  <w:tcW w:w="33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3570</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300</w:t>
                  </w:r>
                </w:p>
              </w:tc>
              <w:tc>
                <w:tcPr>
                  <w:tcW w:w="39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lang w:val="en-US" w:eastAsia="zh-CN"/>
                    </w:rPr>
                    <w:t>1.0</w:t>
                  </w:r>
                  <w:r>
                    <w:rPr>
                      <w:rFonts w:hint="eastAsia" w:cs="Times New Roman"/>
                      <w:color w:val="auto"/>
                      <w:kern w:val="0"/>
                      <w:sz w:val="18"/>
                      <w:szCs w:val="18"/>
                      <w:highlight w:val="none"/>
                      <w:shd w:val="clear" w:color="auto" w:fill="auto"/>
                      <w:lang w:val="en-US" w:eastAsia="zh-CN"/>
                    </w:rPr>
                    <w:t>71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BOD</w:t>
                  </w:r>
                  <w:r>
                    <w:rPr>
                      <w:rFonts w:hint="default" w:ascii="Times New Roman" w:hAnsi="Times New Roman" w:eastAsia="宋体" w:cs="Times New Roman"/>
                      <w:color w:val="auto"/>
                      <w:sz w:val="18"/>
                      <w:szCs w:val="18"/>
                      <w:highlight w:val="none"/>
                      <w:vertAlign w:val="subscript"/>
                    </w:rPr>
                    <w:t>5</w:t>
                  </w:r>
                </w:p>
              </w:tc>
              <w:tc>
                <w:tcPr>
                  <w:tcW w:w="228"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w:t>
                  </w:r>
                  <w:r>
                    <w:rPr>
                      <w:rFonts w:hint="eastAsia" w:cs="Times New Roman"/>
                      <w:color w:val="auto"/>
                      <w:kern w:val="0"/>
                      <w:sz w:val="18"/>
                      <w:szCs w:val="18"/>
                      <w:highlight w:val="none"/>
                      <w:shd w:val="clear" w:color="auto" w:fill="auto"/>
                      <w:lang w:val="en-US" w:eastAsia="zh-CN"/>
                    </w:rPr>
                    <w:t>714</w:t>
                  </w:r>
                </w:p>
              </w:tc>
              <w:tc>
                <w:tcPr>
                  <w:tcW w:w="36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200</w:t>
                  </w:r>
                </w:p>
              </w:tc>
              <w:tc>
                <w:tcPr>
                  <w:tcW w:w="39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w:t>
                  </w:r>
                  <w:r>
                    <w:rPr>
                      <w:rFonts w:hint="eastAsia" w:cs="Times New Roman"/>
                      <w:color w:val="auto"/>
                      <w:kern w:val="0"/>
                      <w:sz w:val="18"/>
                      <w:szCs w:val="18"/>
                      <w:highlight w:val="none"/>
                      <w:shd w:val="clear" w:color="auto" w:fill="auto"/>
                      <w:lang w:val="en-US" w:eastAsia="zh-CN"/>
                    </w:rPr>
                    <w:t>714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SS</w:t>
                  </w:r>
                </w:p>
              </w:tc>
              <w:tc>
                <w:tcPr>
                  <w:tcW w:w="228"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200</w:t>
                  </w: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w:t>
                  </w:r>
                  <w:r>
                    <w:rPr>
                      <w:rFonts w:hint="eastAsia" w:cs="Times New Roman"/>
                      <w:color w:val="auto"/>
                      <w:kern w:val="0"/>
                      <w:sz w:val="18"/>
                      <w:szCs w:val="18"/>
                      <w:highlight w:val="none"/>
                      <w:shd w:val="clear" w:color="auto" w:fill="auto"/>
                      <w:lang w:val="en-US" w:eastAsia="zh-CN"/>
                    </w:rPr>
                    <w:t>714</w:t>
                  </w:r>
                </w:p>
              </w:tc>
              <w:tc>
                <w:tcPr>
                  <w:tcW w:w="36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200</w:t>
                  </w:r>
                </w:p>
              </w:tc>
              <w:tc>
                <w:tcPr>
                  <w:tcW w:w="39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w:t>
                  </w:r>
                  <w:r>
                    <w:rPr>
                      <w:rFonts w:hint="eastAsia" w:cs="Times New Roman"/>
                      <w:color w:val="auto"/>
                      <w:kern w:val="0"/>
                      <w:sz w:val="18"/>
                      <w:szCs w:val="18"/>
                      <w:highlight w:val="none"/>
                      <w:shd w:val="clear" w:color="auto" w:fill="auto"/>
                      <w:lang w:val="en-US" w:eastAsia="zh-CN"/>
                    </w:rPr>
                    <w:t>714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氨氮</w:t>
                  </w:r>
                </w:p>
              </w:tc>
              <w:tc>
                <w:tcPr>
                  <w:tcW w:w="228"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25</w:t>
                  </w:r>
                </w:p>
              </w:tc>
              <w:tc>
                <w:tcPr>
                  <w:tcW w:w="419"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0.0</w:t>
                  </w:r>
                  <w:r>
                    <w:rPr>
                      <w:rFonts w:hint="default" w:ascii="Times New Roman" w:hAnsi="Times New Roman" w:eastAsia="宋体" w:cs="Times New Roman"/>
                      <w:color w:val="auto"/>
                      <w:kern w:val="0"/>
                      <w:sz w:val="18"/>
                      <w:szCs w:val="18"/>
                      <w:highlight w:val="none"/>
                      <w:shd w:val="clear" w:color="auto" w:fill="auto"/>
                      <w:lang w:val="en-US" w:eastAsia="zh-CN"/>
                    </w:rPr>
                    <w:t>8</w:t>
                  </w:r>
                  <w:r>
                    <w:rPr>
                      <w:rFonts w:hint="eastAsia" w:cs="Times New Roman"/>
                      <w:color w:val="auto"/>
                      <w:kern w:val="0"/>
                      <w:sz w:val="18"/>
                      <w:szCs w:val="18"/>
                      <w:highlight w:val="none"/>
                      <w:shd w:val="clear" w:color="auto" w:fill="auto"/>
                      <w:lang w:val="en-US" w:eastAsia="zh-CN"/>
                    </w:rPr>
                    <w:t>9</w:t>
                  </w:r>
                </w:p>
              </w:tc>
              <w:tc>
                <w:tcPr>
                  <w:tcW w:w="36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9"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25</w:t>
                  </w:r>
                </w:p>
              </w:tc>
              <w:tc>
                <w:tcPr>
                  <w:tcW w:w="39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shd w:val="clear" w:color="auto" w:fill="auto"/>
                    </w:rPr>
                    <w:t>0.0</w:t>
                  </w:r>
                  <w:r>
                    <w:rPr>
                      <w:rFonts w:hint="default" w:ascii="Times New Roman" w:hAnsi="Times New Roman" w:eastAsia="宋体" w:cs="Times New Roman"/>
                      <w:color w:val="auto"/>
                      <w:kern w:val="0"/>
                      <w:sz w:val="18"/>
                      <w:szCs w:val="18"/>
                      <w:highlight w:val="none"/>
                      <w:shd w:val="clear" w:color="auto" w:fill="auto"/>
                      <w:lang w:val="en-US" w:eastAsia="zh-CN"/>
                    </w:rPr>
                    <w:t>8</w:t>
                  </w:r>
                  <w:r>
                    <w:rPr>
                      <w:rFonts w:hint="eastAsia" w:cs="Times New Roman"/>
                      <w:color w:val="auto"/>
                      <w:kern w:val="0"/>
                      <w:sz w:val="18"/>
                      <w:szCs w:val="18"/>
                      <w:highlight w:val="none"/>
                      <w:shd w:val="clear" w:color="auto" w:fill="auto"/>
                      <w:lang w:val="en-US" w:eastAsia="zh-CN"/>
                    </w:rPr>
                    <w:t>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锅炉废水</w:t>
                  </w:r>
                </w:p>
              </w:tc>
              <w:tc>
                <w:tcPr>
                  <w:tcW w:w="480"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228"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产污系数法</w:t>
                  </w:r>
                </w:p>
              </w:tc>
              <w:tc>
                <w:tcPr>
                  <w:tcW w:w="475"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3789.42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79.70</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rPr>
                    <w:t>0.</w:t>
                  </w:r>
                  <w:r>
                    <w:rPr>
                      <w:rFonts w:hint="default" w:ascii="Times New Roman" w:hAnsi="Times New Roman" w:eastAsia="宋体" w:cs="Times New Roman"/>
                      <w:color w:val="auto"/>
                      <w:kern w:val="0"/>
                      <w:sz w:val="18"/>
                      <w:szCs w:val="18"/>
                      <w:highlight w:val="none"/>
                      <w:lang w:val="en-US" w:eastAsia="zh-CN"/>
                    </w:rPr>
                    <w:t>302</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3789.42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31.67</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rPr>
                    <w:t>0.</w:t>
                  </w:r>
                  <w:r>
                    <w:rPr>
                      <w:rFonts w:hint="default" w:ascii="Times New Roman" w:hAnsi="Times New Roman" w:eastAsia="宋体" w:cs="Times New Roman"/>
                      <w:color w:val="auto"/>
                      <w:kern w:val="0"/>
                      <w:sz w:val="18"/>
                      <w:szCs w:val="18"/>
                      <w:highlight w:val="none"/>
                      <w:lang w:val="en-US" w:eastAsia="zh-CN"/>
                    </w:rPr>
                    <w:t>120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p>
              </w:tc>
              <w:tc>
                <w:tcPr>
                  <w:tcW w:w="480"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溶解性总固体</w:t>
                  </w:r>
                </w:p>
              </w:tc>
              <w:tc>
                <w:tcPr>
                  <w:tcW w:w="228"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lang w:val="en-US" w:eastAsia="zh-CN"/>
                    </w:rPr>
                    <w:t>—</w:t>
                  </w: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1000</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3.79</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1000</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3.79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生产废水</w:t>
                  </w: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COD</w:t>
                  </w:r>
                </w:p>
              </w:tc>
              <w:tc>
                <w:tcPr>
                  <w:tcW w:w="228"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rPr>
                    <w:t>产污系数法</w:t>
                  </w:r>
                </w:p>
              </w:tc>
              <w:tc>
                <w:tcPr>
                  <w:tcW w:w="475" w:type="pct"/>
                  <w:vMerge w:val="restar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bCs/>
                      <w:color w:val="auto"/>
                      <w:spacing w:val="0"/>
                      <w:sz w:val="18"/>
                      <w:szCs w:val="18"/>
                      <w:highlight w:val="none"/>
                      <w:lang w:val="en-US" w:eastAsia="zh-CN"/>
                    </w:rPr>
                    <w:t>48390</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817.52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39.56</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restar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bCs/>
                      <w:color w:val="auto"/>
                      <w:spacing w:val="0"/>
                      <w:sz w:val="18"/>
                      <w:szCs w:val="18"/>
                      <w:highlight w:val="none"/>
                      <w:lang w:val="en-US" w:eastAsia="zh-CN"/>
                    </w:rPr>
                    <w:t>48390</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817.52</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39.56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氨氮</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8.06</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0.39</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8.06</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BOD</w:t>
                  </w:r>
                  <w:r>
                    <w:rPr>
                      <w:rFonts w:hint="default" w:ascii="Times New Roman" w:hAnsi="Times New Roman" w:eastAsia="宋体" w:cs="Times New Roman"/>
                      <w:color w:val="auto"/>
                      <w:sz w:val="18"/>
                      <w:szCs w:val="18"/>
                      <w:highlight w:val="none"/>
                      <w:vertAlign w:val="subscript"/>
                      <w:lang w:val="en-US" w:eastAsia="zh-CN"/>
                    </w:rPr>
                    <w:t>5</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142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6.87</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142</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6.87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总氮</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30.17</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1.46</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30.17</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总磷</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6.82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0.33</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6.82</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0.33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综合废水</w:t>
                  </w: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228"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sz w:val="18"/>
                      <w:szCs w:val="18"/>
                      <w:highlight w:val="none"/>
                    </w:rPr>
                    <w:t>物料衡算法</w:t>
                  </w:r>
                </w:p>
              </w:tc>
              <w:tc>
                <w:tcPr>
                  <w:tcW w:w="475" w:type="pct"/>
                  <w:vMerge w:val="restar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55749.42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734.18</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w:t>
                  </w:r>
                  <w:r>
                    <w:rPr>
                      <w:rFonts w:hint="eastAsia" w:cs="Times New Roman"/>
                      <w:color w:val="auto"/>
                      <w:sz w:val="18"/>
                      <w:szCs w:val="18"/>
                      <w:highlight w:val="none"/>
                      <w:lang w:val="en-US" w:eastAsia="zh-CN"/>
                    </w:rPr>
                    <w:t>0.93</w:t>
                  </w:r>
                </w:p>
              </w:tc>
              <w:tc>
                <w:tcPr>
                  <w:tcW w:w="363" w:type="pct"/>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气浮+AO+MBR+消毒</w:t>
                  </w: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96</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restar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55749.42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29.37</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w:t>
                  </w:r>
                  <w:r>
                    <w:rPr>
                      <w:rFonts w:hint="eastAsia" w:cs="Times New Roman"/>
                      <w:color w:val="auto"/>
                      <w:sz w:val="18"/>
                      <w:szCs w:val="18"/>
                      <w:highlight w:val="none"/>
                      <w:lang w:val="en-US" w:eastAsia="zh-CN"/>
                    </w:rPr>
                    <w:t>64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BOD</w:t>
                  </w:r>
                  <w:r>
                    <w:rPr>
                      <w:rFonts w:hint="default" w:ascii="Times New Roman" w:hAnsi="Times New Roman" w:eastAsia="宋体" w:cs="Times New Roman"/>
                      <w:color w:val="auto"/>
                      <w:sz w:val="18"/>
                      <w:szCs w:val="18"/>
                      <w:highlight w:val="none"/>
                      <w:vertAlign w:val="subscript"/>
                      <w:lang w:val="en-US" w:eastAsia="zh-CN"/>
                    </w:rPr>
                    <w:t>5</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13</w:t>
                  </w:r>
                  <w:r>
                    <w:rPr>
                      <w:rFonts w:hint="eastAsia" w:cs="Times New Roman"/>
                      <w:color w:val="auto"/>
                      <w:sz w:val="18"/>
                      <w:szCs w:val="18"/>
                      <w:highlight w:val="none"/>
                      <w:lang w:val="en-US" w:eastAsia="zh-CN"/>
                    </w:rPr>
                    <w:t>6.04</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w:t>
                  </w:r>
                  <w:r>
                    <w:rPr>
                      <w:rFonts w:hint="eastAsia" w:cs="Times New Roman"/>
                      <w:color w:val="auto"/>
                      <w:sz w:val="18"/>
                      <w:szCs w:val="18"/>
                      <w:highlight w:val="none"/>
                      <w:lang w:val="en-US" w:eastAsia="zh-CN"/>
                    </w:rPr>
                    <w:t>584</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83</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23.</w:t>
                  </w:r>
                  <w:r>
                    <w:rPr>
                      <w:rFonts w:hint="eastAsia" w:cs="Times New Roman"/>
                      <w:color w:val="auto"/>
                      <w:sz w:val="18"/>
                      <w:szCs w:val="18"/>
                      <w:highlight w:val="none"/>
                      <w:lang w:val="en-US" w:eastAsia="zh-CN"/>
                    </w:rPr>
                    <w:t>13</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w:t>
                  </w:r>
                  <w:r>
                    <w:rPr>
                      <w:rFonts w:hint="eastAsia" w:cs="Times New Roman"/>
                      <w:color w:val="auto"/>
                      <w:sz w:val="18"/>
                      <w:szCs w:val="18"/>
                      <w:highlight w:val="none"/>
                      <w:lang w:val="en-US" w:eastAsia="zh-CN"/>
                    </w:rPr>
                    <w:t>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氨氮</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8.59</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0.479</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0.859</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SS</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w:t>
                  </w:r>
                  <w:r>
                    <w:rPr>
                      <w:rFonts w:hint="eastAsia" w:cs="Times New Roman"/>
                      <w:color w:val="auto"/>
                      <w:sz w:val="18"/>
                      <w:szCs w:val="18"/>
                      <w:highlight w:val="none"/>
                      <w:lang w:val="en-US" w:eastAsia="zh-CN"/>
                    </w:rPr>
                    <w:t>2.81</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714</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w:t>
                  </w:r>
                  <w:r>
                    <w:rPr>
                      <w:rFonts w:hint="eastAsia" w:cs="Times New Roman"/>
                      <w:color w:val="auto"/>
                      <w:sz w:val="18"/>
                      <w:szCs w:val="18"/>
                      <w:highlight w:val="none"/>
                      <w:lang w:val="en-US" w:eastAsia="zh-CN"/>
                    </w:rPr>
                    <w:t>56</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0.1</w:t>
                  </w:r>
                  <w:r>
                    <w:rPr>
                      <w:rFonts w:hint="eastAsia" w:cs="Times New Roman"/>
                      <w:color w:val="auto"/>
                      <w:sz w:val="18"/>
                      <w:szCs w:val="18"/>
                      <w:highlight w:val="none"/>
                      <w:lang w:val="en-US" w:eastAsia="zh-CN"/>
                    </w:rPr>
                    <w:t>43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总氮</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26.19</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1.46</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5.24</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29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4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总磷</w:t>
                  </w:r>
                </w:p>
              </w:tc>
              <w:tc>
                <w:tcPr>
                  <w:tcW w:w="228"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18"/>
                      <w:szCs w:val="18"/>
                      <w:highlight w:val="none"/>
                      <w:lang w:val="en-US" w:eastAsia="zh-CN"/>
                    </w:rPr>
                  </w:pPr>
                </w:p>
              </w:tc>
              <w:tc>
                <w:tcPr>
                  <w:tcW w:w="475"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5.92</w:t>
                  </w: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0.33</w:t>
                  </w:r>
                </w:p>
              </w:tc>
              <w:tc>
                <w:tcPr>
                  <w:tcW w:w="363"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261" w:type="pc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199" w:type="pct"/>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332" w:type="pct"/>
                  <w:vMerge w:val="continue"/>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p>
              </w:tc>
              <w:tc>
                <w:tcPr>
                  <w:tcW w:w="419"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1.18</w:t>
                  </w:r>
                </w:p>
              </w:tc>
              <w:tc>
                <w:tcPr>
                  <w:tcW w:w="391" w:type="pct"/>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0.07</w:t>
                  </w:r>
                </w:p>
              </w:tc>
            </w:tr>
          </w:tbl>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shd w:val="clear" w:color="auto" w:fill="auto"/>
              </w:rPr>
            </w:pPr>
            <w:r>
              <w:rPr>
                <w:rFonts w:hint="default" w:ascii="Times New Roman" w:hAnsi="Times New Roman" w:cs="Times New Roman"/>
                <w:color w:val="auto"/>
                <w:kern w:val="0"/>
                <w:sz w:val="21"/>
                <w:szCs w:val="21"/>
                <w:highlight w:val="none"/>
                <w:shd w:val="clear" w:color="auto" w:fill="auto"/>
              </w:rPr>
              <w:fldChar w:fldCharType="begin"/>
            </w:r>
            <w:r>
              <w:rPr>
                <w:rFonts w:hint="default" w:ascii="Times New Roman" w:hAnsi="Times New Roman" w:cs="Times New Roman"/>
                <w:color w:val="auto"/>
                <w:kern w:val="0"/>
                <w:sz w:val="21"/>
                <w:szCs w:val="21"/>
                <w:highlight w:val="none"/>
                <w:shd w:val="clear" w:color="auto" w:fill="auto"/>
              </w:rPr>
              <w:instrText xml:space="preserve"> = 1 \* GB3 </w:instrText>
            </w:r>
            <w:r>
              <w:rPr>
                <w:rFonts w:hint="default" w:ascii="Times New Roman" w:hAnsi="Times New Roman" w:cs="Times New Roman"/>
                <w:color w:val="auto"/>
                <w:kern w:val="0"/>
                <w:sz w:val="21"/>
                <w:szCs w:val="21"/>
                <w:highlight w:val="none"/>
                <w:shd w:val="clear" w:color="auto" w:fill="auto"/>
              </w:rPr>
              <w:fldChar w:fldCharType="separate"/>
            </w:r>
            <w:r>
              <w:rPr>
                <w:rFonts w:hint="default" w:ascii="Times New Roman" w:hAnsi="Times New Roman" w:cs="Times New Roman"/>
                <w:color w:val="auto"/>
                <w:kern w:val="0"/>
                <w:sz w:val="21"/>
                <w:szCs w:val="21"/>
                <w:highlight w:val="none"/>
                <w:shd w:val="clear" w:color="auto" w:fill="auto"/>
              </w:rPr>
              <w:t>①</w:t>
            </w:r>
            <w:r>
              <w:rPr>
                <w:rFonts w:hint="default" w:ascii="Times New Roman" w:hAnsi="Times New Roman" w:cs="Times New Roman"/>
                <w:color w:val="auto"/>
                <w:kern w:val="0"/>
                <w:sz w:val="21"/>
                <w:szCs w:val="21"/>
                <w:highlight w:val="none"/>
                <w:shd w:val="clear" w:color="auto" w:fill="auto"/>
              </w:rPr>
              <w:fldChar w:fldCharType="end"/>
            </w:r>
            <w:r>
              <w:rPr>
                <w:rFonts w:hint="default" w:ascii="Times New Roman" w:hAnsi="Times New Roman" w:cs="Times New Roman"/>
                <w:color w:val="auto"/>
                <w:kern w:val="0"/>
                <w:sz w:val="21"/>
                <w:szCs w:val="21"/>
                <w:highlight w:val="none"/>
                <w:shd w:val="clear" w:color="auto" w:fill="auto"/>
              </w:rPr>
              <w:t>生活污水</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rPr>
              <w:t>生活污水排放量为</w:t>
            </w:r>
            <w:r>
              <w:rPr>
                <w:rFonts w:hint="eastAsia" w:cs="Times New Roman"/>
                <w:bCs/>
                <w:color w:val="auto"/>
                <w:sz w:val="21"/>
                <w:szCs w:val="21"/>
                <w:highlight w:val="none"/>
                <w:lang w:val="en-US" w:eastAsia="zh-CN"/>
              </w:rPr>
              <w:t>10.2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3570</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kern w:val="0"/>
                <w:sz w:val="21"/>
                <w:szCs w:val="21"/>
                <w:highlight w:val="none"/>
                <w:shd w:val="clear" w:color="auto" w:fill="auto"/>
              </w:rPr>
              <w:t>，生活污水COD排放浓度取值3</w:t>
            </w:r>
            <w:r>
              <w:rPr>
                <w:rFonts w:hint="default" w:ascii="Times New Roman" w:hAnsi="Times New Roman" w:cs="Times New Roman"/>
                <w:color w:val="auto"/>
                <w:kern w:val="0"/>
                <w:sz w:val="21"/>
                <w:szCs w:val="21"/>
                <w:highlight w:val="none"/>
                <w:shd w:val="clear" w:color="auto" w:fill="auto"/>
                <w:lang w:val="en-US" w:eastAsia="zh-CN"/>
              </w:rPr>
              <w:t>0</w:t>
            </w:r>
            <w:r>
              <w:rPr>
                <w:rFonts w:hint="default" w:ascii="Times New Roman" w:hAnsi="Times New Roman" w:cs="Times New Roman"/>
                <w:color w:val="auto"/>
                <w:kern w:val="0"/>
                <w:sz w:val="21"/>
                <w:szCs w:val="21"/>
                <w:highlight w:val="none"/>
                <w:shd w:val="clear" w:color="auto" w:fill="auto"/>
              </w:rPr>
              <w:t>0mg/L，氨氮排放浓度取值25mg/L，BOD</w:t>
            </w:r>
            <w:r>
              <w:rPr>
                <w:rFonts w:hint="default" w:ascii="Times New Roman" w:hAnsi="Times New Roman" w:cs="Times New Roman"/>
                <w:color w:val="auto"/>
                <w:kern w:val="0"/>
                <w:sz w:val="21"/>
                <w:szCs w:val="21"/>
                <w:highlight w:val="none"/>
                <w:shd w:val="clear" w:color="auto" w:fill="auto"/>
                <w:vertAlign w:val="subscript"/>
              </w:rPr>
              <w:t>5</w:t>
            </w:r>
            <w:r>
              <w:rPr>
                <w:rFonts w:hint="default" w:ascii="Times New Roman" w:hAnsi="Times New Roman" w:cs="Times New Roman"/>
                <w:color w:val="auto"/>
                <w:kern w:val="0"/>
                <w:sz w:val="21"/>
                <w:szCs w:val="21"/>
                <w:highlight w:val="none"/>
                <w:shd w:val="clear" w:color="auto" w:fill="auto"/>
              </w:rPr>
              <w:t>排放浓度取值200mg/L，SS排放浓度取值</w:t>
            </w:r>
            <w:r>
              <w:rPr>
                <w:rFonts w:hint="default" w:ascii="Times New Roman" w:hAnsi="Times New Roman" w:cs="Times New Roman"/>
                <w:color w:val="auto"/>
                <w:kern w:val="0"/>
                <w:sz w:val="21"/>
                <w:szCs w:val="21"/>
                <w:highlight w:val="none"/>
                <w:shd w:val="clear" w:color="auto" w:fill="auto"/>
                <w:lang w:val="en-US" w:eastAsia="zh-CN"/>
              </w:rPr>
              <w:t>2</w:t>
            </w:r>
            <w:r>
              <w:rPr>
                <w:rFonts w:hint="default" w:ascii="Times New Roman" w:hAnsi="Times New Roman" w:cs="Times New Roman"/>
                <w:color w:val="auto"/>
                <w:kern w:val="0"/>
                <w:sz w:val="21"/>
                <w:szCs w:val="21"/>
                <w:highlight w:val="none"/>
                <w:shd w:val="clear" w:color="auto" w:fill="auto"/>
              </w:rPr>
              <w:t>00mg/L，pH排放取值6.5~7.5。经计算生活污水COD排放量为</w:t>
            </w:r>
            <w:r>
              <w:rPr>
                <w:rFonts w:hint="eastAsia" w:cs="Times New Roman"/>
                <w:color w:val="auto"/>
                <w:kern w:val="0"/>
                <w:sz w:val="21"/>
                <w:szCs w:val="21"/>
                <w:highlight w:val="none"/>
                <w:shd w:val="clear" w:color="auto" w:fill="auto"/>
                <w:lang w:val="en-US" w:eastAsia="zh-CN"/>
              </w:rPr>
              <w:t>1.071</w:t>
            </w:r>
            <w:r>
              <w:rPr>
                <w:rFonts w:hint="default" w:ascii="Times New Roman" w:hAnsi="Times New Roman" w:cs="Times New Roman"/>
                <w:color w:val="auto"/>
                <w:kern w:val="0"/>
                <w:sz w:val="21"/>
                <w:szCs w:val="21"/>
                <w:highlight w:val="none"/>
                <w:shd w:val="clear" w:color="auto" w:fill="auto"/>
              </w:rPr>
              <w:t>t/a、氨氮排放量为</w:t>
            </w:r>
            <w:r>
              <w:rPr>
                <w:rFonts w:hint="default" w:ascii="Times New Roman" w:hAnsi="Times New Roman" w:eastAsia="宋体" w:cs="Times New Roman"/>
                <w:color w:val="auto"/>
                <w:kern w:val="0"/>
                <w:sz w:val="21"/>
                <w:szCs w:val="21"/>
                <w:highlight w:val="none"/>
                <w:shd w:val="clear" w:color="auto" w:fill="auto"/>
              </w:rPr>
              <w:t>0.0</w:t>
            </w:r>
            <w:r>
              <w:rPr>
                <w:rFonts w:hint="default" w:ascii="Times New Roman" w:hAnsi="Times New Roman" w:eastAsia="宋体" w:cs="Times New Roman"/>
                <w:color w:val="auto"/>
                <w:kern w:val="0"/>
                <w:sz w:val="21"/>
                <w:szCs w:val="21"/>
                <w:highlight w:val="none"/>
                <w:shd w:val="clear" w:color="auto" w:fill="auto"/>
                <w:lang w:val="en-US" w:eastAsia="zh-CN"/>
              </w:rPr>
              <w:t>8</w:t>
            </w:r>
            <w:r>
              <w:rPr>
                <w:rFonts w:hint="eastAsia" w:cs="Times New Roman"/>
                <w:color w:val="auto"/>
                <w:kern w:val="0"/>
                <w:sz w:val="21"/>
                <w:szCs w:val="21"/>
                <w:highlight w:val="none"/>
                <w:shd w:val="clear" w:color="auto" w:fill="auto"/>
                <w:lang w:val="en-US" w:eastAsia="zh-CN"/>
              </w:rPr>
              <w:t>9</w:t>
            </w:r>
            <w:r>
              <w:rPr>
                <w:rFonts w:hint="default" w:ascii="Times New Roman" w:hAnsi="Times New Roman" w:cs="Times New Roman"/>
                <w:color w:val="auto"/>
                <w:kern w:val="0"/>
                <w:sz w:val="21"/>
                <w:szCs w:val="21"/>
                <w:highlight w:val="none"/>
                <w:shd w:val="clear" w:color="auto" w:fill="auto"/>
              </w:rPr>
              <w:t>t/a、SS排放量为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714</w:t>
            </w:r>
            <w:r>
              <w:rPr>
                <w:rFonts w:hint="default" w:ascii="Times New Roman" w:hAnsi="Times New Roman" w:cs="Times New Roman"/>
                <w:color w:val="auto"/>
                <w:kern w:val="0"/>
                <w:sz w:val="21"/>
                <w:szCs w:val="21"/>
                <w:highlight w:val="none"/>
                <w:shd w:val="clear" w:color="auto" w:fill="auto"/>
              </w:rPr>
              <w:t>t/a、BOD</w:t>
            </w:r>
            <w:r>
              <w:rPr>
                <w:rFonts w:hint="default" w:ascii="Times New Roman" w:hAnsi="Times New Roman" w:cs="Times New Roman"/>
                <w:color w:val="auto"/>
                <w:kern w:val="0"/>
                <w:sz w:val="21"/>
                <w:szCs w:val="21"/>
                <w:highlight w:val="none"/>
                <w:shd w:val="clear" w:color="auto" w:fill="auto"/>
                <w:vertAlign w:val="subscript"/>
              </w:rPr>
              <w:t>5</w:t>
            </w:r>
            <w:r>
              <w:rPr>
                <w:rFonts w:hint="default" w:ascii="Times New Roman" w:hAnsi="Times New Roman" w:cs="Times New Roman"/>
                <w:color w:val="auto"/>
                <w:kern w:val="0"/>
                <w:sz w:val="21"/>
                <w:szCs w:val="21"/>
                <w:highlight w:val="none"/>
                <w:shd w:val="clear" w:color="auto" w:fill="auto"/>
              </w:rPr>
              <w:t>排放量为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714</w:t>
            </w:r>
            <w:r>
              <w:rPr>
                <w:rFonts w:hint="default" w:ascii="Times New Roman" w:hAnsi="Times New Roman" w:cs="Times New Roman"/>
                <w:color w:val="auto"/>
                <w:kern w:val="0"/>
                <w:sz w:val="21"/>
                <w:szCs w:val="21"/>
                <w:highlight w:val="none"/>
                <w:shd w:val="clear" w:color="auto" w:fill="auto"/>
              </w:rPr>
              <w:t>t/a。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fldChar w:fldCharType="begin"/>
            </w:r>
            <w:r>
              <w:rPr>
                <w:rFonts w:hint="default" w:ascii="Times New Roman" w:hAnsi="Times New Roman" w:cs="Times New Roman"/>
                <w:color w:val="auto"/>
                <w:kern w:val="0"/>
                <w:sz w:val="21"/>
                <w:szCs w:val="21"/>
                <w:highlight w:val="none"/>
              </w:rPr>
              <w:instrText xml:space="preserve"> = 2 \* GB3 </w:instrText>
            </w:r>
            <w:r>
              <w:rPr>
                <w:rFonts w:hint="default" w:ascii="Times New Roman" w:hAnsi="Times New Roman" w:cs="Times New Roman"/>
                <w:color w:val="auto"/>
                <w:kern w:val="0"/>
                <w:sz w:val="21"/>
                <w:szCs w:val="21"/>
                <w:highlight w:val="none"/>
              </w:rPr>
              <w:fldChar w:fldCharType="separate"/>
            </w:r>
            <w:r>
              <w:rPr>
                <w:rFonts w:hint="default" w:ascii="Times New Roman" w:hAnsi="Times New Roman" w:cs="Times New Roman"/>
                <w:color w:val="auto"/>
                <w:kern w:val="0"/>
                <w:sz w:val="21"/>
                <w:szCs w:val="21"/>
                <w:highlight w:val="none"/>
              </w:rPr>
              <w:t>②</w:t>
            </w:r>
            <w:r>
              <w:rPr>
                <w:rFonts w:hint="default" w:ascii="Times New Roman" w:hAnsi="Times New Roman" w:cs="Times New Roman"/>
                <w:color w:val="auto"/>
                <w:kern w:val="0"/>
                <w:sz w:val="21"/>
                <w:szCs w:val="21"/>
                <w:highlight w:val="none"/>
              </w:rPr>
              <w:fldChar w:fldCharType="end"/>
            </w:r>
            <w:r>
              <w:rPr>
                <w:rFonts w:hint="default" w:ascii="Times New Roman" w:hAnsi="Times New Roman" w:cs="Times New Roman"/>
                <w:color w:val="auto"/>
                <w:kern w:val="0"/>
                <w:sz w:val="21"/>
                <w:szCs w:val="21"/>
                <w:highlight w:val="none"/>
              </w:rPr>
              <w:t>锅炉排污水及软化处理废水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锅炉排污水及软化处理废水总的产生量</w:t>
            </w:r>
            <w:r>
              <w:rPr>
                <w:rFonts w:hint="default" w:ascii="Times New Roman" w:hAnsi="Times New Roman" w:cs="Times New Roman"/>
                <w:bCs/>
                <w:color w:val="auto"/>
                <w:szCs w:val="21"/>
                <w:highlight w:val="none"/>
                <w:lang w:val="en-US" w:eastAsia="zh-CN"/>
              </w:rPr>
              <w:t>10.83</w:t>
            </w:r>
            <w:r>
              <w:rPr>
                <w:rFonts w:hint="default" w:ascii="Times New Roman" w:hAnsi="Times New Roman" w:cs="Times New Roman"/>
                <w:bCs/>
                <w:color w:val="auto"/>
                <w:szCs w:val="21"/>
                <w:highlight w:val="none"/>
              </w:rPr>
              <w:t>t/d，</w:t>
            </w:r>
            <w:r>
              <w:rPr>
                <w:rFonts w:hint="default" w:ascii="Times New Roman" w:hAnsi="Times New Roman" w:cs="Times New Roman"/>
                <w:bCs/>
                <w:color w:val="auto"/>
                <w:szCs w:val="21"/>
                <w:highlight w:val="none"/>
                <w:lang w:val="en-US" w:eastAsia="zh-CN"/>
              </w:rPr>
              <w:t>3789.42</w:t>
            </w:r>
            <w:r>
              <w:rPr>
                <w:rFonts w:hint="default" w:ascii="Times New Roman" w:hAnsi="Times New Roman" w:cs="Times New Roman"/>
                <w:bCs/>
                <w:color w:val="auto"/>
                <w:szCs w:val="21"/>
                <w:highlight w:val="none"/>
              </w:rPr>
              <w:t>t/a，</w:t>
            </w:r>
            <w:r>
              <w:rPr>
                <w:rFonts w:hint="default" w:ascii="Times New Roman" w:hAnsi="Times New Roman" w:cs="Times New Roman"/>
                <w:color w:val="auto"/>
                <w:kern w:val="0"/>
                <w:szCs w:val="21"/>
                <w:highlight w:val="none"/>
              </w:rPr>
              <w:t>根据《污染源源强核算技术指南 锅炉》（HJ991-2018），废水污染源源强核算采用产污系数法，根据《排放源统计调查产排污核算方法和系数》4430工业锅炉（热力生产和供应行业）产排污系数表-工业废水量和“化学需氧量”进行计算，燃气锅炉采用锅外水处理，燃气量为</w:t>
            </w:r>
            <w:r>
              <w:rPr>
                <w:rFonts w:hint="default" w:ascii="Times New Roman" w:hAnsi="Times New Roman" w:cs="Times New Roman"/>
                <w:bCs/>
                <w:color w:val="auto"/>
                <w:szCs w:val="21"/>
                <w:highlight w:val="none"/>
                <w:lang w:val="en-US" w:eastAsia="zh-CN"/>
              </w:rPr>
              <w:t>279.456</w:t>
            </w:r>
            <w:r>
              <w:rPr>
                <w:rFonts w:hint="default" w:ascii="Times New Roman" w:hAnsi="Times New Roman" w:cs="Times New Roman"/>
                <w:bCs/>
                <w:color w:val="auto"/>
                <w:szCs w:val="21"/>
                <w:highlight w:val="none"/>
              </w:rPr>
              <w:t>万m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color w:val="auto"/>
                <w:kern w:val="0"/>
                <w:szCs w:val="21"/>
                <w:highlight w:val="none"/>
              </w:rPr>
              <w:t>，COD产污系数1080克/万立方米-原料（0.</w:t>
            </w:r>
            <w:r>
              <w:rPr>
                <w:rFonts w:hint="default" w:ascii="Times New Roman" w:hAnsi="Times New Roman" w:cs="Times New Roman"/>
                <w:color w:val="auto"/>
                <w:kern w:val="0"/>
                <w:szCs w:val="21"/>
                <w:highlight w:val="none"/>
                <w:lang w:val="en-US" w:eastAsia="zh-CN"/>
              </w:rPr>
              <w:t>302</w:t>
            </w:r>
            <w:r>
              <w:rPr>
                <w:rFonts w:hint="default" w:ascii="Times New Roman" w:hAnsi="Times New Roman" w:cs="Times New Roman"/>
                <w:color w:val="auto"/>
                <w:kern w:val="0"/>
                <w:szCs w:val="21"/>
                <w:highlight w:val="none"/>
              </w:rPr>
              <w:t>t/a），排污系数430克/万立方米-原料（0.</w:t>
            </w:r>
            <w:r>
              <w:rPr>
                <w:rFonts w:hint="default" w:ascii="Times New Roman" w:hAnsi="Times New Roman" w:cs="Times New Roman"/>
                <w:color w:val="auto"/>
                <w:kern w:val="0"/>
                <w:szCs w:val="21"/>
                <w:highlight w:val="none"/>
                <w:lang w:val="en-US" w:eastAsia="zh-CN"/>
              </w:rPr>
              <w:t>120</w:t>
            </w:r>
            <w:r>
              <w:rPr>
                <w:rFonts w:hint="default" w:ascii="Times New Roman" w:hAnsi="Times New Roman" w:cs="Times New Roman"/>
                <w:color w:val="auto"/>
                <w:kern w:val="0"/>
                <w:szCs w:val="21"/>
                <w:highlight w:val="none"/>
              </w:rPr>
              <w:t>t/a），溶解性总固体产生浓度类比同类型锅炉产生的废水排放浓度。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③生产废水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default"/>
                <w:color w:val="auto"/>
                <w:sz w:val="21"/>
                <w:szCs w:val="21"/>
                <w:highlight w:val="none"/>
              </w:rPr>
            </w:pPr>
            <w:r>
              <w:rPr>
                <w:rFonts w:hint="default" w:ascii="Times New Roman" w:hAnsi="Times New Roman" w:eastAsia="宋体" w:cs="Times New Roman"/>
                <w:color w:val="auto"/>
                <w:sz w:val="21"/>
                <w:szCs w:val="21"/>
                <w:highlight w:val="none"/>
                <w:lang w:val="en-US" w:eastAsia="zh-CN"/>
              </w:rPr>
              <w:t>本项目年产红肠、</w:t>
            </w:r>
            <w:r>
              <w:rPr>
                <w:rFonts w:hint="eastAsia" w:ascii="Times New Roman" w:hAnsi="Times New Roman" w:eastAsia="宋体" w:cs="Times New Roman"/>
                <w:color w:val="auto"/>
                <w:sz w:val="21"/>
                <w:szCs w:val="21"/>
                <w:highlight w:val="none"/>
                <w:lang w:val="en-US" w:eastAsia="zh-CN"/>
              </w:rPr>
              <w:t>儿童肠、松仁烤肠共</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200t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酱卤制品500t。</w:t>
            </w:r>
            <w:r>
              <w:rPr>
                <w:rFonts w:hint="default" w:ascii="Times New Roman" w:hAnsi="Times New Roman" w:cs="Times New Roman"/>
                <w:color w:val="auto"/>
                <w:sz w:val="21"/>
                <w:szCs w:val="21"/>
                <w:highlight w:val="none"/>
              </w:rPr>
              <w:t>生产废水产生量</w:t>
            </w:r>
            <w:r>
              <w:rPr>
                <w:rFonts w:hint="eastAsia" w:cs="Times New Roman"/>
                <w:bCs/>
                <w:color w:val="auto"/>
                <w:spacing w:val="0"/>
                <w:sz w:val="21"/>
                <w:szCs w:val="21"/>
                <w:highlight w:val="none"/>
                <w:lang w:val="en-US" w:eastAsia="zh-CN"/>
              </w:rPr>
              <w:t>48390</w:t>
            </w:r>
            <w:r>
              <w:rPr>
                <w:rFonts w:hint="default"/>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其中熏</w:t>
            </w:r>
            <w:r>
              <w:rPr>
                <w:rFonts w:hint="default"/>
                <w:color w:val="auto"/>
                <w:sz w:val="21"/>
                <w:szCs w:val="21"/>
                <w:highlight w:val="none"/>
              </w:rPr>
              <w:t>煮香肠制品工业废水排放量为</w:t>
            </w:r>
            <w:r>
              <w:rPr>
                <w:rFonts w:hint="eastAsia"/>
                <w:color w:val="auto"/>
                <w:sz w:val="21"/>
                <w:szCs w:val="21"/>
                <w:highlight w:val="none"/>
                <w:lang w:val="en-US" w:eastAsia="zh-CN"/>
              </w:rPr>
              <w:t>39040</w:t>
            </w:r>
            <w:r>
              <w:rPr>
                <w:rFonts w:hint="default"/>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酱卤制品</w:t>
            </w:r>
            <w:r>
              <w:rPr>
                <w:rFonts w:hint="default"/>
                <w:color w:val="auto"/>
                <w:sz w:val="21"/>
                <w:szCs w:val="21"/>
                <w:highlight w:val="none"/>
              </w:rPr>
              <w:t>工业废水排放量为</w:t>
            </w:r>
            <w:r>
              <w:rPr>
                <w:rFonts w:hint="eastAsia"/>
                <w:color w:val="auto"/>
                <w:sz w:val="21"/>
                <w:szCs w:val="21"/>
                <w:highlight w:val="none"/>
                <w:lang w:val="en-US" w:eastAsia="zh-CN"/>
              </w:rPr>
              <w:t>9350</w:t>
            </w:r>
            <w:r>
              <w:rPr>
                <w:rFonts w:hint="default"/>
                <w:color w:val="auto"/>
                <w:sz w:val="21"/>
                <w:szCs w:val="21"/>
                <w:highlight w:val="none"/>
              </w:rPr>
              <w:t>t/a</w:t>
            </w:r>
            <w:r>
              <w:rPr>
                <w:rFonts w:hint="eastAsia"/>
                <w:color w:val="auto"/>
                <w:sz w:val="21"/>
                <w:szCs w:val="21"/>
                <w:highlight w:val="none"/>
                <w:lang w:eastAsia="zh-CN"/>
              </w:rPr>
              <w:t>。</w:t>
            </w:r>
            <w:r>
              <w:rPr>
                <w:rFonts w:hint="default"/>
                <w:color w:val="auto"/>
                <w:sz w:val="21"/>
                <w:szCs w:val="21"/>
                <w:highlight w:val="none"/>
              </w:rPr>
              <w:t>根据</w:t>
            </w:r>
            <w:r>
              <w:rPr>
                <w:rFonts w:hint="eastAsia"/>
                <w:color w:val="auto"/>
                <w:sz w:val="21"/>
                <w:szCs w:val="21"/>
                <w:highlight w:val="none"/>
                <w:lang w:eastAsia="zh-CN"/>
              </w:rPr>
              <w:t>《排放源统计调查产排污核算方法和系数手册2021》—135屠宰及肉类加工行业系数手册—</w:t>
            </w:r>
            <w:r>
              <w:rPr>
                <w:rFonts w:hint="eastAsia"/>
                <w:color w:val="auto"/>
                <w:sz w:val="21"/>
                <w:szCs w:val="21"/>
                <w:highlight w:val="none"/>
                <w:lang w:val="en-US" w:eastAsia="zh-CN"/>
              </w:rPr>
              <w:t>1353 肉制品及副产品加工行业产污系数表，</w:t>
            </w:r>
            <w:r>
              <w:rPr>
                <w:rFonts w:hint="default" w:ascii="Times New Roman" w:hAnsi="Times New Roman" w:cs="Times New Roman"/>
                <w:color w:val="auto"/>
                <w:sz w:val="21"/>
                <w:szCs w:val="21"/>
                <w:highlight w:val="none"/>
              </w:rPr>
              <w:t>本项目废水产排情况见表4-1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p>
          <w:p>
            <w:pPr>
              <w:keepNext w:val="0"/>
              <w:keepLines w:val="0"/>
              <w:suppressLineNumbers w:val="0"/>
              <w:spacing w:before="0" w:beforeAutospacing="0" w:after="0" w:afterAutospacing="0" w:line="240" w:lineRule="auto"/>
              <w:ind w:left="0" w:right="0"/>
              <w:jc w:val="center"/>
              <w:rPr>
                <w:rFonts w:hint="default"/>
                <w:b/>
                <w:bCs/>
                <w:color w:val="auto"/>
                <w:highlight w:val="none"/>
              </w:rPr>
            </w:pPr>
          </w:p>
          <w:p>
            <w:pPr>
              <w:keepNext w:val="0"/>
              <w:keepLines w:val="0"/>
              <w:suppressLineNumbers w:val="0"/>
              <w:spacing w:before="0" w:beforeAutospacing="0" w:after="0" w:afterAutospacing="0" w:line="240" w:lineRule="auto"/>
              <w:ind w:left="0" w:right="0"/>
              <w:jc w:val="center"/>
              <w:rPr>
                <w:rFonts w:hint="default"/>
                <w:b/>
                <w:bCs/>
                <w:color w:val="auto"/>
                <w:highlight w:val="none"/>
              </w:rPr>
            </w:pPr>
            <w:r>
              <w:rPr>
                <w:rFonts w:hint="default"/>
                <w:b/>
                <w:bCs/>
                <w:color w:val="auto"/>
                <w:highlight w:val="none"/>
              </w:rPr>
              <w:t>表4-1</w:t>
            </w:r>
            <w:r>
              <w:rPr>
                <w:rFonts w:hint="eastAsia"/>
                <w:b/>
                <w:bCs/>
                <w:color w:val="auto"/>
                <w:highlight w:val="none"/>
                <w:lang w:val="en-US" w:eastAsia="zh-CN"/>
              </w:rPr>
              <w:t>0</w:t>
            </w:r>
            <w:r>
              <w:rPr>
                <w:rFonts w:hint="default"/>
                <w:b/>
                <w:bCs/>
                <w:color w:val="auto"/>
                <w:highlight w:val="none"/>
              </w:rPr>
              <w:t xml:space="preserve"> </w:t>
            </w:r>
            <w:r>
              <w:rPr>
                <w:rFonts w:hint="eastAsia"/>
                <w:b/>
                <w:bCs/>
                <w:color w:val="auto"/>
                <w:highlight w:val="none"/>
                <w:lang w:val="en-US" w:eastAsia="zh-CN"/>
              </w:rPr>
              <w:t>生产</w:t>
            </w:r>
            <w:r>
              <w:rPr>
                <w:rFonts w:hint="default"/>
                <w:b/>
                <w:bCs/>
                <w:color w:val="auto"/>
                <w:highlight w:val="none"/>
              </w:rPr>
              <w:t>废水产排分析表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4"/>
              <w:gridCol w:w="2108"/>
              <w:gridCol w:w="1787"/>
              <w:gridCol w:w="1023"/>
              <w:gridCol w:w="169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产品名称</w:t>
                  </w:r>
                </w:p>
              </w:tc>
              <w:tc>
                <w:tcPr>
                  <w:tcW w:w="4918" w:type="dxa"/>
                  <w:gridSpan w:val="3"/>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产污系数</w:t>
                  </w:r>
                </w:p>
              </w:tc>
              <w:tc>
                <w:tcPr>
                  <w:tcW w:w="1696" w:type="dxa"/>
                  <w:tcBorders>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本项目产生情况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restar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olor w:val="auto"/>
                      <w:sz w:val="18"/>
                      <w:szCs w:val="18"/>
                      <w:highlight w:val="none"/>
                      <w:lang w:val="en-US" w:eastAsia="zh-CN"/>
                    </w:rPr>
                    <w:t>熏</w:t>
                  </w:r>
                  <w:r>
                    <w:rPr>
                      <w:rFonts w:hint="default"/>
                      <w:color w:val="auto"/>
                      <w:sz w:val="18"/>
                      <w:szCs w:val="18"/>
                      <w:highlight w:val="none"/>
                    </w:rPr>
                    <w:t>煮香肠制品</w:t>
                  </w: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工业废水量</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吨/吨-产品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default"/>
                      <w:color w:val="auto"/>
                      <w:sz w:val="18"/>
                      <w:szCs w:val="18"/>
                      <w:highlight w:val="none"/>
                    </w:rPr>
                    <w:t>1</w:t>
                  </w:r>
                  <w:r>
                    <w:rPr>
                      <w:rFonts w:hint="eastAsia"/>
                      <w:color w:val="auto"/>
                      <w:sz w:val="18"/>
                      <w:szCs w:val="18"/>
                      <w:highlight w:val="none"/>
                      <w:lang w:val="en-US" w:eastAsia="zh-CN"/>
                    </w:rPr>
                    <w:t>2.2</w:t>
                  </w:r>
                </w:p>
              </w:tc>
              <w:tc>
                <w:tcPr>
                  <w:tcW w:w="1696" w:type="dxa"/>
                  <w:tcBorders>
                    <w:top w:val="single" w:color="auto" w:sz="4" w:space="0"/>
                    <w:lef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r>
                    <w:rPr>
                      <w:rFonts w:hint="eastAsia"/>
                      <w:color w:val="auto"/>
                      <w:sz w:val="18"/>
                      <w:szCs w:val="18"/>
                      <w:highlight w:val="none"/>
                      <w:lang w:val="en-US" w:eastAsia="zh-CN"/>
                    </w:rPr>
                    <w:t>39040</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化学需氧量</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default"/>
                      <w:color w:val="auto"/>
                      <w:sz w:val="18"/>
                      <w:szCs w:val="18"/>
                      <w:highlight w:val="none"/>
                    </w:rPr>
                    <w:t>9</w:t>
                  </w:r>
                  <w:r>
                    <w:rPr>
                      <w:rFonts w:hint="eastAsia"/>
                      <w:color w:val="auto"/>
                      <w:sz w:val="18"/>
                      <w:szCs w:val="18"/>
                      <w:highlight w:val="none"/>
                      <w:lang w:val="en-US" w:eastAsia="zh-CN"/>
                    </w:rPr>
                    <w:t>410</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r>
                    <w:rPr>
                      <w:rFonts w:hint="eastAsia"/>
                      <w:color w:val="auto"/>
                      <w:sz w:val="18"/>
                      <w:szCs w:val="18"/>
                      <w:highlight w:val="none"/>
                      <w:lang w:val="en-US" w:eastAsia="zh-CN"/>
                    </w:rPr>
                    <w:t>30.11</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氨氮</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85</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r>
                    <w:rPr>
                      <w:rFonts w:hint="eastAsia"/>
                      <w:color w:val="auto"/>
                      <w:sz w:val="18"/>
                      <w:szCs w:val="18"/>
                      <w:highlight w:val="none"/>
                      <w:lang w:val="en-US" w:eastAsia="zh-CN"/>
                    </w:rPr>
                    <w:t>0.272</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总氮</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308</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r>
                    <w:rPr>
                      <w:rFonts w:hint="eastAsia"/>
                      <w:color w:val="auto"/>
                      <w:sz w:val="18"/>
                      <w:szCs w:val="18"/>
                      <w:highlight w:val="none"/>
                      <w:lang w:val="en-US" w:eastAsia="zh-CN"/>
                    </w:rPr>
                    <w:t>0.99</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总磷</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56</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0.18</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restar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酱卤制品</w:t>
                  </w: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工业废水量</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吨/吨-产品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18.7</w:t>
                  </w:r>
                </w:p>
              </w:tc>
              <w:tc>
                <w:tcPr>
                  <w:tcW w:w="1696" w:type="dxa"/>
                  <w:tcBorders>
                    <w:top w:val="single" w:color="auto" w:sz="4" w:space="0"/>
                    <w:lef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rPr>
                  </w:pPr>
                  <w:r>
                    <w:rPr>
                      <w:rFonts w:hint="eastAsia"/>
                      <w:color w:val="auto"/>
                      <w:sz w:val="18"/>
                      <w:szCs w:val="18"/>
                      <w:highlight w:val="none"/>
                      <w:lang w:val="en-US" w:eastAsia="zh-CN"/>
                    </w:rPr>
                    <w:t>9350</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lang w:val="en-US" w:eastAsia="zh-CN"/>
                    </w:rPr>
                  </w:pPr>
                  <w:r>
                    <w:rPr>
                      <w:rFonts w:hint="default"/>
                      <w:color w:val="auto"/>
                      <w:sz w:val="18"/>
                      <w:szCs w:val="18"/>
                      <w:highlight w:val="none"/>
                    </w:rPr>
                    <w:t>化学需氧量</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18900</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9.45</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lang w:val="en-US" w:eastAsia="zh-CN"/>
                    </w:rPr>
                  </w:pPr>
                  <w:r>
                    <w:rPr>
                      <w:rFonts w:hint="default"/>
                      <w:color w:val="auto"/>
                      <w:sz w:val="18"/>
                      <w:szCs w:val="18"/>
                      <w:highlight w:val="none"/>
                    </w:rPr>
                    <w:t>氨氮</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243</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0.12</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olor w:val="auto"/>
                      <w:sz w:val="18"/>
                      <w:szCs w:val="18"/>
                      <w:highlight w:val="none"/>
                      <w:lang w:val="en-US" w:eastAsia="zh-CN"/>
                    </w:rPr>
                  </w:pPr>
                  <w:r>
                    <w:rPr>
                      <w:rFonts w:hint="default"/>
                      <w:color w:val="auto"/>
                      <w:sz w:val="18"/>
                      <w:szCs w:val="18"/>
                      <w:highlight w:val="none"/>
                    </w:rPr>
                    <w:t>总氮</w:t>
                  </w:r>
                </w:p>
              </w:tc>
              <w:tc>
                <w:tcPr>
                  <w:tcW w:w="178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934</w:t>
                  </w:r>
                </w:p>
              </w:tc>
              <w:tc>
                <w:tcPr>
                  <w:tcW w:w="1696"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0.47</w:t>
                  </w:r>
                  <w:r>
                    <w:rPr>
                      <w:rFonts w:hint="default"/>
                      <w:color w:val="auto"/>
                      <w:sz w:val="18"/>
                      <w:szCs w:val="18"/>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4"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p>
              </w:tc>
              <w:tc>
                <w:tcPr>
                  <w:tcW w:w="210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总磷</w:t>
                  </w:r>
                </w:p>
              </w:tc>
              <w:tc>
                <w:tcPr>
                  <w:tcW w:w="1787" w:type="dxa"/>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default"/>
                      <w:color w:val="auto"/>
                      <w:sz w:val="18"/>
                      <w:szCs w:val="18"/>
                      <w:highlight w:val="none"/>
                    </w:rPr>
                    <w:t>克/吨-产品</w:t>
                  </w:r>
                </w:p>
              </w:tc>
              <w:tc>
                <w:tcPr>
                  <w:tcW w:w="1023" w:type="dxa"/>
                  <w:tcBorders>
                    <w:top w:val="single" w:color="auto" w:sz="4" w:space="0"/>
                    <w:left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307</w:t>
                  </w:r>
                </w:p>
              </w:tc>
              <w:tc>
                <w:tcPr>
                  <w:tcW w:w="1696" w:type="dxa"/>
                  <w:tcBorders>
                    <w:top w:val="single" w:color="auto" w:sz="4" w:space="0"/>
                    <w:lef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0.15</w:t>
                  </w:r>
                  <w:r>
                    <w:rPr>
                      <w:rFonts w:hint="default"/>
                      <w:color w:val="auto"/>
                      <w:sz w:val="18"/>
                      <w:szCs w:val="18"/>
                      <w:highlight w:val="none"/>
                    </w:rPr>
                    <w:t>t/a</w:t>
                  </w:r>
                </w:p>
              </w:tc>
            </w:tr>
          </w:tbl>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中五日生化需氧量排放浓度类比《鸡西市巨力食品有限公司肉食品加工项目竣工环境保护验收监测报告表》中废水监测数据，该项目年产香肠、火腿肠900t，生产废水和生活污水一并排入厂区内污水处理站，处理工艺为AO法，根据污水处理站总进口五日生化需氧量最大值为130mg/L，出口生化需氧量最大值为22.4mg/L。</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本项目产生综合废水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厂区污水处理站（气浮+AO+MBR+消毒）</w:t>
            </w:r>
            <w:r>
              <w:rPr>
                <w:rFonts w:hint="default" w:ascii="Times New Roman" w:hAnsi="Times New Roman" w:cs="Times New Roman"/>
                <w:color w:val="auto"/>
                <w:sz w:val="21"/>
                <w:szCs w:val="21"/>
                <w:highlight w:val="none"/>
              </w:rPr>
              <w:t>处理后，满足《肉类加工工业水污染物排放标准》（GB13457-92）表3中“肉制品加工”表3中三级标准，经</w:t>
            </w:r>
            <w:r>
              <w:rPr>
                <w:rFonts w:hint="default" w:ascii="Times New Roman" w:hAnsi="Times New Roman" w:cs="Times New Roman"/>
                <w:color w:val="auto"/>
                <w:sz w:val="21"/>
                <w:szCs w:val="21"/>
                <w:highlight w:val="none"/>
                <w:lang w:val="en-US" w:eastAsia="zh-CN"/>
              </w:rPr>
              <w:t>双城</w:t>
            </w:r>
            <w:r>
              <w:rPr>
                <w:rFonts w:hint="default" w:ascii="Times New Roman" w:hAnsi="Times New Roman" w:cs="Times New Roman"/>
                <w:color w:val="auto"/>
                <w:sz w:val="21"/>
                <w:szCs w:val="21"/>
                <w:highlight w:val="none"/>
              </w:rPr>
              <w:t>污水处理厂处理</w:t>
            </w:r>
            <w:r>
              <w:rPr>
                <w:rFonts w:hint="eastAsia" w:ascii="Times New Roman" w:cs="Times New Roman"/>
                <w:color w:val="auto"/>
                <w:sz w:val="21"/>
                <w:szCs w:val="21"/>
                <w:highlight w:val="none"/>
                <w:lang w:val="en-US" w:eastAsia="zh-CN"/>
              </w:rPr>
              <w:t>达标</w:t>
            </w:r>
            <w:r>
              <w:rPr>
                <w:rFonts w:hint="default" w:ascii="Times New Roman" w:hAnsi="Times New Roman" w:cs="Times New Roman"/>
                <w:color w:val="auto"/>
                <w:sz w:val="21"/>
                <w:szCs w:val="21"/>
                <w:highlight w:val="none"/>
              </w:rPr>
              <w:t>后排入</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cs="Times New Roman"/>
                <w:color w:val="auto"/>
                <w:sz w:val="21"/>
                <w:szCs w:val="21"/>
                <w:highlight w:val="none"/>
              </w:rPr>
              <w:t>。</w:t>
            </w:r>
          </w:p>
          <w:p>
            <w:pPr>
              <w:pStyle w:val="4"/>
              <w:keepNext w:val="0"/>
              <w:keepLines w:val="0"/>
              <w:numPr>
                <w:ilvl w:val="0"/>
                <w:numId w:val="10"/>
              </w:numPr>
              <w:suppressLineNumbers w:val="0"/>
              <w:spacing w:before="0" w:beforeAutospacing="0" w:after="0" w:afterAutospacing="0"/>
              <w:ind w:left="0" w:leftChars="0" w:right="0" w:firstLine="420" w:firstLineChars="200"/>
              <w:rPr>
                <w:rFonts w:hint="default"/>
                <w:color w:val="auto"/>
                <w:lang w:val="en-US" w:eastAsia="zh-CN"/>
              </w:rPr>
            </w:pPr>
            <w:r>
              <w:rPr>
                <w:rFonts w:hint="eastAsia" w:cs="Times New Roman"/>
                <w:color w:val="auto"/>
                <w:sz w:val="21"/>
                <w:szCs w:val="21"/>
                <w:highlight w:val="none"/>
                <w:lang w:val="en-US" w:eastAsia="zh-CN"/>
              </w:rPr>
              <w:t>废水污染物情况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污水处理站运营期设计处理废水进水水质、出水水质情况见下表。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color w:val="auto"/>
                <w:sz w:val="21"/>
                <w:szCs w:val="21"/>
                <w:lang w:val="en-US" w:eastAsia="zh-CN"/>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11</w:t>
            </w:r>
            <w:r>
              <w:rPr>
                <w:rFonts w:hint="default" w:ascii="Times New Roman" w:hAnsi="Times New Roman" w:cs="Times New Roman"/>
                <w:b/>
                <w:color w:val="auto"/>
                <w:sz w:val="21"/>
                <w:szCs w:val="21"/>
                <w:highlight w:val="none"/>
              </w:rPr>
              <w:t xml:space="preserve"> </w:t>
            </w:r>
            <w:r>
              <w:rPr>
                <w:rFonts w:hint="eastAsia" w:ascii="Times New Roman" w:hAnsi="Times New Roman" w:cs="Times New Roman"/>
                <w:b/>
                <w:color w:val="auto"/>
                <w:sz w:val="21"/>
                <w:szCs w:val="21"/>
                <w:highlight w:val="none"/>
                <w:lang w:val="en-US" w:eastAsia="zh-CN"/>
              </w:rPr>
              <w:t>运营期设计进水、出水水质情况  单位：</w:t>
            </w:r>
            <w:r>
              <w:rPr>
                <w:rFonts w:hint="default" w:cs="Times New Roman"/>
                <w:b/>
                <w:bCs/>
                <w:color w:val="auto"/>
                <w:sz w:val="21"/>
                <w:szCs w:val="21"/>
                <w:highlight w:val="none"/>
              </w:rPr>
              <w:t>mg/L</w:t>
            </w:r>
            <w:r>
              <w:rPr>
                <w:rFonts w:hint="eastAsia" w:cs="Times New Roman"/>
                <w:b/>
                <w:bCs/>
                <w:color w:val="auto"/>
                <w:sz w:val="21"/>
                <w:szCs w:val="21"/>
                <w:highlight w:val="none"/>
                <w:lang w:eastAsia="zh-CN"/>
              </w:rPr>
              <w:t>，</w:t>
            </w:r>
            <w:r>
              <w:rPr>
                <w:rFonts w:hint="eastAsia" w:cs="Times New Roman"/>
                <w:b/>
                <w:bCs/>
                <w:color w:val="auto"/>
                <w:sz w:val="21"/>
                <w:szCs w:val="21"/>
                <w:highlight w:val="none"/>
                <w:lang w:val="en-US" w:eastAsia="zh-CN"/>
              </w:rPr>
              <w:t>PH无量纲</w:t>
            </w:r>
          </w:p>
          <w:tbl>
            <w:tblPr>
              <w:tblStyle w:val="33"/>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48"/>
              <w:gridCol w:w="1080"/>
              <w:gridCol w:w="990"/>
              <w:gridCol w:w="495"/>
              <w:gridCol w:w="585"/>
              <w:gridCol w:w="990"/>
              <w:gridCol w:w="7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48"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项目</w:t>
                  </w:r>
                </w:p>
              </w:tc>
              <w:tc>
                <w:tcPr>
                  <w:tcW w:w="108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COD</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rPr>
                    <w:t>BOD</w:t>
                  </w:r>
                  <w:r>
                    <w:rPr>
                      <w:rFonts w:hint="default" w:ascii="Times New Roman" w:hAnsi="Times New Roman" w:eastAsia="宋体" w:cs="Times New Roman"/>
                      <w:color w:val="auto"/>
                      <w:sz w:val="18"/>
                      <w:szCs w:val="18"/>
                      <w:highlight w:val="none"/>
                      <w:vertAlign w:val="subscript"/>
                    </w:rPr>
                    <w:t>5</w:t>
                  </w:r>
                </w:p>
              </w:tc>
              <w:tc>
                <w:tcPr>
                  <w:tcW w:w="49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SS</w:t>
                  </w:r>
                </w:p>
              </w:tc>
              <w:tc>
                <w:tcPr>
                  <w:tcW w:w="58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氨氮</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动植物油</w:t>
                  </w:r>
                </w:p>
              </w:tc>
              <w:tc>
                <w:tcPr>
                  <w:tcW w:w="75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PH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148"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进水水质</w:t>
                  </w:r>
                </w:p>
              </w:tc>
              <w:tc>
                <w:tcPr>
                  <w:tcW w:w="108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1500~2000</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800~1000</w:t>
                  </w:r>
                </w:p>
              </w:tc>
              <w:tc>
                <w:tcPr>
                  <w:tcW w:w="49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500</w:t>
                  </w:r>
                </w:p>
              </w:tc>
              <w:tc>
                <w:tcPr>
                  <w:tcW w:w="58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110</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200</w:t>
                  </w:r>
                </w:p>
              </w:tc>
              <w:tc>
                <w:tcPr>
                  <w:tcW w:w="75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48"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出水水质</w:t>
                  </w:r>
                </w:p>
              </w:tc>
              <w:tc>
                <w:tcPr>
                  <w:tcW w:w="108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300</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50</w:t>
                  </w:r>
                </w:p>
              </w:tc>
              <w:tc>
                <w:tcPr>
                  <w:tcW w:w="49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20</w:t>
                  </w:r>
                </w:p>
              </w:tc>
              <w:tc>
                <w:tcPr>
                  <w:tcW w:w="58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30</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20</w:t>
                  </w:r>
                </w:p>
              </w:tc>
              <w:tc>
                <w:tcPr>
                  <w:tcW w:w="75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48"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rPr>
                    <w:t>《肉类加工工业水污染物排放标准》（GB13457-92）表3中“肉制品加工”表3中三级标准</w:t>
                  </w:r>
                </w:p>
              </w:tc>
              <w:tc>
                <w:tcPr>
                  <w:tcW w:w="108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500</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300</w:t>
                  </w:r>
                </w:p>
              </w:tc>
              <w:tc>
                <w:tcPr>
                  <w:tcW w:w="49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350</w:t>
                  </w:r>
                </w:p>
              </w:tc>
              <w:tc>
                <w:tcPr>
                  <w:tcW w:w="585"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rPr>
                    <w:t>-</w:t>
                  </w:r>
                </w:p>
              </w:tc>
              <w:tc>
                <w:tcPr>
                  <w:tcW w:w="99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60</w:t>
                  </w:r>
                </w:p>
              </w:tc>
              <w:tc>
                <w:tcPr>
                  <w:tcW w:w="750" w:type="dxa"/>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highlight w:val="none"/>
                    </w:rPr>
                    <w:t>6.0-8.5</w:t>
                  </w:r>
                </w:p>
              </w:tc>
            </w:tr>
          </w:tbl>
          <w:p>
            <w:pPr>
              <w:pStyle w:val="3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20" w:firstLineChars="200"/>
              <w:textAlignment w:val="auto"/>
              <w:rPr>
                <w:rFonts w:hint="eastAsia"/>
                <w:color w:val="auto"/>
                <w:sz w:val="21"/>
                <w:szCs w:val="21"/>
                <w:lang w:val="en-US" w:eastAsia="zh-CN"/>
              </w:rPr>
            </w:pPr>
            <w:r>
              <w:rPr>
                <w:rFonts w:hint="default" w:ascii="Times New Roman" w:hAnsi="Times New Roman" w:cs="Times New Roman"/>
                <w:color w:val="auto"/>
                <w:sz w:val="21"/>
                <w:szCs w:val="21"/>
                <w:highlight w:val="none"/>
                <w:lang w:val="en-US" w:eastAsia="zh-CN"/>
              </w:rPr>
              <w:t>本项目产生综合废水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w:t>
            </w:r>
            <w:r>
              <w:rPr>
                <w:rFonts w:hint="default" w:ascii="Times New Roman" w:hAnsi="Times New Roman" w:cs="Times New Roman"/>
                <w:color w:val="auto"/>
                <w:sz w:val="21"/>
                <w:szCs w:val="21"/>
                <w:highlight w:val="none"/>
              </w:rPr>
              <w:t>处理</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处理技术</w:t>
            </w:r>
            <w:r>
              <w:rPr>
                <w:rFonts w:hint="default" w:ascii="Times New Roman" w:hAnsi="Times New Roman" w:cs="Times New Roman"/>
                <w:color w:val="auto"/>
                <w:sz w:val="21"/>
                <w:szCs w:val="21"/>
                <w:highlight w:val="none"/>
                <w:lang w:val="en-US" w:eastAsia="zh-CN"/>
              </w:rPr>
              <w:t>气浮+AO+MBR+消毒</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vertAlign w:val="baseline"/>
                <w:lang w:val="en-US" w:eastAsia="zh-CN"/>
              </w:rPr>
              <w:t>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排污许可证申请与核发技术规范</w:t>
            </w:r>
            <w:r>
              <w:rPr>
                <w:rFonts w:hint="default"/>
                <w:color w:val="auto"/>
                <w:sz w:val="21"/>
                <w:szCs w:val="21"/>
                <w:highlight w:val="none"/>
              </w:rPr>
              <w:t>农副产品加工工业-屠宰及肉类加工工业》（HJ860.3-2018）</w:t>
            </w:r>
            <w:r>
              <w:rPr>
                <w:rFonts w:hint="default" w:ascii="Times New Roman" w:hAnsi="Times New Roman" w:eastAsia="宋体" w:cs="Times New Roman"/>
                <w:color w:val="auto"/>
                <w:sz w:val="21"/>
                <w:szCs w:val="21"/>
                <w:highlight w:val="none"/>
                <w:lang w:val="en-US" w:eastAsia="zh-CN"/>
              </w:rPr>
              <w:t>表</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中要求的废水处理可行技术</w:t>
            </w:r>
            <w:r>
              <w:rPr>
                <w:rFonts w:hint="eastAsia" w:ascii="Times New Roman" w:hAnsi="Times New Roman" w:eastAsia="宋体" w:cs="Times New Roman"/>
                <w:color w:val="auto"/>
                <w:sz w:val="21"/>
                <w:szCs w:val="21"/>
                <w:highlight w:val="none"/>
                <w:lang w:val="en-US" w:eastAsia="zh-CN"/>
              </w:rPr>
              <w:t>（见表4-15），则</w:t>
            </w:r>
            <w:r>
              <w:rPr>
                <w:rFonts w:hint="default"/>
                <w:color w:val="auto"/>
                <w:sz w:val="21"/>
                <w:szCs w:val="21"/>
                <w:highlight w:val="none"/>
              </w:rPr>
              <w:t>根据</w:t>
            </w:r>
            <w:r>
              <w:rPr>
                <w:rFonts w:hint="eastAsia"/>
                <w:color w:val="auto"/>
                <w:sz w:val="21"/>
                <w:szCs w:val="21"/>
                <w:highlight w:val="none"/>
                <w:lang w:eastAsia="zh-CN"/>
              </w:rPr>
              <w:t>《排放源统计调查产排污核算方法和系数手册2021》—135屠宰及肉类加工行业系数手册—</w:t>
            </w:r>
            <w:r>
              <w:rPr>
                <w:rFonts w:hint="eastAsia"/>
                <w:color w:val="auto"/>
                <w:sz w:val="21"/>
                <w:szCs w:val="21"/>
                <w:highlight w:val="none"/>
                <w:lang w:val="en-US" w:eastAsia="zh-CN"/>
              </w:rPr>
              <w:t>1353 肉制品及副产品加工行业产污系数表，末端治理技术平均去除率，本项目</w:t>
            </w:r>
            <w:r>
              <w:rPr>
                <w:rFonts w:hint="eastAsia"/>
                <w:color w:val="auto"/>
                <w:sz w:val="21"/>
                <w:szCs w:val="21"/>
                <w:lang w:val="en-US" w:eastAsia="zh-CN"/>
              </w:rPr>
              <w:t>各主要处理单元对污染物处理效率见下表。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lang w:val="en-US" w:eastAsia="zh-CN"/>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12</w:t>
            </w:r>
            <w:r>
              <w:rPr>
                <w:rFonts w:hint="default" w:ascii="Times New Roman" w:hAnsi="Times New Roman" w:cs="Times New Roman"/>
                <w:b/>
                <w:color w:val="auto"/>
                <w:sz w:val="21"/>
                <w:szCs w:val="21"/>
                <w:highlight w:val="none"/>
              </w:rPr>
              <w:t xml:space="preserve"> </w:t>
            </w:r>
            <w:r>
              <w:rPr>
                <w:rFonts w:hint="eastAsia" w:ascii="Times New Roman" w:hAnsi="Times New Roman" w:cs="Times New Roman"/>
                <w:b/>
                <w:color w:val="auto"/>
                <w:sz w:val="21"/>
                <w:szCs w:val="21"/>
                <w:highlight w:val="none"/>
                <w:lang w:val="en-US" w:eastAsia="zh-CN"/>
              </w:rPr>
              <w:t>各单元污染物处理效率一览表</w:t>
            </w:r>
          </w:p>
          <w:tbl>
            <w:tblPr>
              <w:tblStyle w:val="33"/>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2009"/>
              <w:gridCol w:w="2010"/>
              <w:gridCol w:w="20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cs="Times New Roman"/>
                      <w:b w:val="0"/>
                      <w:bCs/>
                      <w:color w:val="auto"/>
                      <w:sz w:val="18"/>
                      <w:szCs w:val="18"/>
                      <w:vertAlign w:val="baseline"/>
                      <w:lang w:val="en-US" w:eastAsia="zh-CN"/>
                    </w:rPr>
                    <w:t>污染物</w:t>
                  </w:r>
                </w:p>
              </w:tc>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cs="Times New Roman"/>
                      <w:b w:val="0"/>
                      <w:bCs/>
                      <w:color w:val="auto"/>
                      <w:sz w:val="18"/>
                      <w:szCs w:val="18"/>
                      <w:vertAlign w:val="baseline"/>
                      <w:lang w:val="en-US" w:eastAsia="zh-CN"/>
                    </w:rPr>
                    <w:t>调节池</w:t>
                  </w:r>
                </w:p>
              </w:tc>
              <w:tc>
                <w:tcPr>
                  <w:tcW w:w="2010"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cs="Times New Roman"/>
                      <w:b w:val="0"/>
                      <w:bCs/>
                      <w:color w:val="auto"/>
                      <w:sz w:val="18"/>
                      <w:szCs w:val="18"/>
                      <w:vertAlign w:val="baseline"/>
                      <w:lang w:val="en-US" w:eastAsia="zh-CN"/>
                    </w:rPr>
                    <w:t>厌氧池</w:t>
                  </w:r>
                </w:p>
              </w:tc>
              <w:tc>
                <w:tcPr>
                  <w:tcW w:w="2010"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cs="Times New Roman"/>
                      <w:b w:val="0"/>
                      <w:bCs/>
                      <w:color w:val="auto"/>
                      <w:sz w:val="18"/>
                      <w:szCs w:val="18"/>
                      <w:vertAlign w:val="baseline"/>
                      <w:lang w:val="en-US" w:eastAsia="zh-CN"/>
                    </w:rPr>
                    <w:t>好氧池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rPr>
                    <w:t>COD</w:t>
                  </w:r>
                </w:p>
              </w:tc>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10%</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96</w:t>
                  </w:r>
                  <w:r>
                    <w:rPr>
                      <w:rFonts w:hint="eastAsia" w:ascii="Times New Roman" w:hAnsi="Times New Roman" w:cs="Times New Roman"/>
                      <w:b w:val="0"/>
                      <w:bCs/>
                      <w:color w:val="auto"/>
                      <w:sz w:val="18"/>
                      <w:szCs w:val="18"/>
                      <w:vertAlign w:val="baseline"/>
                      <w:lang w:val="en-US" w:eastAsia="zh-CN"/>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96</w:t>
                  </w:r>
                  <w:r>
                    <w:rPr>
                      <w:rFonts w:hint="eastAsia" w:ascii="Times New Roman" w:hAnsi="Times New Roman" w:cs="Times New Roman"/>
                      <w:b w:val="0"/>
                      <w:bCs/>
                      <w:color w:val="auto"/>
                      <w:sz w:val="18"/>
                      <w:szCs w:val="18"/>
                      <w:vertAlign w:val="baseli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lang w:val="en-US" w:eastAsia="zh-CN"/>
                    </w:rPr>
                    <w:t>BOD</w:t>
                  </w:r>
                  <w:r>
                    <w:rPr>
                      <w:rFonts w:hint="default" w:ascii="Times New Roman" w:hAnsi="Times New Roman" w:eastAsia="宋体" w:cs="Times New Roman"/>
                      <w:color w:val="auto"/>
                      <w:sz w:val="18"/>
                      <w:szCs w:val="18"/>
                      <w:highlight w:val="none"/>
                      <w:vertAlign w:val="subscript"/>
                      <w:lang w:val="en-US" w:eastAsia="zh-CN"/>
                    </w:rPr>
                    <w:t>5</w:t>
                  </w:r>
                </w:p>
              </w:tc>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20%</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83</w:t>
                  </w:r>
                  <w:r>
                    <w:rPr>
                      <w:rFonts w:hint="eastAsia" w:ascii="Times New Roman" w:hAnsi="Times New Roman" w:cs="Times New Roman"/>
                      <w:b w:val="0"/>
                      <w:bCs/>
                      <w:color w:val="auto"/>
                      <w:sz w:val="18"/>
                      <w:szCs w:val="18"/>
                      <w:vertAlign w:val="baseline"/>
                      <w:lang w:val="en-US" w:eastAsia="zh-CN"/>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83</w:t>
                  </w:r>
                  <w:r>
                    <w:rPr>
                      <w:rFonts w:hint="eastAsia" w:ascii="Times New Roman" w:hAnsi="Times New Roman" w:cs="Times New Roman"/>
                      <w:b w:val="0"/>
                      <w:bCs/>
                      <w:color w:val="auto"/>
                      <w:sz w:val="18"/>
                      <w:szCs w:val="18"/>
                      <w:vertAlign w:val="baseli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rPr>
                    <w:t>氨氮</w:t>
                  </w:r>
                </w:p>
              </w:tc>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5%</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90</w:t>
                  </w:r>
                  <w:r>
                    <w:rPr>
                      <w:rFonts w:hint="eastAsia" w:cs="Times New Roman"/>
                      <w:color w:val="auto"/>
                      <w:sz w:val="18"/>
                      <w:szCs w:val="18"/>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rPr>
                    <w:t>SS</w:t>
                  </w:r>
                </w:p>
              </w:tc>
              <w:tc>
                <w:tcPr>
                  <w:tcW w:w="2009"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5%</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10</w:t>
                  </w:r>
                  <w:r>
                    <w:rPr>
                      <w:rFonts w:hint="eastAsia" w:ascii="Times New Roman" w:hAnsi="Times New Roman" w:cs="Times New Roman"/>
                      <w:b w:val="0"/>
                      <w:bCs/>
                      <w:color w:val="auto"/>
                      <w:sz w:val="18"/>
                      <w:szCs w:val="18"/>
                      <w:vertAlign w:val="baseline"/>
                      <w:lang w:val="en-US" w:eastAsia="zh-CN"/>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80</w:t>
                  </w:r>
                  <w:r>
                    <w:rPr>
                      <w:rFonts w:hint="eastAsia" w:ascii="Times New Roman" w:hAnsi="Times New Roman" w:cs="Times New Roman"/>
                      <w:b w:val="0"/>
                      <w:bCs/>
                      <w:color w:val="auto"/>
                      <w:sz w:val="18"/>
                      <w:szCs w:val="18"/>
                      <w:vertAlign w:val="baseli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default" w:ascii="Times New Roman" w:hAnsi="Times New Roman" w:eastAsia="宋体" w:cs="Times New Roman"/>
                      <w:color w:val="auto"/>
                      <w:sz w:val="18"/>
                      <w:szCs w:val="18"/>
                      <w:highlight w:val="none"/>
                    </w:rPr>
                    <w:t>总氮</w:t>
                  </w:r>
                </w:p>
              </w:tc>
              <w:tc>
                <w:tcPr>
                  <w:tcW w:w="20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5%</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10</w:t>
                  </w:r>
                  <w:r>
                    <w:rPr>
                      <w:rFonts w:hint="eastAsia" w:ascii="Times New Roman" w:hAnsi="Times New Roman" w:cs="Times New Roman"/>
                      <w:b w:val="0"/>
                      <w:bCs/>
                      <w:color w:val="auto"/>
                      <w:sz w:val="18"/>
                      <w:szCs w:val="18"/>
                      <w:vertAlign w:val="baseline"/>
                      <w:lang w:val="en-US" w:eastAsia="zh-CN"/>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80</w:t>
                  </w:r>
                  <w:r>
                    <w:rPr>
                      <w:rFonts w:hint="eastAsia" w:ascii="Times New Roman" w:hAnsi="Times New Roman" w:cs="Times New Roman"/>
                      <w:b w:val="0"/>
                      <w:bCs/>
                      <w:color w:val="auto"/>
                      <w:sz w:val="18"/>
                      <w:szCs w:val="18"/>
                      <w:vertAlign w:val="baseli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color w:val="auto"/>
                      <w:sz w:val="18"/>
                      <w:szCs w:val="18"/>
                      <w:vertAlign w:val="baseline"/>
                      <w:lang w:val="en-US" w:eastAsia="zh-CN"/>
                    </w:rPr>
                  </w:pPr>
                  <w:r>
                    <w:rPr>
                      <w:rFonts w:hint="eastAsia" w:cs="Times New Roman"/>
                      <w:color w:val="auto"/>
                      <w:sz w:val="18"/>
                      <w:szCs w:val="18"/>
                      <w:highlight w:val="none"/>
                      <w:lang w:val="en-US" w:eastAsia="zh-CN"/>
                    </w:rPr>
                    <w:t>总磷</w:t>
                  </w:r>
                </w:p>
              </w:tc>
              <w:tc>
                <w:tcPr>
                  <w:tcW w:w="20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cs="Times New Roman"/>
                      <w:b w:val="0"/>
                      <w:bCs/>
                      <w:color w:val="auto"/>
                      <w:sz w:val="18"/>
                      <w:szCs w:val="18"/>
                      <w:vertAlign w:val="baseline"/>
                      <w:lang w:val="en-US" w:eastAsia="zh-CN"/>
                    </w:rPr>
                    <w:t>5%</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ascii="Times New Roman" w:hAnsi="Times New Roman" w:eastAsia="宋体" w:cs="Times New Roman"/>
                      <w:color w:val="auto"/>
                      <w:sz w:val="18"/>
                      <w:szCs w:val="18"/>
                      <w:highlight w:val="none"/>
                      <w:lang w:val="en-US" w:eastAsia="zh-CN"/>
                    </w:rPr>
                    <w:t>10</w:t>
                  </w:r>
                  <w:r>
                    <w:rPr>
                      <w:rFonts w:hint="eastAsia" w:ascii="Times New Roman" w:hAnsi="Times New Roman" w:cs="Times New Roman"/>
                      <w:b w:val="0"/>
                      <w:bCs/>
                      <w:color w:val="auto"/>
                      <w:sz w:val="18"/>
                      <w:szCs w:val="18"/>
                      <w:vertAlign w:val="baseline"/>
                      <w:lang w:val="en-US" w:eastAsia="zh-CN"/>
                    </w:rPr>
                    <w:t>%</w:t>
                  </w:r>
                </w:p>
              </w:tc>
              <w:tc>
                <w:tcPr>
                  <w:tcW w:w="2010"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color w:val="auto"/>
                      <w:sz w:val="18"/>
                      <w:szCs w:val="18"/>
                      <w:vertAlign w:val="baseline"/>
                      <w:lang w:val="en-US" w:eastAsia="zh-CN"/>
                    </w:rPr>
                  </w:pPr>
                  <w:r>
                    <w:rPr>
                      <w:rFonts w:hint="eastAsia" w:cs="Times New Roman"/>
                      <w:color w:val="auto"/>
                      <w:sz w:val="18"/>
                      <w:szCs w:val="18"/>
                      <w:highlight w:val="none"/>
                      <w:lang w:val="en-US" w:eastAsia="zh-CN"/>
                    </w:rPr>
                    <w:t>80</w:t>
                  </w:r>
                  <w:r>
                    <w:rPr>
                      <w:rFonts w:hint="eastAsia" w:ascii="Times New Roman" w:hAnsi="Times New Roman" w:cs="Times New Roman"/>
                      <w:b w:val="0"/>
                      <w:bCs/>
                      <w:color w:val="auto"/>
                      <w:sz w:val="18"/>
                      <w:szCs w:val="18"/>
                      <w:vertAlign w:val="baseli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3</w:t>
            </w:r>
            <w:r>
              <w:rPr>
                <w:rFonts w:hint="default" w:ascii="Times New Roman" w:hAnsi="Times New Roman" w:cs="Times New Roman"/>
                <w:bCs/>
                <w:color w:val="auto"/>
                <w:szCs w:val="21"/>
                <w:highlight w:val="none"/>
              </w:rPr>
              <w:t>）排放口基本情况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13</w:t>
            </w:r>
            <w:r>
              <w:rPr>
                <w:rFonts w:hint="default" w:ascii="Times New Roman" w:hAnsi="Times New Roman" w:cs="Times New Roman"/>
                <w:b/>
                <w:color w:val="auto"/>
                <w:szCs w:val="21"/>
                <w:highlight w:val="none"/>
              </w:rPr>
              <w:t xml:space="preserve"> 排放口基本情况表</w:t>
            </w:r>
          </w:p>
          <w:tbl>
            <w:tblPr>
              <w:tblStyle w:val="32"/>
              <w:tblW w:w="4997"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99"/>
              <w:gridCol w:w="572"/>
              <w:gridCol w:w="1230"/>
              <w:gridCol w:w="1110"/>
              <w:gridCol w:w="450"/>
              <w:gridCol w:w="675"/>
              <w:gridCol w:w="885"/>
              <w:gridCol w:w="2413"/>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blHeader/>
                <w:jc w:val="center"/>
              </w:trPr>
              <w:tc>
                <w:tcPr>
                  <w:tcW w:w="435"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w:t>
                  </w:r>
                </w:p>
              </w:tc>
              <w:tc>
                <w:tcPr>
                  <w:tcW w:w="355"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1456"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排放口地理坐标</w:t>
                  </w:r>
                </w:p>
              </w:tc>
              <w:tc>
                <w:tcPr>
                  <w:tcW w:w="28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42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w:t>
                  </w:r>
                </w:p>
              </w:tc>
              <w:tc>
                <w:tcPr>
                  <w:tcW w:w="55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排放规律</w:t>
                  </w:r>
                </w:p>
              </w:tc>
              <w:tc>
                <w:tcPr>
                  <w:tcW w:w="1501"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blHeader/>
                <w:jc w:val="center"/>
              </w:trPr>
              <w:tc>
                <w:tcPr>
                  <w:tcW w:w="435"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355"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76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69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28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42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55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c>
                <w:tcPr>
                  <w:tcW w:w="1501"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blHeader/>
                <w:jc w:val="center"/>
              </w:trPr>
              <w:tc>
                <w:tcPr>
                  <w:tcW w:w="43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35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排水口</w:t>
                  </w:r>
                </w:p>
              </w:tc>
              <w:tc>
                <w:tcPr>
                  <w:tcW w:w="76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bCs/>
                      <w:color w:val="auto"/>
                      <w:sz w:val="18"/>
                      <w:szCs w:val="18"/>
                      <w:highlight w:val="none"/>
                    </w:rPr>
                    <w:t>126.35929979</w:t>
                  </w:r>
                </w:p>
              </w:tc>
              <w:tc>
                <w:tcPr>
                  <w:tcW w:w="69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bCs/>
                      <w:color w:val="auto"/>
                      <w:sz w:val="18"/>
                      <w:szCs w:val="18"/>
                      <w:highlight w:val="none"/>
                    </w:rPr>
                    <w:t>45.39019060</w:t>
                  </w:r>
                </w:p>
              </w:tc>
              <w:tc>
                <w:tcPr>
                  <w:tcW w:w="28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间接排放</w:t>
                  </w:r>
                </w:p>
              </w:tc>
              <w:tc>
                <w:tcPr>
                  <w:tcW w:w="420"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双城</w:t>
                  </w:r>
                  <w:r>
                    <w:rPr>
                      <w:rFonts w:hint="eastAsia" w:cs="Times New Roman"/>
                      <w:color w:val="auto"/>
                      <w:sz w:val="18"/>
                      <w:szCs w:val="18"/>
                      <w:highlight w:val="none"/>
                      <w:lang w:eastAsia="zh-CN"/>
                    </w:rPr>
                    <w:t>污水处理厂</w:t>
                  </w:r>
                </w:p>
              </w:tc>
              <w:tc>
                <w:tcPr>
                  <w:tcW w:w="55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间断排放，不规律</w:t>
                  </w:r>
                </w:p>
              </w:tc>
              <w:tc>
                <w:tcPr>
                  <w:tcW w:w="150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《肉类加工工业水污染物排放标准》（GB13457-92）表3中“肉制品加工”表3中三级标准</w:t>
                  </w:r>
                </w:p>
              </w:tc>
            </w:tr>
          </w:tbl>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4</w:t>
            </w:r>
            <w:r>
              <w:rPr>
                <w:rFonts w:hint="default" w:ascii="Times New Roman" w:hAnsi="Times New Roman" w:cs="Times New Roman"/>
                <w:bCs/>
                <w:color w:val="auto"/>
                <w:szCs w:val="21"/>
                <w:highlight w:val="none"/>
              </w:rPr>
              <w:t>）监测要求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w:t>
            </w:r>
            <w:r>
              <w:rPr>
                <w:rFonts w:hint="eastAsia"/>
                <w:color w:val="auto"/>
                <w:sz w:val="21"/>
                <w:szCs w:val="21"/>
                <w:highlight w:val="none"/>
                <w:lang w:val="en-US" w:eastAsia="zh-CN"/>
              </w:rPr>
              <w:t>《排污许可证申请与核发技术规范 农副食品加工工业-屠宰及肉类加工工业》（HJ860.3-2018）</w:t>
            </w:r>
            <w:r>
              <w:rPr>
                <w:rFonts w:hint="default" w:ascii="Times New Roman" w:hAnsi="Times New Roman" w:cs="Times New Roman"/>
                <w:bCs/>
                <w:color w:val="auto"/>
                <w:szCs w:val="21"/>
                <w:highlight w:val="none"/>
              </w:rPr>
              <w:t>，本项目废</w:t>
            </w:r>
            <w:r>
              <w:rPr>
                <w:rFonts w:hint="eastAsia" w:cs="Times New Roman"/>
                <w:bCs/>
                <w:color w:val="auto"/>
                <w:szCs w:val="21"/>
                <w:highlight w:val="none"/>
                <w:lang w:eastAsia="zh-CN"/>
              </w:rPr>
              <w:t>水</w:t>
            </w:r>
            <w:r>
              <w:rPr>
                <w:rFonts w:hint="default" w:ascii="Times New Roman" w:hAnsi="Times New Roman" w:cs="Times New Roman"/>
                <w:bCs/>
                <w:color w:val="auto"/>
                <w:szCs w:val="21"/>
                <w:highlight w:val="none"/>
              </w:rPr>
              <w:t>监测计划如下：</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14</w:t>
            </w:r>
            <w:r>
              <w:rPr>
                <w:rFonts w:hint="default" w:ascii="Times New Roman" w:hAnsi="Times New Roman" w:cs="Times New Roman"/>
                <w:b/>
                <w:color w:val="auto"/>
                <w:szCs w:val="21"/>
                <w:highlight w:val="none"/>
              </w:rPr>
              <w:t xml:space="preserve"> 监测要求</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3198"/>
              <w:gridCol w:w="268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监测点位</w:t>
                  </w:r>
                </w:p>
              </w:tc>
              <w:tc>
                <w:tcPr>
                  <w:tcW w:w="321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监测因子</w:t>
                  </w:r>
                </w:p>
              </w:tc>
              <w:tc>
                <w:tcPr>
                  <w:tcW w:w="269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监测频次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D</w:t>
                  </w:r>
                  <w:r>
                    <w:rPr>
                      <w:rFonts w:hint="eastAsia" w:cs="Times New Roman"/>
                      <w:bCs/>
                      <w:color w:val="auto"/>
                      <w:sz w:val="18"/>
                      <w:szCs w:val="18"/>
                      <w:highlight w:val="none"/>
                      <w:lang w:val="en-US" w:eastAsia="zh-CN"/>
                    </w:rPr>
                    <w:t>W</w:t>
                  </w:r>
                  <w:r>
                    <w:rPr>
                      <w:rFonts w:hint="default" w:ascii="Times New Roman" w:hAnsi="Times New Roman" w:cs="Times New Roman"/>
                      <w:bCs/>
                      <w:color w:val="auto"/>
                      <w:sz w:val="18"/>
                      <w:szCs w:val="18"/>
                      <w:highlight w:val="none"/>
                    </w:rPr>
                    <w:t>001</w:t>
                  </w:r>
                </w:p>
              </w:tc>
              <w:tc>
                <w:tcPr>
                  <w:tcW w:w="321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pH值、化学需氧量、氨氮、悬浮物、流量、</w:t>
                  </w:r>
                  <w:r>
                    <w:rPr>
                      <w:rFonts w:hint="default"/>
                      <w:color w:val="auto"/>
                      <w:sz w:val="18"/>
                      <w:szCs w:val="18"/>
                      <w:highlight w:val="none"/>
                    </w:rPr>
                    <w:t>总氮</w:t>
                  </w:r>
                  <w:r>
                    <w:rPr>
                      <w:rFonts w:hint="eastAsia"/>
                      <w:color w:val="auto"/>
                      <w:sz w:val="18"/>
                      <w:szCs w:val="18"/>
                      <w:highlight w:val="none"/>
                      <w:lang w:eastAsia="zh-CN"/>
                    </w:rPr>
                    <w:t>、</w:t>
                  </w:r>
                  <w:r>
                    <w:rPr>
                      <w:rFonts w:hint="default"/>
                      <w:color w:val="auto"/>
                      <w:sz w:val="18"/>
                      <w:szCs w:val="18"/>
                      <w:highlight w:val="none"/>
                    </w:rPr>
                    <w:t>五日生化需氧量</w:t>
                  </w:r>
                </w:p>
              </w:tc>
              <w:tc>
                <w:tcPr>
                  <w:tcW w:w="269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eastAsia="zh-CN"/>
                    </w:rPr>
                  </w:pPr>
                  <w:r>
                    <w:rPr>
                      <w:rFonts w:hint="default" w:ascii="Times New Roman" w:hAnsi="Times New Roman" w:cs="Times New Roman"/>
                      <w:bCs/>
                      <w:color w:val="auto"/>
                      <w:sz w:val="18"/>
                      <w:szCs w:val="18"/>
                      <w:highlight w:val="none"/>
                    </w:rPr>
                    <w:t>1次/</w:t>
                  </w:r>
                  <w:r>
                    <w:rPr>
                      <w:rFonts w:hint="eastAsia" w:cs="Times New Roman"/>
                      <w:bCs/>
                      <w:color w:val="auto"/>
                      <w:sz w:val="18"/>
                      <w:szCs w:val="18"/>
                      <w:highlight w:val="none"/>
                      <w:lang w:val="en-US" w:eastAsia="zh-CN"/>
                    </w:rPr>
                    <w:t>半</w:t>
                  </w:r>
                  <w:r>
                    <w:rPr>
                      <w:rFonts w:hint="eastAsia" w:cs="Times New Roman"/>
                      <w:bCs/>
                      <w:color w:val="auto"/>
                      <w:sz w:val="18"/>
                      <w:szCs w:val="18"/>
                      <w:highlight w:val="none"/>
                      <w:lang w:eastAsia="zh-CN"/>
                    </w:rPr>
                    <w:t>年</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（5）污水处理站</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本项目产生综合废水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厂区污水处理站（气浮+AO+MBR+消毒）</w:t>
            </w:r>
            <w:r>
              <w:rPr>
                <w:rFonts w:hint="default" w:ascii="Times New Roman" w:hAnsi="Times New Roman" w:cs="Times New Roman"/>
                <w:color w:val="auto"/>
                <w:sz w:val="21"/>
                <w:szCs w:val="21"/>
                <w:highlight w:val="none"/>
              </w:rPr>
              <w:t>处理后，满足《肉类加工工业水污染物排放标准》（GB13457-92）表3中“肉制品加工”表3中三级标准，经</w:t>
            </w:r>
            <w:r>
              <w:rPr>
                <w:rFonts w:hint="default" w:ascii="Times New Roman" w:hAnsi="Times New Roman" w:cs="Times New Roman"/>
                <w:color w:val="auto"/>
                <w:sz w:val="21"/>
                <w:szCs w:val="21"/>
                <w:highlight w:val="none"/>
                <w:lang w:val="en-US" w:eastAsia="zh-CN"/>
              </w:rPr>
              <w:t>双城</w:t>
            </w:r>
            <w:r>
              <w:rPr>
                <w:rFonts w:hint="default" w:ascii="Times New Roman" w:hAnsi="Times New Roman" w:cs="Times New Roman"/>
                <w:color w:val="auto"/>
                <w:sz w:val="21"/>
                <w:szCs w:val="21"/>
                <w:highlight w:val="none"/>
              </w:rPr>
              <w:t>污水处理厂处理</w:t>
            </w:r>
            <w:r>
              <w:rPr>
                <w:rFonts w:hint="default" w:ascii="Times New Roman" w:hAnsi="Times New Roman" w:cs="Times New Roman"/>
                <w:color w:val="auto"/>
                <w:sz w:val="21"/>
                <w:szCs w:val="21"/>
                <w:highlight w:val="none"/>
                <w:lang w:val="en-US" w:eastAsia="zh-CN"/>
              </w:rPr>
              <w:t>达标</w:t>
            </w:r>
            <w:r>
              <w:rPr>
                <w:rFonts w:hint="default" w:ascii="Times New Roman" w:hAnsi="Times New Roman" w:cs="Times New Roman"/>
                <w:color w:val="auto"/>
                <w:sz w:val="21"/>
                <w:szCs w:val="21"/>
                <w:highlight w:val="none"/>
              </w:rPr>
              <w:t>后排入</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污水处理站处理规模为150m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/d，</w:t>
            </w:r>
            <w:r>
              <w:rPr>
                <w:rFonts w:hint="default" w:ascii="Times New Roman" w:hAnsi="Times New Roman" w:cs="Times New Roman"/>
                <w:color w:val="auto"/>
                <w:sz w:val="21"/>
                <w:szCs w:val="21"/>
                <w:highlight w:val="none"/>
                <w:lang w:val="en-US" w:eastAsia="zh-CN"/>
              </w:rPr>
              <w:t>进水水质：COD1500~2000mg/L、BOD800~1000mg/L、SS500mg/L、NH3/N 110mg/L、动植物油</w:t>
            </w:r>
            <w:r>
              <w:rPr>
                <w:rFonts w:hint="default" w:ascii="Times New Roman" w:hAnsi="Times New Roman" w:cs="Times New Roman"/>
                <w:color w:val="auto"/>
                <w:sz w:val="24"/>
                <w:szCs w:val="24"/>
                <w:highlight w:val="none"/>
                <w:lang w:val="en-US" w:eastAsia="zh-CN"/>
              </w:rPr>
              <w:t>200</w:t>
            </w:r>
            <w:r>
              <w:rPr>
                <w:rFonts w:hint="default" w:ascii="Times New Roman" w:hAnsi="Times New Roman" w:cs="Times New Roman"/>
                <w:color w:val="auto"/>
                <w:sz w:val="21"/>
                <w:szCs w:val="21"/>
                <w:highlight w:val="none"/>
                <w:lang w:val="en-US" w:eastAsia="zh-CN"/>
              </w:rPr>
              <w:t>mg/L、PH 6~9；出水水质：COD300mg/L、 BOD50mg/L、SS20mg/L、NH3/N30mg/L、动植物油20mg/L、</w:t>
            </w:r>
            <w:r>
              <w:rPr>
                <w:rFonts w:hint="eastAsia" w:cs="Times New Roman"/>
                <w:color w:val="auto"/>
                <w:sz w:val="21"/>
                <w:szCs w:val="21"/>
                <w:highlight w:val="none"/>
                <w:lang w:val="en-US" w:eastAsia="zh-CN"/>
              </w:rPr>
              <w:t>p</w:t>
            </w:r>
            <w:r>
              <w:rPr>
                <w:rFonts w:hint="default" w:ascii="Times New Roman" w:hAnsi="Times New Roman" w:cs="Times New Roman"/>
                <w:color w:val="auto"/>
                <w:sz w:val="21"/>
                <w:szCs w:val="21"/>
                <w:highlight w:val="none"/>
                <w:lang w:val="en-US" w:eastAsia="zh-CN"/>
              </w:rPr>
              <w:t>H6~9，</w:t>
            </w:r>
            <w:r>
              <w:rPr>
                <w:rFonts w:hint="default" w:ascii="Times New Roman" w:hAnsi="Times New Roman" w:cs="Times New Roman"/>
                <w:color w:val="auto"/>
                <w:sz w:val="21"/>
                <w:szCs w:val="21"/>
                <w:highlight w:val="none"/>
                <w:vertAlign w:val="baseline"/>
                <w:lang w:val="en-US" w:eastAsia="zh-CN"/>
              </w:rPr>
              <w:t>废水处理工艺为</w:t>
            </w:r>
            <w:r>
              <w:rPr>
                <w:rFonts w:hint="default" w:ascii="Times New Roman" w:hAnsi="Times New Roman" w:cs="Times New Roman"/>
                <w:color w:val="auto"/>
                <w:sz w:val="21"/>
                <w:szCs w:val="21"/>
                <w:highlight w:val="none"/>
                <w:lang w:val="en-US" w:eastAsia="zh-CN"/>
              </w:rPr>
              <w:t>气浮+AO+MBR+消毒</w:t>
            </w:r>
            <w:r>
              <w:rPr>
                <w:rFonts w:hint="eastAsia" w:cs="Times New Roman"/>
                <w:color w:val="auto"/>
                <w:sz w:val="21"/>
                <w:szCs w:val="21"/>
                <w:highlight w:val="none"/>
                <w:lang w:val="en-US" w:eastAsia="zh-CN"/>
              </w:rPr>
              <w:t>，消毒剂采用二氧化氯直接投加</w:t>
            </w:r>
            <w:r>
              <w:rPr>
                <w:rFonts w:hint="eastAsia" w:cs="Times New Roman"/>
                <w:color w:val="auto"/>
                <w:sz w:val="18"/>
                <w:szCs w:val="18"/>
                <w:highlight w:val="none"/>
                <w:vertAlign w:val="baseline"/>
                <w:lang w:val="en-US" w:eastAsia="zh-CN"/>
              </w:rPr>
              <w:t>，</w:t>
            </w:r>
            <w:r>
              <w:rPr>
                <w:rFonts w:hint="default"/>
                <w:color w:val="auto"/>
                <w:sz w:val="21"/>
                <w:szCs w:val="21"/>
                <w:highlight w:val="none"/>
              </w:rPr>
              <w:t>二氧化氯消毒粉剂</w:t>
            </w:r>
            <w:r>
              <w:rPr>
                <w:rFonts w:hint="eastAsia"/>
                <w:color w:val="auto"/>
                <w:sz w:val="21"/>
                <w:szCs w:val="21"/>
                <w:highlight w:val="none"/>
                <w:lang w:eastAsia="zh-CN"/>
              </w:rPr>
              <w:t>袋装</w:t>
            </w:r>
            <w:r>
              <w:rPr>
                <w:rFonts w:hint="default"/>
                <w:color w:val="auto"/>
                <w:sz w:val="21"/>
                <w:szCs w:val="21"/>
                <w:highlight w:val="none"/>
              </w:rPr>
              <w:t>储存量180kg</w:t>
            </w:r>
            <w:r>
              <w:rPr>
                <w:rFonts w:hint="eastAsia"/>
                <w:color w:val="auto"/>
                <w:sz w:val="21"/>
                <w:szCs w:val="21"/>
                <w:highlight w:val="none"/>
                <w:lang w:eastAsia="zh-CN"/>
              </w:rPr>
              <w:t>，</w:t>
            </w:r>
            <w:r>
              <w:rPr>
                <w:rFonts w:hint="eastAsia" w:cs="Times New Roman"/>
                <w:color w:val="auto"/>
                <w:sz w:val="21"/>
                <w:szCs w:val="21"/>
                <w:highlight w:val="none"/>
                <w:lang w:val="en-US" w:eastAsia="zh-CN"/>
              </w:rPr>
              <w:t>存储于加药间</w:t>
            </w:r>
            <w:r>
              <w:rPr>
                <w:rFonts w:hint="eastAsia"/>
                <w:color w:val="auto"/>
                <w:sz w:val="21"/>
                <w:szCs w:val="21"/>
                <w:highlight w:val="none"/>
                <w:lang w:eastAsia="zh-CN"/>
              </w:rPr>
              <w:t>。</w:t>
            </w:r>
            <w:r>
              <w:rPr>
                <w:rFonts w:hint="eastAsia" w:ascii="Times New Roman" w:hAnsi="Times New Roman" w:cs="Times New Roman"/>
                <w:color w:val="auto"/>
                <w:sz w:val="21"/>
                <w:szCs w:val="21"/>
                <w:highlight w:val="none"/>
                <w:vertAlign w:val="baseline"/>
                <w:lang w:val="en-US" w:eastAsia="zh-CN"/>
              </w:rPr>
              <w:t>事故池容积为</w:t>
            </w:r>
            <w:r>
              <w:rPr>
                <w:rFonts w:hint="eastAsia" w:cs="Times New Roman"/>
                <w:color w:val="auto"/>
                <w:sz w:val="21"/>
                <w:szCs w:val="21"/>
                <w:highlight w:val="none"/>
                <w:vertAlign w:val="baseline"/>
                <w:lang w:val="en-US" w:eastAsia="zh-CN"/>
              </w:rPr>
              <w:t>15</w:t>
            </w:r>
            <w:r>
              <w:rPr>
                <w:rFonts w:hint="eastAsia" w:ascii="Times New Roman" w:hAnsi="Times New Roman" w:cs="Times New Roman"/>
                <w:color w:val="auto"/>
                <w:sz w:val="21"/>
                <w:szCs w:val="21"/>
                <w:highlight w:val="none"/>
                <w:vertAlign w:val="baseline"/>
                <w:lang w:val="en-US" w:eastAsia="zh-CN"/>
              </w:rPr>
              <w:t>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lang w:eastAsia="zh-CN"/>
              </w:rPr>
              <w:t>AO工艺即缺氧好氧工艺，是一种改进型的采用活性污泥法的污水处理工艺，不仅可以降解有机物，还具有一定的除磷脱氮效果。</w:t>
            </w:r>
            <w:r>
              <w:rPr>
                <w:rFonts w:hint="default" w:ascii="Times New Roman" w:hAnsi="Times New Roman" w:cs="Times New Roman"/>
                <w:color w:val="auto"/>
                <w:sz w:val="21"/>
                <w:szCs w:val="21"/>
                <w:highlight w:val="none"/>
                <w:vertAlign w:val="baseline"/>
                <w:lang w:val="en-US" w:eastAsia="zh-CN"/>
              </w:rPr>
              <w:t>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排污许可证申请与核发技术规范</w:t>
            </w:r>
            <w:r>
              <w:rPr>
                <w:rFonts w:hint="default"/>
                <w:color w:val="auto"/>
                <w:sz w:val="21"/>
                <w:szCs w:val="21"/>
                <w:highlight w:val="none"/>
              </w:rPr>
              <w:t>农副产品加工工业-屠宰及肉类加工工业》（HJ860.3-2018）</w:t>
            </w:r>
            <w:r>
              <w:rPr>
                <w:rFonts w:hint="default" w:ascii="Times New Roman" w:hAnsi="Times New Roman" w:eastAsia="宋体" w:cs="Times New Roman"/>
                <w:color w:val="auto"/>
                <w:sz w:val="21"/>
                <w:szCs w:val="21"/>
                <w:highlight w:val="none"/>
                <w:lang w:val="en-US" w:eastAsia="zh-CN"/>
              </w:rPr>
              <w:t>表</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中要求的废水处理可行技术。具体见下表。</w:t>
            </w:r>
          </w:p>
          <w:p>
            <w:pPr>
              <w:keepNext w:val="0"/>
              <w:keepLines w:val="0"/>
              <w:widowControl/>
              <w:suppressLineNumbers w:val="0"/>
              <w:spacing w:before="0" w:beforeAutospacing="0" w:after="0" w:afterAutospacing="0" w:line="240" w:lineRule="auto"/>
              <w:ind w:left="0" w:right="0"/>
              <w:jc w:val="center"/>
              <w:rPr>
                <w:rFonts w:hint="eastAsia"/>
                <w:b/>
                <w:bCs/>
                <w:color w:val="auto"/>
                <w:sz w:val="21"/>
                <w:szCs w:val="21"/>
                <w:highlight w:val="none"/>
                <w:lang w:val="en-US" w:eastAsia="zh-CN"/>
              </w:rPr>
            </w:pPr>
          </w:p>
          <w:p>
            <w:pPr>
              <w:keepNext w:val="0"/>
              <w:keepLines w:val="0"/>
              <w:widowControl/>
              <w:suppressLineNumbers w:val="0"/>
              <w:spacing w:before="0" w:beforeAutospacing="0" w:after="0" w:afterAutospacing="0" w:line="240" w:lineRule="auto"/>
              <w:ind w:left="0" w:right="0"/>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 xml:space="preserve">表4-15 </w:t>
            </w:r>
            <w:r>
              <w:rPr>
                <w:rFonts w:hint="default" w:ascii="宋体-WinCharSetFFFF-H" w:hAnsi="宋体-WinCharSetFFFF-H" w:eastAsia="宋体-WinCharSetFFFF-H" w:cs="宋体-WinCharSetFFFF-H"/>
                <w:b/>
                <w:bCs/>
                <w:color w:val="auto"/>
                <w:kern w:val="0"/>
                <w:sz w:val="21"/>
                <w:szCs w:val="21"/>
                <w:highlight w:val="none"/>
                <w:lang w:val="en-US" w:eastAsia="zh-CN" w:bidi="ar"/>
              </w:rPr>
              <w:t>废水处理可行技术参考对照分析表</w:t>
            </w:r>
          </w:p>
          <w:tbl>
            <w:tblPr>
              <w:tblStyle w:val="33"/>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1"/>
              <w:gridCol w:w="1190"/>
              <w:gridCol w:w="2546"/>
              <w:gridCol w:w="1446"/>
              <w:gridCol w:w="6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2"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废水类别</w:t>
                  </w:r>
                </w:p>
              </w:tc>
              <w:tc>
                <w:tcPr>
                  <w:tcW w:w="1185"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污染物项目</w:t>
                  </w:r>
                </w:p>
              </w:tc>
              <w:tc>
                <w:tcPr>
                  <w:tcW w:w="2535"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可行技术</w:t>
                  </w:r>
                </w:p>
              </w:tc>
              <w:tc>
                <w:tcPr>
                  <w:tcW w:w="1440"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本项目采用的废水处理措施</w:t>
                  </w:r>
                </w:p>
              </w:tc>
              <w:tc>
                <w:tcPr>
                  <w:tcW w:w="692"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是否可行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52" w:type="dxa"/>
                  <w:vAlign w:val="center"/>
                </w:tcPr>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厂内综合污水处理站的</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综合污水、专门处理屠宰</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及肉类加工废水的集中</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式污水处理厂综合污水（天然肠衣加工生产废</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水、畜禽油脂加工废水生</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产废水、生活污水、初期</w:t>
                  </w:r>
                </w:p>
                <w:p>
                  <w:pPr>
                    <w:keepNext w:val="0"/>
                    <w:keepLines w:val="0"/>
                    <w:widowControl/>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雨水等）</w:t>
                  </w:r>
                </w:p>
              </w:tc>
              <w:tc>
                <w:tcPr>
                  <w:tcW w:w="1185" w:type="dxa"/>
                  <w:vAlign w:val="center"/>
                </w:tcPr>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 xml:space="preserve">pH </w:t>
                  </w:r>
                  <w:r>
                    <w:rPr>
                      <w:rFonts w:hint="eastAsia" w:ascii="宋体" w:hAnsi="宋体" w:eastAsia="宋体" w:cs="宋体"/>
                      <w:color w:val="auto"/>
                      <w:kern w:val="0"/>
                      <w:sz w:val="18"/>
                      <w:szCs w:val="18"/>
                      <w:highlight w:val="none"/>
                      <w:lang w:val="en-US" w:eastAsia="zh-CN" w:bidi="ar"/>
                    </w:rPr>
                    <w:t>值、化学需氧量、五</w:t>
                  </w:r>
                </w:p>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日生化需氧量、悬浮物、</w:t>
                  </w:r>
                </w:p>
                <w:p>
                  <w:pPr>
                    <w:keepNext w:val="0"/>
                    <w:keepLines w:val="0"/>
                    <w:widowControl/>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氨氮、动植物油</w:t>
                  </w:r>
                </w:p>
              </w:tc>
              <w:tc>
                <w:tcPr>
                  <w:tcW w:w="2535" w:type="dxa"/>
                  <w:vAlign w:val="center"/>
                </w:tcPr>
                <w:p>
                  <w:pPr>
                    <w:keepNext w:val="0"/>
                    <w:keepLines w:val="0"/>
                    <w:widowControl/>
                    <w:suppressLineNumbers w:val="0"/>
                    <w:spacing w:before="0" w:beforeAutospacing="0" w:after="0" w:afterAutospacing="0"/>
                    <w:ind w:left="0" w:right="0"/>
                    <w:jc w:val="center"/>
                    <w:rPr>
                      <w:rFonts w:hint="default"/>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）预处理：粗（细）格栅；平流或旋流式沉砂、竖流或辐流式沉淀、混凝沉淀；斜板或平流式隔油池；气浮。</w:t>
                  </w:r>
                </w:p>
                <w:p>
                  <w:pPr>
                    <w:keepNext w:val="0"/>
                    <w:keepLines w:val="0"/>
                    <w:widowControl/>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）生化法处理：活性污泥法、氧化沟法及其各类改型工艺。</w:t>
                  </w:r>
                </w:p>
              </w:tc>
              <w:tc>
                <w:tcPr>
                  <w:tcW w:w="1440"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气浮+AO+MBR+消毒</w:t>
                  </w:r>
                </w:p>
              </w:tc>
              <w:tc>
                <w:tcPr>
                  <w:tcW w:w="692" w:type="dxa"/>
                  <w:vAlign w:val="center"/>
                </w:tcPr>
                <w:p>
                  <w:pPr>
                    <w:pStyle w:val="3"/>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可行</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420" w:leftChars="200" w:right="0" w:rightChars="0"/>
              <w:textAlignment w:val="auto"/>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rPr>
              <w:t>依托可行性分析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双城</w:t>
            </w:r>
            <w:r>
              <w:rPr>
                <w:rFonts w:hint="default" w:ascii="Times New Roman" w:hAnsi="Times New Roman" w:eastAsia="宋体" w:cs="Times New Roman"/>
                <w:color w:val="auto"/>
                <w:kern w:val="0"/>
                <w:sz w:val="21"/>
                <w:szCs w:val="21"/>
                <w:highlight w:val="none"/>
                <w:lang w:eastAsia="zh-CN"/>
              </w:rPr>
              <w:t>污水处理厂（</w:t>
            </w:r>
            <w:r>
              <w:rPr>
                <w:rFonts w:hint="default" w:ascii="Times New Roman" w:hAnsi="Times New Roman" w:eastAsia="宋体" w:cs="Times New Roman"/>
                <w:color w:val="auto"/>
                <w:sz w:val="21"/>
                <w:szCs w:val="21"/>
                <w:highlight w:val="none"/>
                <w:lang w:val="en-US" w:eastAsia="zh-CN"/>
              </w:rPr>
              <w:t>双城通达供排水有限公司），</w:t>
            </w:r>
            <w:r>
              <w:rPr>
                <w:rFonts w:hint="default" w:ascii="Times New Roman" w:hAnsi="Times New Roman" w:eastAsia="宋体" w:cs="Times New Roman"/>
                <w:color w:val="auto"/>
                <w:sz w:val="21"/>
                <w:szCs w:val="21"/>
                <w:highlight w:val="none"/>
              </w:rPr>
              <w:t>处理规模为</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万吨/日</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设计进水水质：COD：</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0mg/L、BOD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：160 mg/L、SS：300mg/L、氨氮：</w:t>
            </w:r>
            <w:r>
              <w:rPr>
                <w:rFonts w:hint="default" w:ascii="Times New Roman" w:hAnsi="Times New Roman" w:eastAsia="宋体"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mg/L</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总磷6</w:t>
            </w:r>
            <w:r>
              <w:rPr>
                <w:rFonts w:hint="default" w:ascii="Times New Roman" w:hAnsi="Times New Roman" w:eastAsia="宋体" w:cs="Times New Roman"/>
                <w:color w:val="auto"/>
                <w:sz w:val="21"/>
                <w:szCs w:val="21"/>
                <w:highlight w:val="none"/>
              </w:rPr>
              <w:t>mg/L</w:t>
            </w:r>
            <w:r>
              <w:rPr>
                <w:rFonts w:hint="eastAsia" w:cs="Times New Roman"/>
                <w:color w:val="auto"/>
                <w:sz w:val="21"/>
                <w:szCs w:val="21"/>
                <w:highlight w:val="none"/>
                <w:lang w:val="en-US" w:eastAsia="zh-CN"/>
              </w:rPr>
              <w:t>、总氮50</w:t>
            </w:r>
            <w:r>
              <w:rPr>
                <w:rFonts w:hint="default" w:ascii="Times New Roman" w:hAnsi="Times New Roman" w:eastAsia="宋体" w:cs="Times New Roman"/>
                <w:color w:val="auto"/>
                <w:sz w:val="21"/>
                <w:szCs w:val="21"/>
                <w:highlight w:val="none"/>
              </w:rPr>
              <w:t>mg/L，</w:t>
            </w:r>
            <w:r>
              <w:rPr>
                <w:rFonts w:hint="default" w:ascii="Times New Roman" w:hAnsi="Times New Roman" w:eastAsia="宋体" w:cs="Times New Roman"/>
                <w:color w:val="auto"/>
                <w:sz w:val="21"/>
                <w:szCs w:val="21"/>
                <w:highlight w:val="none"/>
                <w:lang w:val="en-US" w:eastAsia="zh-CN"/>
              </w:rPr>
              <w:t>本项目排水量为1</w:t>
            </w:r>
            <w:r>
              <w:rPr>
                <w:rFonts w:hint="eastAsia" w:cs="Times New Roman"/>
                <w:color w:val="auto"/>
                <w:sz w:val="21"/>
                <w:szCs w:val="21"/>
                <w:highlight w:val="none"/>
                <w:lang w:val="en-US" w:eastAsia="zh-CN"/>
              </w:rPr>
              <w:t>59</w:t>
            </w:r>
            <w:r>
              <w:rPr>
                <w:rFonts w:hint="default" w:ascii="Times New Roman" w:hAnsi="Times New Roman" w:eastAsia="宋体" w:cs="Times New Roman"/>
                <w:color w:val="auto"/>
                <w:sz w:val="21"/>
                <w:szCs w:val="21"/>
                <w:highlight w:val="none"/>
                <w:lang w:val="en-US" w:eastAsia="zh-CN"/>
              </w:rPr>
              <w:t>t/d，</w:t>
            </w:r>
            <w:r>
              <w:rPr>
                <w:rFonts w:hint="default" w:ascii="Times New Roman" w:hAnsi="Times New Roman" w:eastAsia="宋体" w:cs="Times New Roman"/>
                <w:color w:val="auto"/>
                <w:sz w:val="21"/>
                <w:szCs w:val="21"/>
                <w:highlight w:val="none"/>
              </w:rPr>
              <w:t>污水处理厂有能力接收本项目废水</w:t>
            </w:r>
            <w:r>
              <w:rPr>
                <w:rFonts w:hint="default" w:ascii="Times New Roman" w:hAnsi="Times New Roman" w:eastAsia="宋体" w:cs="Times New Roman"/>
                <w:color w:val="auto"/>
                <w:sz w:val="21"/>
                <w:szCs w:val="21"/>
                <w:highlight w:val="none"/>
                <w:lang w:val="en-US" w:eastAsia="zh-CN"/>
              </w:rPr>
              <w:t>且排放浓度满足双城污水厂进水水质，日处理量占比较小，</w:t>
            </w:r>
            <w:r>
              <w:rPr>
                <w:rFonts w:hint="default" w:ascii="Times New Roman" w:hAnsi="Times New Roman" w:eastAsia="宋体" w:cs="Times New Roman"/>
                <w:color w:val="auto"/>
                <w:sz w:val="21"/>
                <w:szCs w:val="21"/>
                <w:highlight w:val="none"/>
              </w:rPr>
              <w:t>因此依托可行</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7</w:t>
            </w:r>
            <w:r>
              <w:rPr>
                <w:rFonts w:hint="default" w:ascii="Times New Roman" w:hAnsi="Times New Roman" w:cs="Times New Roman"/>
                <w:bCs/>
                <w:color w:val="auto"/>
                <w:spacing w:val="0"/>
                <w:sz w:val="21"/>
                <w:szCs w:val="21"/>
                <w:highlight w:val="none"/>
              </w:rPr>
              <w:t>）</w:t>
            </w:r>
            <w:r>
              <w:rPr>
                <w:rFonts w:hint="default"/>
                <w:bCs/>
                <w:color w:val="auto"/>
                <w:spacing w:val="0"/>
                <w:sz w:val="21"/>
                <w:szCs w:val="21"/>
                <w:highlight w:val="none"/>
              </w:rPr>
              <w:t>环境影响分析</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宋体" w:hAnsi="宋体" w:cs="宋体"/>
                <w:color w:val="auto"/>
                <w:spacing w:val="0"/>
                <w:kern w:val="24"/>
                <w:sz w:val="21"/>
                <w:szCs w:val="21"/>
                <w:highlight w:val="none"/>
              </w:rPr>
            </w:pPr>
            <w:r>
              <w:rPr>
                <w:rFonts w:hint="default" w:ascii="Times New Roman" w:hAnsi="Times New Roman" w:cs="Times New Roman"/>
                <w:color w:val="auto"/>
                <w:sz w:val="21"/>
                <w:szCs w:val="21"/>
                <w:highlight w:val="none"/>
                <w:lang w:val="en-US" w:eastAsia="zh-CN"/>
              </w:rPr>
              <w:t>本项目产生综合废水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厂区污水处理站（气浮+AO+MBR+消毒）</w:t>
            </w:r>
            <w:r>
              <w:rPr>
                <w:rFonts w:hint="default" w:ascii="Times New Roman" w:hAnsi="Times New Roman" w:cs="Times New Roman"/>
                <w:color w:val="auto"/>
                <w:sz w:val="21"/>
                <w:szCs w:val="21"/>
                <w:highlight w:val="none"/>
              </w:rPr>
              <w:t>处理后，满足《肉类加工工业水污染物排放标准》（GB13457-92）表3中“肉制品加工”三级标准</w:t>
            </w:r>
            <w:r>
              <w:rPr>
                <w:rFonts w:hint="eastAsia" w:cs="Times New Roman"/>
                <w:color w:val="auto"/>
                <w:sz w:val="21"/>
                <w:szCs w:val="21"/>
                <w:highlight w:val="none"/>
                <w:lang w:val="en-US" w:eastAsia="zh-CN"/>
              </w:rPr>
              <w:t>及污水处理厂进水指标</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双城</w:t>
            </w:r>
            <w:r>
              <w:rPr>
                <w:rFonts w:hint="default" w:ascii="Times New Roman" w:hAnsi="Times New Roman" w:cs="Times New Roman"/>
                <w:color w:val="auto"/>
                <w:sz w:val="21"/>
                <w:szCs w:val="21"/>
                <w:highlight w:val="none"/>
              </w:rPr>
              <w:t>污水处理厂处理</w:t>
            </w:r>
            <w:r>
              <w:rPr>
                <w:rFonts w:hint="default" w:ascii="Times New Roman" w:hAnsi="Times New Roman" w:cs="Times New Roman"/>
                <w:color w:val="auto"/>
                <w:sz w:val="21"/>
                <w:szCs w:val="21"/>
                <w:highlight w:val="none"/>
                <w:lang w:val="en-US" w:eastAsia="zh-CN"/>
              </w:rPr>
              <w:t>达标</w:t>
            </w:r>
            <w:r>
              <w:rPr>
                <w:rFonts w:hint="default" w:ascii="Times New Roman" w:hAnsi="Times New Roman" w:cs="Times New Roman"/>
                <w:color w:val="auto"/>
                <w:sz w:val="21"/>
                <w:szCs w:val="21"/>
                <w:highlight w:val="none"/>
              </w:rPr>
              <w:t>后排入</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cs="Times New Roman"/>
                <w:color w:val="auto"/>
                <w:sz w:val="21"/>
                <w:szCs w:val="21"/>
                <w:highlight w:val="none"/>
              </w:rPr>
              <w:t>。</w:t>
            </w:r>
            <w:r>
              <w:rPr>
                <w:rFonts w:hint="eastAsia" w:ascii="宋体" w:hAnsi="宋体" w:cs="宋体"/>
                <w:color w:val="auto"/>
                <w:spacing w:val="0"/>
                <w:kern w:val="24"/>
                <w:sz w:val="21"/>
                <w:szCs w:val="21"/>
                <w:highlight w:val="none"/>
              </w:rPr>
              <w:t>本项目产生的污水经处理后对地表水体环境影响较小。</w:t>
            </w:r>
          </w:p>
          <w:p>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lang w:eastAsia="zh-CN"/>
              </w:rPr>
              <w:t>（</w:t>
            </w:r>
            <w:r>
              <w:rPr>
                <w:rFonts w:hint="eastAsia" w:cs="Times New Roman"/>
                <w:color w:val="auto"/>
                <w:kern w:val="21"/>
                <w:sz w:val="21"/>
                <w:szCs w:val="21"/>
                <w:highlight w:val="none"/>
                <w:lang w:val="en-US" w:eastAsia="zh-CN"/>
              </w:rPr>
              <w:t>8</w:t>
            </w:r>
            <w:r>
              <w:rPr>
                <w:rFonts w:hint="default" w:ascii="Times New Roman" w:hAnsi="Times New Roman" w:eastAsia="宋体" w:cs="Times New Roman"/>
                <w:color w:val="auto"/>
                <w:kern w:val="21"/>
                <w:sz w:val="21"/>
                <w:szCs w:val="21"/>
                <w:highlight w:val="none"/>
                <w:lang w:val="en-US" w:eastAsia="zh-CN"/>
              </w:rPr>
              <w:t>）</w:t>
            </w:r>
            <w:r>
              <w:rPr>
                <w:rFonts w:hint="default" w:ascii="Times New Roman" w:hAnsi="Times New Roman" w:eastAsia="宋体" w:cs="Times New Roman"/>
                <w:color w:val="auto"/>
                <w:kern w:val="21"/>
                <w:sz w:val="21"/>
                <w:szCs w:val="21"/>
                <w:highlight w:val="none"/>
              </w:rPr>
              <w:t>废水其他管理要求</w:t>
            </w:r>
          </w:p>
          <w:p>
            <w:pPr>
              <w:pStyle w:val="2"/>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总余氯的控制措施：</w:t>
            </w:r>
            <w:r>
              <w:rPr>
                <w:rFonts w:hint="default" w:ascii="Times New Roman" w:hAnsi="Times New Roman" w:eastAsia="宋体" w:cs="Times New Roman"/>
                <w:color w:val="auto"/>
                <w:kern w:val="21"/>
                <w:sz w:val="21"/>
                <w:szCs w:val="21"/>
                <w:highlight w:val="none"/>
              </w:rPr>
              <w:t>消毒接触池的接触时间≥1.5小时，余氯量大于6.5mg/L（以游离氯计），粪大肠菌群数&lt;100个/L，消毒接触池的接触时间接触时间为1.0小时的，余氯大于10mg/L（以游离氯计），参考有效氯投加量为80mg/L，粪大肠菌群数&lt;100个/L；若接触时间不足1.0小时的，投氯量与余氯还需适当加大。</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（1）噪声污染源源强核算结果及相关参数见表4-</w:t>
            </w:r>
            <w:r>
              <w:rPr>
                <w:rFonts w:hint="eastAsia" w:cs="Times New Roman"/>
                <w:bCs/>
                <w:color w:val="auto"/>
                <w:szCs w:val="21"/>
                <w:highlight w:val="none"/>
                <w:lang w:val="en-US" w:eastAsia="zh-CN"/>
              </w:rPr>
              <w:t>16</w:t>
            </w:r>
            <w:r>
              <w:rPr>
                <w:rFonts w:hint="default" w:ascii="Times New Roman" w:hAnsi="Times New Roman" w:cs="Times New Roman"/>
                <w:bCs/>
                <w:color w:val="auto"/>
                <w:szCs w:val="21"/>
                <w:highlight w:val="none"/>
              </w:rPr>
              <w:t>。</w:t>
            </w:r>
          </w:p>
          <w:p>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ascii="Times New Roman" w:hAnsi="Times New Roman" w:eastAsia="宋体" w:cs="Times New Roman"/>
                <w:b/>
                <w:color w:val="auto"/>
                <w:spacing w:val="0"/>
                <w:kern w:val="2"/>
                <w:sz w:val="21"/>
                <w:szCs w:val="21"/>
                <w:highlight w:val="none"/>
                <w:lang w:val="en-US" w:eastAsia="zh-CN" w:bidi="ar-SA"/>
              </w:rPr>
              <w:t>表4-</w:t>
            </w:r>
            <w:r>
              <w:rPr>
                <w:rFonts w:hint="eastAsia" w:cs="Times New Roman"/>
                <w:b/>
                <w:color w:val="auto"/>
                <w:spacing w:val="0"/>
                <w:kern w:val="2"/>
                <w:sz w:val="21"/>
                <w:szCs w:val="21"/>
                <w:highlight w:val="none"/>
                <w:lang w:val="en-US" w:eastAsia="zh-CN" w:bidi="ar-SA"/>
              </w:rPr>
              <w:t xml:space="preserve">16 </w:t>
            </w:r>
            <w:r>
              <w:rPr>
                <w:rFonts w:hint="default"/>
                <w:b/>
                <w:color w:val="auto"/>
                <w:szCs w:val="21"/>
                <w:highlight w:val="none"/>
              </w:rPr>
              <w:t>污染源源强核算结果及相关参数一览表</w:t>
            </w:r>
            <w:r>
              <w:rPr>
                <w:rFonts w:hint="eastAsia"/>
                <w:b/>
                <w:color w:val="auto"/>
                <w:szCs w:val="21"/>
                <w:highlight w:val="none"/>
                <w:lang w:eastAsia="zh-CN"/>
              </w:rPr>
              <w:t>（室内声源）</w:t>
            </w:r>
          </w:p>
          <w:tbl>
            <w:tblPr>
              <w:tblStyle w:val="32"/>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
              <w:gridCol w:w="707"/>
              <w:gridCol w:w="958"/>
              <w:gridCol w:w="364"/>
              <w:gridCol w:w="784"/>
              <w:gridCol w:w="710"/>
              <w:gridCol w:w="367"/>
              <w:gridCol w:w="354"/>
              <w:gridCol w:w="369"/>
              <w:gridCol w:w="526"/>
              <w:gridCol w:w="551"/>
              <w:gridCol w:w="502"/>
              <w:gridCol w:w="502"/>
              <w:gridCol w:w="502"/>
              <w:gridCol w:w="502"/>
            </w:tblGrid>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vMerge w:val="restart"/>
                  <w:tcBorders>
                    <w:left w:val="nil"/>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序号</w:t>
                  </w:r>
                </w:p>
              </w:tc>
              <w:tc>
                <w:tcPr>
                  <w:tcW w:w="439" w:type="pct"/>
                  <w:vMerge w:val="restart"/>
                  <w:tcBorders>
                    <w:left w:val="nil"/>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eastAsia="zh-CN"/>
                    </w:rPr>
                    <w:t>建筑物名称</w:t>
                  </w:r>
                </w:p>
              </w:tc>
              <w:tc>
                <w:tcPr>
                  <w:tcW w:w="595" w:type="pct"/>
                  <w:vMerge w:val="restart"/>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eastAsia="zh-CN"/>
                    </w:rPr>
                    <w:t>声源名称</w:t>
                  </w:r>
                </w:p>
              </w:tc>
              <w:tc>
                <w:tcPr>
                  <w:tcW w:w="226" w:type="pct"/>
                  <w:vMerge w:val="restart"/>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数量</w:t>
                  </w:r>
                </w:p>
              </w:tc>
              <w:tc>
                <w:tcPr>
                  <w:tcW w:w="487" w:type="pct"/>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ascii="宋体" w:hAnsi="宋体" w:cs="宋体"/>
                      <w:color w:val="auto"/>
                      <w:sz w:val="18"/>
                      <w:szCs w:val="18"/>
                      <w:highlight w:val="none"/>
                      <w:lang w:val="en-US" w:eastAsia="zh-CN"/>
                    </w:rPr>
                    <w:t>声源源强</w:t>
                  </w:r>
                </w:p>
              </w:tc>
              <w:tc>
                <w:tcPr>
                  <w:tcW w:w="441" w:type="pct"/>
                  <w:vMerge w:val="restart"/>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r>
                    <w:rPr>
                      <w:rFonts w:hint="eastAsia" w:ascii="宋体" w:hAnsi="宋体" w:cs="宋体"/>
                      <w:color w:val="auto"/>
                      <w:sz w:val="18"/>
                      <w:szCs w:val="18"/>
                      <w:highlight w:val="none"/>
                      <w:lang w:val="en-US" w:eastAsia="zh-CN"/>
                    </w:rPr>
                    <w:t>声源控制措施</w:t>
                  </w:r>
                </w:p>
              </w:tc>
              <w:tc>
                <w:tcPr>
                  <w:tcW w:w="678" w:type="pct"/>
                  <w:gridSpan w:val="3"/>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eastAsia" w:ascii="宋体" w:hAnsi="宋体" w:cs="宋体"/>
                      <w:color w:val="auto"/>
                      <w:sz w:val="18"/>
                      <w:szCs w:val="18"/>
                      <w:highlight w:val="none"/>
                      <w:lang w:val="en-US" w:eastAsia="zh-CN"/>
                    </w:rPr>
                    <w:t>空间相对位置/m</w:t>
                  </w:r>
                </w:p>
              </w:tc>
              <w:tc>
                <w:tcPr>
                  <w:tcW w:w="327" w:type="pct"/>
                  <w:vMerge w:val="restart"/>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olor w:val="auto"/>
                      <w:kern w:val="0"/>
                      <w:sz w:val="18"/>
                      <w:szCs w:val="18"/>
                      <w:highlight w:val="none"/>
                      <w:lang w:eastAsia="zh-CN"/>
                    </w:rPr>
                    <w:t>距室内边界距离</w:t>
                  </w:r>
                  <w:r>
                    <w:rPr>
                      <w:rFonts w:hint="eastAsia"/>
                      <w:color w:val="auto"/>
                      <w:kern w:val="0"/>
                      <w:sz w:val="18"/>
                      <w:szCs w:val="18"/>
                      <w:highlight w:val="none"/>
                      <w:lang w:val="en-US" w:eastAsia="zh-CN"/>
                    </w:rPr>
                    <w:t>/m</w:t>
                  </w:r>
                </w:p>
              </w:tc>
              <w:tc>
                <w:tcPr>
                  <w:tcW w:w="342" w:type="pct"/>
                  <w:vMerge w:val="restart"/>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olor w:val="auto"/>
                      <w:kern w:val="0"/>
                      <w:sz w:val="18"/>
                      <w:szCs w:val="18"/>
                      <w:highlight w:val="none"/>
                      <w:lang w:eastAsia="zh-CN"/>
                    </w:rPr>
                    <w:t>室内边界声级</w:t>
                  </w:r>
                  <w:r>
                    <w:rPr>
                      <w:rFonts w:hint="default"/>
                      <w:color w:val="auto"/>
                      <w:sz w:val="18"/>
                      <w:szCs w:val="18"/>
                      <w:highlight w:val="none"/>
                    </w:rPr>
                    <w:t>/dB(</w:t>
                  </w:r>
                  <w:r>
                    <w:rPr>
                      <w:rFonts w:hint="eastAsia"/>
                      <w:color w:val="auto"/>
                      <w:sz w:val="18"/>
                      <w:szCs w:val="18"/>
                      <w:highlight w:val="none"/>
                      <w:lang w:val="en-US" w:eastAsia="zh-CN"/>
                    </w:rPr>
                    <w:t>A</w:t>
                  </w:r>
                </w:p>
              </w:tc>
              <w:tc>
                <w:tcPr>
                  <w:tcW w:w="312" w:type="pct"/>
                  <w:vMerge w:val="restar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ascii="宋体" w:hAnsi="宋体" w:cs="宋体"/>
                      <w:color w:val="auto"/>
                      <w:sz w:val="18"/>
                      <w:szCs w:val="18"/>
                      <w:highlight w:val="none"/>
                      <w:lang w:val="en-US" w:eastAsia="zh-CN"/>
                    </w:rPr>
                    <w:t>运行时段</w:t>
                  </w:r>
                </w:p>
              </w:tc>
              <w:tc>
                <w:tcPr>
                  <w:tcW w:w="312" w:type="pct"/>
                  <w:vMerge w:val="restar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建筑物插入损失/dB(A)</w:t>
                  </w:r>
                </w:p>
              </w:tc>
              <w:tc>
                <w:tcPr>
                  <w:tcW w:w="624" w:type="pct"/>
                  <w:gridSpan w:val="2"/>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建筑物外噪声</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vMerge w:val="continue"/>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439" w:type="pct"/>
                  <w:vMerge w:val="continue"/>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rPr>
                  </w:pPr>
                </w:p>
              </w:tc>
              <w:tc>
                <w:tcPr>
                  <w:tcW w:w="595"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6"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olor w:val="auto"/>
                      <w:sz w:val="18"/>
                      <w:szCs w:val="18"/>
                      <w:highlight w:val="none"/>
                    </w:rPr>
                    <w:t>声</w:t>
                  </w:r>
                  <w:r>
                    <w:rPr>
                      <w:rFonts w:hint="eastAsia"/>
                      <w:color w:val="auto"/>
                      <w:sz w:val="18"/>
                      <w:szCs w:val="18"/>
                      <w:highlight w:val="none"/>
                      <w:lang w:eastAsia="zh-CN"/>
                    </w:rPr>
                    <w:t>压</w:t>
                  </w:r>
                  <w:r>
                    <w:rPr>
                      <w:rFonts w:hint="eastAsia"/>
                      <w:color w:val="auto"/>
                      <w:sz w:val="18"/>
                      <w:szCs w:val="18"/>
                      <w:highlight w:val="none"/>
                    </w:rPr>
                    <w:t>级</w:t>
                  </w: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441"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eastAsia="zh-CN"/>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X</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Y</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Z</w:t>
                  </w:r>
                </w:p>
              </w:tc>
              <w:tc>
                <w:tcPr>
                  <w:tcW w:w="327"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42"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vMerge w:val="continue"/>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vMerge w:val="continue"/>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eastAsia="zh-CN"/>
                    </w:rPr>
                    <w:t>声压级</w:t>
                  </w:r>
                  <w:r>
                    <w:rPr>
                      <w:rFonts w:hint="eastAsia"/>
                      <w:color w:val="auto"/>
                      <w:kern w:val="0"/>
                      <w:sz w:val="18"/>
                      <w:szCs w:val="18"/>
                      <w:highlight w:val="none"/>
                      <w:lang w:val="en-US" w:eastAsia="zh-CN"/>
                    </w:rPr>
                    <w:t>/</w:t>
                  </w: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eastAsia="zh-CN"/>
                    </w:rPr>
                    <w:t>建筑物外距离</w:t>
                  </w:r>
                  <w:r>
                    <w:rPr>
                      <w:rFonts w:hint="eastAsia"/>
                      <w:color w:val="auto"/>
                      <w:kern w:val="0"/>
                      <w:sz w:val="18"/>
                      <w:szCs w:val="18"/>
                      <w:highlight w:val="none"/>
                      <w:lang w:val="en-US" w:eastAsia="zh-CN"/>
                    </w:rPr>
                    <w:t>/m</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1</w:t>
                  </w:r>
                </w:p>
              </w:tc>
              <w:tc>
                <w:tcPr>
                  <w:tcW w:w="439" w:type="pct"/>
                  <w:vMerge w:val="restar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生</w:t>
                  </w:r>
                  <w:r>
                    <w:rPr>
                      <w:rFonts w:hint="eastAsia" w:ascii="Times New Roman" w:hAnsi="Times New Roman" w:cs="Times New Roman"/>
                      <w:color w:val="auto"/>
                      <w:spacing w:val="0"/>
                      <w:kern w:val="2"/>
                      <w:sz w:val="18"/>
                      <w:szCs w:val="18"/>
                      <w:highlight w:val="none"/>
                      <w:lang w:val="en-US" w:eastAsia="zh-CN" w:bidi="ar-SA"/>
                    </w:rPr>
                    <w:t>产</w:t>
                  </w:r>
                  <w:r>
                    <w:rPr>
                      <w:rFonts w:hint="default" w:ascii="Times New Roman" w:hAnsi="Times New Roman" w:cs="Times New Roman"/>
                      <w:color w:val="auto"/>
                      <w:spacing w:val="0"/>
                      <w:kern w:val="2"/>
                      <w:sz w:val="18"/>
                      <w:szCs w:val="18"/>
                      <w:highlight w:val="none"/>
                      <w:lang w:val="en-US" w:eastAsia="zh-CN" w:bidi="ar-SA"/>
                    </w:rPr>
                    <w:t>车间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绞肉机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val="0"/>
                      <w:bCs/>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2</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0"/>
                      <w:sz w:val="18"/>
                      <w:szCs w:val="18"/>
                      <w:highlight w:val="none"/>
                    </w:rPr>
                    <w:t>75</w:t>
                  </w:r>
                </w:p>
              </w:tc>
              <w:tc>
                <w:tcPr>
                  <w:tcW w:w="441" w:type="pct"/>
                  <w:vMerge w:val="restart"/>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default" w:ascii="Times New Roman" w:hAnsi="Times New Roman" w:cs="Times New Roman"/>
                      <w:color w:val="auto"/>
                      <w:spacing w:val="0"/>
                      <w:sz w:val="18"/>
                      <w:szCs w:val="18"/>
                      <w:highlight w:val="none"/>
                    </w:rPr>
                    <w:t>低噪声设备、基础减振，</w:t>
                  </w:r>
                  <w:r>
                    <w:rPr>
                      <w:rFonts w:hint="default" w:ascii="Times New Roman" w:hAnsi="Times New Roman" w:cs="Times New Roman"/>
                      <w:color w:val="auto"/>
                      <w:spacing w:val="0"/>
                      <w:sz w:val="18"/>
                      <w:szCs w:val="18"/>
                      <w:highlight w:val="none"/>
                      <w:lang w:val="en-US" w:eastAsia="zh-CN"/>
                    </w:rPr>
                    <w:t>隔声，</w:t>
                  </w:r>
                  <w:r>
                    <w:rPr>
                      <w:rFonts w:hint="default" w:ascii="Times New Roman" w:hAnsi="Times New Roman" w:cs="Times New Roman"/>
                      <w:color w:val="auto"/>
                      <w:sz w:val="18"/>
                      <w:szCs w:val="18"/>
                      <w:highlight w:val="none"/>
                    </w:rPr>
                    <w:t>安装消声器</w:t>
                  </w:r>
                  <w:r>
                    <w:rPr>
                      <w:rFonts w:hint="default" w:ascii="Times New Roman" w:hAnsi="Times New Roman" w:cs="Times New Roman"/>
                      <w:color w:val="auto"/>
                      <w:spacing w:val="0"/>
                      <w:sz w:val="18"/>
                      <w:szCs w:val="18"/>
                      <w:highlight w:val="none"/>
                    </w:rPr>
                    <w:t>等</w:t>
                  </w: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35</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25</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pacing w:val="0"/>
                      <w:sz w:val="18"/>
                      <w:szCs w:val="18"/>
                      <w:highlight w:val="none"/>
                      <w:lang w:val="en-US" w:eastAsia="zh-CN"/>
                    </w:rPr>
                    <w:t>70</w:t>
                  </w:r>
                </w:p>
              </w:tc>
              <w:tc>
                <w:tcPr>
                  <w:tcW w:w="312" w:type="pct"/>
                  <w:vMerge w:val="restart"/>
                  <w:tcBorders>
                    <w:top w:val="single" w:color="auto" w:sz="4" w:space="0"/>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2800</w:t>
                  </w:r>
                </w:p>
              </w:tc>
              <w:tc>
                <w:tcPr>
                  <w:tcW w:w="312" w:type="pct"/>
                  <w:tcBorders>
                    <w:top w:val="single" w:color="auto" w:sz="4" w:space="0"/>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312" w:type="pct"/>
                  <w:tcBorders>
                    <w:top w:val="single" w:color="auto" w:sz="4" w:space="0"/>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50</w:t>
                  </w:r>
                </w:p>
              </w:tc>
              <w:tc>
                <w:tcPr>
                  <w:tcW w:w="312" w:type="pct"/>
                  <w:tcBorders>
                    <w:top w:val="single" w:color="auto" w:sz="4" w:space="0"/>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2</w:t>
                  </w:r>
                </w:p>
              </w:tc>
              <w:tc>
                <w:tcPr>
                  <w:tcW w:w="439" w:type="pct"/>
                  <w:vMerge w:val="continue"/>
                  <w:tcBorders>
                    <w:left w:val="nil"/>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rPr>
                  </w:pP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斩拌机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val="0"/>
                      <w:bCs/>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2</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0"/>
                      <w:sz w:val="18"/>
                      <w:szCs w:val="18"/>
                      <w:highlight w:val="none"/>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35</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25</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7</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pacing w:val="0"/>
                      <w:sz w:val="18"/>
                      <w:szCs w:val="18"/>
                      <w:highlight w:val="none"/>
                      <w:lang w:val="en-US" w:eastAsia="zh-CN"/>
                    </w:rPr>
                    <w:t>68</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48</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3</w:t>
                  </w:r>
                </w:p>
              </w:tc>
              <w:tc>
                <w:tcPr>
                  <w:tcW w:w="439" w:type="pct"/>
                  <w:vMerge w:val="continue"/>
                  <w:tcBorders>
                    <w:left w:val="nil"/>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rPr>
                  </w:pP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拌馅机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val="0"/>
                      <w:bCs/>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2</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0"/>
                      <w:sz w:val="18"/>
                      <w:szCs w:val="18"/>
                      <w:highlight w:val="none"/>
                    </w:rPr>
                    <w:t>80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40</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33</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7</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pacing w:val="0"/>
                      <w:sz w:val="18"/>
                      <w:szCs w:val="18"/>
                      <w:highlight w:val="none"/>
                      <w:lang w:val="en-US" w:eastAsia="zh-CN"/>
                    </w:rPr>
                    <w:t>73</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53</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4</w:t>
                  </w:r>
                </w:p>
              </w:tc>
              <w:tc>
                <w:tcPr>
                  <w:tcW w:w="439" w:type="pc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滚揉间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滚揉机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val="0"/>
                      <w:bCs/>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4</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0"/>
                      <w:sz w:val="18"/>
                      <w:szCs w:val="18"/>
                      <w:highlight w:val="none"/>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38</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22</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cs="Times New Roman"/>
                      <w:color w:val="auto"/>
                      <w:spacing w:val="0"/>
                      <w:sz w:val="18"/>
                      <w:szCs w:val="18"/>
                      <w:highlight w:val="none"/>
                      <w:lang w:val="en-US" w:eastAsia="zh-CN"/>
                    </w:rPr>
                    <w:t>69</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49</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5</w:t>
                  </w:r>
                </w:p>
              </w:tc>
              <w:tc>
                <w:tcPr>
                  <w:tcW w:w="439" w:type="pct"/>
                  <w:tcBorders>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rPr>
                  </w:pPr>
                  <w:r>
                    <w:rPr>
                      <w:rFonts w:hint="default" w:ascii="Times New Roman" w:hAnsi="Times New Roman" w:cs="Times New Roman"/>
                      <w:color w:val="auto"/>
                      <w:spacing w:val="0"/>
                      <w:kern w:val="2"/>
                      <w:sz w:val="18"/>
                      <w:szCs w:val="18"/>
                      <w:highlight w:val="none"/>
                      <w:lang w:val="en-US" w:eastAsia="zh-CN" w:bidi="ar-SA"/>
                    </w:rPr>
                    <w:t>灌肠间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灌肠机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eastAsia="宋体"/>
                      <w:color w:val="auto"/>
                      <w:sz w:val="18"/>
                      <w:szCs w:val="18"/>
                      <w:highlight w:val="none"/>
                      <w:lang w:val="en-US" w:eastAsia="zh-CN"/>
                    </w:rPr>
                  </w:pPr>
                  <w:r>
                    <w:rPr>
                      <w:rFonts w:hint="default" w:ascii="Times New Roman" w:hAnsi="Times New Roman" w:cs="Times New Roman"/>
                      <w:color w:val="auto"/>
                      <w:kern w:val="2"/>
                      <w:sz w:val="18"/>
                      <w:szCs w:val="18"/>
                      <w:highlight w:val="none"/>
                      <w:lang w:val="en-US" w:eastAsia="zh-CN" w:bidi="ar-SA"/>
                    </w:rPr>
                    <w:t>6</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80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44</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31</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74</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312" w:type="pct"/>
                  <w:tcBorders>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54</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6</w:t>
                  </w:r>
                </w:p>
              </w:tc>
              <w:tc>
                <w:tcPr>
                  <w:tcW w:w="439" w:type="pct"/>
                  <w:vMerge w:val="restar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cs="宋体"/>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蒸肠间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蒸煮炉</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default" w:ascii="Times New Roman" w:hAnsi="Times New Roman" w:cs="Times New Roman"/>
                      <w:color w:val="auto"/>
                      <w:kern w:val="2"/>
                      <w:sz w:val="18"/>
                      <w:szCs w:val="18"/>
                      <w:highlight w:val="none"/>
                      <w:lang w:val="en-US" w:eastAsia="zh-CN" w:bidi="ar-SA"/>
                    </w:rPr>
                    <w:t>4</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20</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33</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72</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52</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w:t>
                  </w:r>
                </w:p>
              </w:tc>
              <w:tc>
                <w:tcPr>
                  <w:tcW w:w="439" w:type="pct"/>
                  <w:vMerge w:val="continue"/>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宋体" w:hAnsi="宋体" w:cs="宋体"/>
                      <w:color w:val="auto"/>
                      <w:sz w:val="18"/>
                      <w:szCs w:val="18"/>
                      <w:highlight w:val="none"/>
                      <w:lang w:val="en-US" w:eastAsia="zh-CN"/>
                    </w:rPr>
                  </w:pP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夹层锅</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default" w:ascii="Times New Roman" w:hAnsi="Times New Roman" w:cs="Times New Roman"/>
                      <w:color w:val="auto"/>
                      <w:kern w:val="2"/>
                      <w:sz w:val="18"/>
                      <w:szCs w:val="18"/>
                      <w:highlight w:val="none"/>
                      <w:lang w:val="en-US" w:eastAsia="zh-CN" w:bidi="ar-SA"/>
                    </w:rPr>
                    <w:t>15</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18</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30</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71</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51</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8</w:t>
                  </w:r>
                </w:p>
              </w:tc>
              <w:tc>
                <w:tcPr>
                  <w:tcW w:w="439" w:type="pct"/>
                  <w:vMerge w:val="restar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包装间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真空包装机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default" w:ascii="Times New Roman" w:hAnsi="Times New Roman" w:cs="Times New Roman"/>
                      <w:color w:val="auto"/>
                      <w:kern w:val="2"/>
                      <w:sz w:val="18"/>
                      <w:szCs w:val="18"/>
                      <w:highlight w:val="none"/>
                      <w:lang w:val="en-US" w:eastAsia="zh-CN" w:bidi="ar-SA"/>
                    </w:rPr>
                    <w:t>7</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20</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39</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73</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53</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9</w:t>
                  </w:r>
                </w:p>
              </w:tc>
              <w:tc>
                <w:tcPr>
                  <w:tcW w:w="439" w:type="pct"/>
                  <w:vMerge w:val="continue"/>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lang w:val="en-US" w:eastAsia="zh-CN"/>
                    </w:rPr>
                  </w:pP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二次灭菌机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default" w:ascii="Times New Roman" w:hAnsi="Times New Roman" w:cs="Times New Roman"/>
                      <w:color w:val="auto"/>
                      <w:kern w:val="2"/>
                      <w:sz w:val="18"/>
                      <w:szCs w:val="18"/>
                      <w:highlight w:val="none"/>
                      <w:lang w:val="en-US" w:eastAsia="zh-CN" w:bidi="ar-SA"/>
                    </w:rPr>
                    <w:t>1</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23</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44</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pacing w:val="0"/>
                      <w:sz w:val="18"/>
                      <w:szCs w:val="18"/>
                      <w:highlight w:val="none"/>
                      <w:lang w:val="en-US" w:eastAsia="zh-CN"/>
                    </w:rPr>
                    <w:t>68</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48</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10</w:t>
                  </w:r>
                </w:p>
              </w:tc>
              <w:tc>
                <w:tcPr>
                  <w:tcW w:w="43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冷藏库</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s="Times New Roman"/>
                      <w:color w:val="auto"/>
                      <w:spacing w:val="0"/>
                      <w:kern w:val="2"/>
                      <w:sz w:val="18"/>
                      <w:szCs w:val="18"/>
                      <w:highlight w:val="none"/>
                      <w:lang w:val="en-US" w:eastAsia="zh-CN" w:bidi="ar-SA"/>
                    </w:rPr>
                    <w:t>制冷风机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2</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75</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97</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89</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73</w:t>
                  </w:r>
                </w:p>
              </w:tc>
              <w:tc>
                <w:tcPr>
                  <w:tcW w:w="312" w:type="pct"/>
                  <w:vMerge w:val="continue"/>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20</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53</w:t>
                  </w:r>
                </w:p>
              </w:tc>
              <w:tc>
                <w:tcPr>
                  <w:tcW w:w="312" w:type="pct"/>
                  <w:tcBorders>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11</w:t>
                  </w:r>
                </w:p>
              </w:tc>
              <w:tc>
                <w:tcPr>
                  <w:tcW w:w="43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熏烤间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s="Times New Roman"/>
                      <w:color w:val="auto"/>
                      <w:spacing w:val="0"/>
                      <w:kern w:val="2"/>
                      <w:sz w:val="18"/>
                      <w:szCs w:val="18"/>
                      <w:highlight w:val="none"/>
                      <w:lang w:val="en-US" w:eastAsia="zh-CN" w:bidi="ar-SA"/>
                    </w:rPr>
                    <w:t>烟熏炉</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1</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31</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44</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67</w:t>
                  </w:r>
                </w:p>
              </w:tc>
              <w:tc>
                <w:tcPr>
                  <w:tcW w:w="312" w:type="pct"/>
                  <w:vMerge w:val="continue"/>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ascii="宋体" w:hAnsi="宋体" w:cs="宋体"/>
                      <w:color w:val="auto"/>
                      <w:sz w:val="18"/>
                      <w:szCs w:val="18"/>
                      <w:highlight w:val="none"/>
                      <w:lang w:val="en-US" w:eastAsia="zh-CN"/>
                    </w:rPr>
                    <w:t>15</w:t>
                  </w:r>
                </w:p>
              </w:tc>
              <w:tc>
                <w:tcPr>
                  <w:tcW w:w="312" w:type="pc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52</w:t>
                  </w:r>
                </w:p>
              </w:tc>
              <w:tc>
                <w:tcPr>
                  <w:tcW w:w="312" w:type="pc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12</w:t>
                  </w:r>
                </w:p>
              </w:tc>
              <w:tc>
                <w:tcPr>
                  <w:tcW w:w="439"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cs="宋体"/>
                      <w:color w:val="auto"/>
                      <w:sz w:val="18"/>
                      <w:szCs w:val="18"/>
                      <w:highlight w:val="none"/>
                      <w:lang w:val="en-US" w:eastAsia="zh-CN"/>
                    </w:rPr>
                  </w:pPr>
                  <w:r>
                    <w:rPr>
                      <w:rFonts w:hint="eastAsia" w:cs="Times New Roman"/>
                      <w:color w:val="auto"/>
                      <w:spacing w:val="0"/>
                      <w:sz w:val="18"/>
                      <w:szCs w:val="18"/>
                      <w:highlight w:val="none"/>
                      <w:lang w:val="en-US" w:eastAsia="zh-CN"/>
                    </w:rPr>
                    <w:t>锅炉间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s="Times New Roman"/>
                      <w:color w:val="auto"/>
                      <w:spacing w:val="0"/>
                      <w:kern w:val="2"/>
                      <w:sz w:val="18"/>
                      <w:szCs w:val="18"/>
                      <w:highlight w:val="none"/>
                      <w:lang w:val="en-US" w:eastAsia="zh-CN" w:bidi="ar-SA"/>
                    </w:rPr>
                    <w:t>锅炉风机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olor w:val="auto"/>
                      <w:sz w:val="18"/>
                      <w:szCs w:val="18"/>
                      <w:highlight w:val="none"/>
                      <w:lang w:val="en-US" w:eastAsia="zh-CN"/>
                    </w:rPr>
                  </w:pPr>
                  <w:r>
                    <w:rPr>
                      <w:rFonts w:hint="eastAsia" w:cs="Times New Roman"/>
                      <w:color w:val="auto"/>
                      <w:kern w:val="2"/>
                      <w:sz w:val="18"/>
                      <w:szCs w:val="18"/>
                      <w:highlight w:val="none"/>
                      <w:lang w:val="en-US" w:eastAsia="zh-CN" w:bidi="ar-SA"/>
                    </w:rPr>
                    <w:t>1</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70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99</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90</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pacing w:val="0"/>
                      <w:sz w:val="18"/>
                      <w:szCs w:val="18"/>
                      <w:highlight w:val="none"/>
                      <w:lang w:val="en-US" w:eastAsia="zh-CN"/>
                    </w:rPr>
                    <w:t>67</w:t>
                  </w: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5680</w:t>
                  </w: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15</w:t>
                  </w: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52</w:t>
                  </w:r>
                </w:p>
              </w:tc>
              <w:tc>
                <w:tcPr>
                  <w:tcW w:w="312"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13</w:t>
                  </w:r>
                </w:p>
              </w:tc>
              <w:tc>
                <w:tcPr>
                  <w:tcW w:w="439" w:type="pct"/>
                  <w:vMerge w:val="restart"/>
                  <w:tcBorders>
                    <w:top w:val="single" w:color="auto" w:sz="4" w:space="0"/>
                    <w:left w:val="nil"/>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lang w:val="en-US" w:eastAsia="zh-CN"/>
                    </w:rPr>
                  </w:pPr>
                  <w:r>
                    <w:rPr>
                      <w:rFonts w:hint="default" w:ascii="Times New Roman" w:hAnsi="Times New Roman" w:cs="Times New Roman"/>
                      <w:color w:val="auto"/>
                      <w:spacing w:val="0"/>
                      <w:kern w:val="2"/>
                      <w:sz w:val="18"/>
                      <w:szCs w:val="18"/>
                      <w:highlight w:val="none"/>
                      <w:lang w:val="en-US" w:eastAsia="zh-CN" w:bidi="ar-SA"/>
                    </w:rPr>
                    <w:t>生</w:t>
                  </w:r>
                  <w:r>
                    <w:rPr>
                      <w:rFonts w:hint="eastAsia" w:ascii="Times New Roman" w:hAnsi="Times New Roman" w:cs="Times New Roman"/>
                      <w:color w:val="auto"/>
                      <w:spacing w:val="0"/>
                      <w:kern w:val="2"/>
                      <w:sz w:val="18"/>
                      <w:szCs w:val="18"/>
                      <w:highlight w:val="none"/>
                      <w:lang w:val="en-US" w:eastAsia="zh-CN" w:bidi="ar-SA"/>
                    </w:rPr>
                    <w:t>产</w:t>
                  </w:r>
                  <w:r>
                    <w:rPr>
                      <w:rFonts w:hint="default" w:ascii="Times New Roman" w:hAnsi="Times New Roman" w:cs="Times New Roman"/>
                      <w:color w:val="auto"/>
                      <w:spacing w:val="0"/>
                      <w:kern w:val="2"/>
                      <w:sz w:val="18"/>
                      <w:szCs w:val="18"/>
                      <w:highlight w:val="none"/>
                      <w:lang w:val="en-US" w:eastAsia="zh-CN" w:bidi="ar-SA"/>
                    </w:rPr>
                    <w:t>车间</w:t>
                  </w: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集气风机</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5</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80</w:t>
                  </w:r>
                </w:p>
              </w:tc>
              <w:tc>
                <w:tcPr>
                  <w:tcW w:w="441" w:type="pct"/>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44</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65</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78</w:t>
                  </w:r>
                </w:p>
              </w:tc>
              <w:tc>
                <w:tcPr>
                  <w:tcW w:w="312" w:type="pct"/>
                  <w:vMerge w:val="restart"/>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2800</w:t>
                  </w:r>
                </w:p>
              </w:tc>
              <w:tc>
                <w:tcPr>
                  <w:tcW w:w="312" w:type="pct"/>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20</w:t>
                  </w:r>
                </w:p>
              </w:tc>
              <w:tc>
                <w:tcPr>
                  <w:tcW w:w="312" w:type="pct"/>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58</w:t>
                  </w:r>
                </w:p>
              </w:tc>
              <w:tc>
                <w:tcPr>
                  <w:tcW w:w="312" w:type="pct"/>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 w:type="pct"/>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14</w:t>
                  </w:r>
                </w:p>
              </w:tc>
              <w:tc>
                <w:tcPr>
                  <w:tcW w:w="439" w:type="pct"/>
                  <w:vMerge w:val="continue"/>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cs="宋体"/>
                      <w:color w:val="auto"/>
                      <w:sz w:val="18"/>
                      <w:szCs w:val="18"/>
                      <w:highlight w:val="none"/>
                      <w:lang w:val="en-US" w:eastAsia="zh-CN"/>
                    </w:rPr>
                  </w:pPr>
                </w:p>
              </w:tc>
              <w:tc>
                <w:tcPr>
                  <w:tcW w:w="5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水泵</w:t>
                  </w:r>
                </w:p>
              </w:tc>
              <w:tc>
                <w:tcPr>
                  <w:tcW w:w="22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color w:val="auto"/>
                      <w:sz w:val="18"/>
                      <w:szCs w:val="18"/>
                      <w:highlight w:val="none"/>
                      <w:lang w:val="en-US" w:eastAsia="zh-CN"/>
                    </w:rPr>
                  </w:pPr>
                  <w:r>
                    <w:rPr>
                      <w:rFonts w:hint="eastAsia"/>
                      <w:color w:val="auto"/>
                      <w:sz w:val="18"/>
                      <w:szCs w:val="18"/>
                      <w:highlight w:val="none"/>
                      <w:lang w:val="en-US" w:eastAsia="zh-CN"/>
                    </w:rPr>
                    <w:t>2</w:t>
                  </w:r>
                </w:p>
              </w:tc>
              <w:tc>
                <w:tcPr>
                  <w:tcW w:w="48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75</w:t>
                  </w:r>
                </w:p>
              </w:tc>
              <w:tc>
                <w:tcPr>
                  <w:tcW w:w="441" w:type="pct"/>
                  <w:vMerge w:val="continue"/>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rPr>
                  </w:pPr>
                </w:p>
              </w:tc>
              <w:tc>
                <w:tcPr>
                  <w:tcW w:w="22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86</w:t>
                  </w:r>
                </w:p>
              </w:tc>
              <w:tc>
                <w:tcPr>
                  <w:tcW w:w="2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79</w:t>
                  </w:r>
                </w:p>
              </w:tc>
              <w:tc>
                <w:tcPr>
                  <w:tcW w:w="2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1</w:t>
                  </w:r>
                </w:p>
              </w:tc>
              <w:tc>
                <w:tcPr>
                  <w:tcW w:w="3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34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72</w:t>
                  </w:r>
                </w:p>
              </w:tc>
              <w:tc>
                <w:tcPr>
                  <w:tcW w:w="312" w:type="pct"/>
                  <w:vMerge w:val="continue"/>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tc>
              <w:tc>
                <w:tcPr>
                  <w:tcW w:w="312" w:type="pc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w:t>
                  </w:r>
                </w:p>
              </w:tc>
              <w:tc>
                <w:tcPr>
                  <w:tcW w:w="312" w:type="pc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52</w:t>
                  </w:r>
                </w:p>
              </w:tc>
              <w:tc>
                <w:tcPr>
                  <w:tcW w:w="312" w:type="pct"/>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pacing w:val="0"/>
                      <w:sz w:val="18"/>
                      <w:szCs w:val="18"/>
                      <w:highlight w:val="none"/>
                      <w:lang w:val="en-US" w:eastAsia="zh-CN"/>
                    </w:rPr>
                    <w:t>1</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）污染防治措施及环境影响分析</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本项目运营期采取如下降噪措施：</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①在厂区总体布置中应注意防噪间距，以减少噪声的污染；</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②</w:t>
            </w:r>
            <w:r>
              <w:rPr>
                <w:rFonts w:hint="eastAsia"/>
                <w:color w:val="auto"/>
                <w:sz w:val="21"/>
                <w:szCs w:val="21"/>
                <w:highlight w:val="none"/>
              </w:rPr>
              <w:t>降低噪声源，已选用低噪声设备</w:t>
            </w:r>
            <w:r>
              <w:rPr>
                <w:rFonts w:hint="default"/>
                <w:color w:val="auto"/>
                <w:sz w:val="21"/>
                <w:szCs w:val="21"/>
                <w:highlight w:val="none"/>
              </w:rPr>
              <w:t>；</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④风机设置软连接减振措施；</w:t>
            </w:r>
          </w:p>
          <w:p>
            <w:pPr>
              <w:pStyle w:val="30"/>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⑤加强对作业人员的个人防护和保护，如采用隔声耳罩等；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本项目厂界外50m范围内</w:t>
            </w:r>
            <w:r>
              <w:rPr>
                <w:rFonts w:hint="eastAsia"/>
                <w:color w:val="auto"/>
                <w:sz w:val="21"/>
                <w:szCs w:val="21"/>
                <w:highlight w:val="none"/>
                <w:lang w:val="en-US" w:eastAsia="zh-CN"/>
              </w:rPr>
              <w:t>无声环境保护目标</w:t>
            </w:r>
            <w:r>
              <w:rPr>
                <w:rFonts w:hint="default"/>
                <w:color w:val="auto"/>
                <w:sz w:val="21"/>
                <w:szCs w:val="21"/>
                <w:highlight w:val="none"/>
              </w:rPr>
              <w:t>，选用低噪声设备，安装消声器、基础减振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eastAsia"/>
                <w:color w:val="auto"/>
                <w:sz w:val="21"/>
                <w:szCs w:val="21"/>
                <w:highlight w:val="none"/>
                <w:lang w:val="en-US" w:eastAsia="zh-CN"/>
              </w:rPr>
              <w:t>本项目</w:t>
            </w:r>
            <w:r>
              <w:rPr>
                <w:rFonts w:hint="eastAsia"/>
                <w:color w:val="auto"/>
                <w:kern w:val="0"/>
                <w:szCs w:val="21"/>
                <w:highlight w:val="none"/>
                <w:lang w:val="en-US" w:eastAsia="zh-CN"/>
              </w:rPr>
              <w:t>厂区北</w:t>
            </w:r>
            <w:r>
              <w:rPr>
                <w:rFonts w:hint="default"/>
                <w:color w:val="auto"/>
                <w:kern w:val="0"/>
                <w:szCs w:val="21"/>
                <w:highlight w:val="none"/>
              </w:rPr>
              <w:t>侧</w:t>
            </w:r>
            <w:r>
              <w:rPr>
                <w:rFonts w:hint="eastAsia"/>
                <w:color w:val="auto"/>
                <w:kern w:val="0"/>
                <w:szCs w:val="21"/>
                <w:highlight w:val="none"/>
                <w:lang w:val="en-US" w:eastAsia="zh-CN"/>
              </w:rPr>
              <w:t>为堡旭大道（城市主干路），西侧为旺旺路（次干路），因此</w:t>
            </w:r>
            <w:r>
              <w:rPr>
                <w:rFonts w:hint="default"/>
                <w:color w:val="auto"/>
                <w:sz w:val="21"/>
                <w:szCs w:val="21"/>
                <w:highlight w:val="none"/>
              </w:rPr>
              <w:t>满足《工业企业厂界环境噪声排放标准》（GB12348-2008）中2类</w:t>
            </w:r>
            <w:r>
              <w:rPr>
                <w:rFonts w:hint="eastAsia"/>
                <w:color w:val="auto"/>
                <w:sz w:val="21"/>
                <w:szCs w:val="21"/>
                <w:highlight w:val="none"/>
                <w:lang w:val="en-US" w:eastAsia="zh-CN"/>
              </w:rPr>
              <w:t>及4类</w:t>
            </w:r>
            <w:r>
              <w:rPr>
                <w:rFonts w:hint="default"/>
                <w:color w:val="auto"/>
                <w:sz w:val="21"/>
                <w:szCs w:val="21"/>
                <w:highlight w:val="none"/>
              </w:rPr>
              <w:t>标准限值</w:t>
            </w:r>
            <w:r>
              <w:rPr>
                <w:rFonts w:hint="eastAsia"/>
                <w:color w:val="auto"/>
                <w:sz w:val="21"/>
                <w:szCs w:val="21"/>
                <w:highlight w:val="none"/>
                <w:lang w:eastAsia="zh-CN"/>
              </w:rPr>
              <w:t>。</w:t>
            </w:r>
            <w:r>
              <w:rPr>
                <w:rFonts w:hint="default"/>
                <w:color w:val="auto"/>
                <w:sz w:val="21"/>
                <w:szCs w:val="21"/>
                <w:highlight w:val="none"/>
              </w:rPr>
              <w:t>本项目对周围声环境影响较小。</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（3）监测要求</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总则》（HJ819-2017），本项目噪声监测计划如下：</w:t>
            </w:r>
          </w:p>
          <w:p>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17 </w:t>
            </w:r>
            <w:r>
              <w:rPr>
                <w:rFonts w:hint="eastAsia" w:hAnsi="宋体"/>
                <w:b/>
                <w:color w:val="auto"/>
                <w:szCs w:val="21"/>
                <w:highlight w:val="none"/>
              </w:rPr>
              <w:t>项目噪声监测计划表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6"/>
              <w:gridCol w:w="1554"/>
              <w:gridCol w:w="2196"/>
              <w:gridCol w:w="28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649" w:type="dxa"/>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2337" w:type="dxa"/>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986" w:type="dxa"/>
                  <w:tcBorders>
                    <w:left w:val="single" w:color="auto" w:sz="4" w:space="0"/>
                    <w:bottom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top w:val="single" w:color="auto" w:sz="4" w:space="0"/>
                    <w:left w:val="nil"/>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649" w:type="dxa"/>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2337" w:type="dxa"/>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986" w:type="dxa"/>
                  <w:tcBorders>
                    <w:top w:val="single" w:color="auto" w:sz="4" w:space="0"/>
                    <w:left w:val="single" w:color="auto" w:sz="4" w:space="0"/>
                    <w:right w:val="nil"/>
                  </w:tcBorders>
                  <w:noWrap w:val="0"/>
                  <w:vAlign w:val="center"/>
                </w:tcPr>
                <w:p>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rPr>
                    <w:t>季度</w:t>
                  </w:r>
                </w:p>
              </w:tc>
            </w:tr>
          </w:tbl>
          <w:p>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18 </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137"/>
              <w:gridCol w:w="1239"/>
              <w:gridCol w:w="684"/>
              <w:gridCol w:w="615"/>
              <w:gridCol w:w="1342"/>
              <w:gridCol w:w="755"/>
              <w:gridCol w:w="13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137"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239"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684"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61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物理</w:t>
                  </w:r>
                </w:p>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性状</w:t>
                  </w:r>
                </w:p>
              </w:tc>
              <w:tc>
                <w:tcPr>
                  <w:tcW w:w="1342"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755"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323"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943"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员工</w:t>
                  </w:r>
                </w:p>
              </w:tc>
              <w:tc>
                <w:tcPr>
                  <w:tcW w:w="1137"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生活垃圾</w:t>
                  </w:r>
                </w:p>
              </w:tc>
              <w:tc>
                <w:tcPr>
                  <w:tcW w:w="1239" w:type="dxa"/>
                  <w:noWrap w:val="0"/>
                  <w:vAlign w:val="center"/>
                </w:tcPr>
                <w:p>
                  <w:pPr>
                    <w:pStyle w:val="2"/>
                    <w:keepNext w:val="0"/>
                    <w:keepLines w:val="0"/>
                    <w:pageBreakBefore w:val="0"/>
                    <w:suppressLineNumbers w:val="0"/>
                    <w:kinsoku/>
                    <w:wordWrap/>
                    <w:overflowPunct/>
                    <w:topLinePunct w:val="0"/>
                    <w:bidi w:val="0"/>
                    <w:spacing w:beforeAutospacing="0" w:afterAutospacing="0" w:line="240" w:lineRule="auto"/>
                    <w:ind w:left="0" w:right="0"/>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lang w:val="en-US" w:eastAsia="zh-CN"/>
                    </w:rPr>
                    <w:t>生活垃圾</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26.25</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垃圾桶</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eastAsia="zh-CN"/>
                    </w:rPr>
                    <w:t>26.25</w:t>
                  </w:r>
                </w:p>
              </w:tc>
              <w:tc>
                <w:tcPr>
                  <w:tcW w:w="1323"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eastAsia="宋体" w:cs="Times New Roman"/>
                      <w:color w:val="auto"/>
                      <w:kern w:val="2"/>
                      <w:sz w:val="18"/>
                      <w:szCs w:val="18"/>
                      <w:highlight w:val="none"/>
                      <w:lang w:val="en-US" w:eastAsia="zh-CN" w:bidi="ar-SA"/>
                    </w:rPr>
                    <w:t>市政部门定期清运处理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noWrap w:val="0"/>
                  <w:vAlign w:val="center"/>
                </w:tcPr>
                <w:p>
                  <w:pPr>
                    <w:keepNext w:val="0"/>
                    <w:keepLines w:val="0"/>
                    <w:pageBreakBefore w:val="0"/>
                    <w:suppressLineNumbers w:val="0"/>
                    <w:tabs>
                      <w:tab w:val="left" w:pos="327"/>
                    </w:tabs>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食堂</w:t>
                  </w:r>
                </w:p>
              </w:tc>
              <w:tc>
                <w:tcPr>
                  <w:tcW w:w="1137"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ind w:left="0" w:right="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餐馀废物</w:t>
                  </w:r>
                </w:p>
              </w:tc>
              <w:tc>
                <w:tcPr>
                  <w:tcW w:w="1239" w:type="dxa"/>
                  <w:vMerge w:val="restart"/>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厨馀垃圾</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30.45</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固</w:t>
                  </w:r>
                </w:p>
              </w:tc>
              <w:tc>
                <w:tcPr>
                  <w:tcW w:w="1342" w:type="dxa"/>
                  <w:vMerge w:val="restart"/>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设置收集桶，</w:t>
                  </w:r>
                  <w:r>
                    <w:rPr>
                      <w:rFonts w:hint="default" w:ascii="Times New Roman" w:hAnsi="Times New Roman" w:eastAsia="宋体" w:cs="Times New Roman"/>
                      <w:color w:val="auto"/>
                      <w:sz w:val="18"/>
                      <w:szCs w:val="18"/>
                      <w:highlight w:val="none"/>
                      <w:lang w:val="en-US" w:eastAsia="zh-CN"/>
                    </w:rPr>
                    <w:t>集中收集</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eastAsia="zh-CN"/>
                    </w:rPr>
                    <w:t>30.45</w:t>
                  </w:r>
                </w:p>
              </w:tc>
              <w:tc>
                <w:tcPr>
                  <w:tcW w:w="1323" w:type="dxa"/>
                  <w:vMerge w:val="restart"/>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eastAsia="宋体" w:cs="Times New Roman"/>
                      <w:color w:val="auto"/>
                      <w:sz w:val="18"/>
                      <w:szCs w:val="18"/>
                      <w:highlight w:val="none"/>
                    </w:rPr>
                    <w:t>餐馀废物</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废油脂</w:t>
                  </w:r>
                  <w:r>
                    <w:rPr>
                      <w:rFonts w:hint="eastAsia" w:cs="Times New Roman"/>
                      <w:color w:val="auto"/>
                      <w:sz w:val="18"/>
                      <w:szCs w:val="18"/>
                      <w:highlight w:val="none"/>
                      <w:lang w:val="en-US" w:eastAsia="zh-CN"/>
                    </w:rPr>
                    <w:t>按《哈尔滨市城市餐厨废弃物管理办法》相关要求，由有资质单位处理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p>
              </w:tc>
              <w:tc>
                <w:tcPr>
                  <w:tcW w:w="1137" w:type="dxa"/>
                  <w:noWrap w:val="0"/>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ind w:left="0" w:right="0"/>
                    <w:contextualSpacing/>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废油脂</w:t>
                  </w:r>
                </w:p>
              </w:tc>
              <w:tc>
                <w:tcPr>
                  <w:tcW w:w="1239" w:type="dxa"/>
                  <w:vMerge w:val="continue"/>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684" w:type="dxa"/>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3.045</w:t>
                  </w:r>
                </w:p>
              </w:tc>
              <w:tc>
                <w:tcPr>
                  <w:tcW w:w="615" w:type="dxa"/>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righ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液</w:t>
                  </w:r>
                </w:p>
              </w:tc>
              <w:tc>
                <w:tcPr>
                  <w:tcW w:w="1342" w:type="dxa"/>
                  <w:vMerge w:val="continue"/>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755" w:type="dxa"/>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3.045</w:t>
                  </w:r>
                </w:p>
              </w:tc>
              <w:tc>
                <w:tcPr>
                  <w:tcW w:w="1323" w:type="dxa"/>
                  <w:vMerge w:val="continue"/>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锅炉</w:t>
                  </w:r>
                </w:p>
              </w:tc>
              <w:tc>
                <w:tcPr>
                  <w:tcW w:w="1137"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lang w:val="en-US" w:eastAsia="zh-CN"/>
                    </w:rPr>
                    <w:t>废离子交换树脂</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r>
                    <w:rPr>
                      <w:rFonts w:hint="default" w:ascii="Times New Roman" w:hAnsi="Times New Roman" w:eastAsia="宋体" w:cs="Times New Roman"/>
                      <w:bCs/>
                      <w:color w:val="auto"/>
                      <w:kern w:val="0"/>
                      <w:sz w:val="18"/>
                      <w:szCs w:val="18"/>
                      <w:highlight w:val="none"/>
                    </w:rPr>
                    <w:t>443-00</w:t>
                  </w:r>
                  <w:r>
                    <w:rPr>
                      <w:rFonts w:hint="default" w:ascii="Times New Roman" w:hAnsi="Times New Roman" w:eastAsia="宋体" w:cs="Times New Roman"/>
                      <w:bCs/>
                      <w:color w:val="auto"/>
                      <w:kern w:val="0"/>
                      <w:sz w:val="18"/>
                      <w:szCs w:val="18"/>
                      <w:highlight w:val="none"/>
                      <w:lang w:val="en-US" w:eastAsia="zh-CN"/>
                    </w:rPr>
                    <w:t>1</w:t>
                  </w:r>
                  <w:r>
                    <w:rPr>
                      <w:rFonts w:hint="default" w:ascii="Times New Roman" w:hAnsi="Times New Roman" w:eastAsia="宋体" w:cs="Times New Roman"/>
                      <w:bCs/>
                      <w:color w:val="auto"/>
                      <w:kern w:val="0"/>
                      <w:sz w:val="18"/>
                      <w:szCs w:val="18"/>
                      <w:highlight w:val="none"/>
                    </w:rPr>
                    <w:t>-99</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设置收集桶，集中收集</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kern w:val="2"/>
                      <w:sz w:val="18"/>
                      <w:szCs w:val="18"/>
                      <w:highlight w:val="none"/>
                      <w:lang w:val="en-US" w:eastAsia="zh-CN" w:bidi="ar-SA"/>
                    </w:rPr>
                    <w:t>1</w:t>
                  </w:r>
                </w:p>
              </w:tc>
              <w:tc>
                <w:tcPr>
                  <w:tcW w:w="1323" w:type="dxa"/>
                  <w:noWrap w:val="0"/>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rPr>
                  </w:pPr>
                  <w:r>
                    <w:rPr>
                      <w:rFonts w:hint="eastAsia" w:cs="Times New Roman"/>
                      <w:color w:val="auto"/>
                      <w:sz w:val="18"/>
                      <w:szCs w:val="18"/>
                      <w:highlight w:val="none"/>
                      <w:lang w:val="en-US" w:eastAsia="zh-CN"/>
                    </w:rPr>
                    <w:t>交由厂家再生处理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生产</w:t>
                  </w: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废包装物</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r>
                    <w:rPr>
                      <w:rFonts w:hint="default" w:ascii="Times New Roman" w:hAnsi="Times New Roman" w:eastAsia="宋体" w:cs="Times New Roman"/>
                      <w:color w:val="auto"/>
                      <w:kern w:val="2"/>
                      <w:sz w:val="18"/>
                      <w:szCs w:val="18"/>
                      <w:highlight w:val="none"/>
                      <w:lang w:val="en-US" w:eastAsia="zh-CN" w:bidi="ar-SA"/>
                    </w:rPr>
                    <w:t>292-001-06</w:t>
                  </w:r>
                </w:p>
              </w:tc>
              <w:tc>
                <w:tcPr>
                  <w:tcW w:w="684"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61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rPr>
                  </w:pPr>
                  <w:r>
                    <w:rPr>
                      <w:rFonts w:hint="eastAsia" w:cs="Times New Roman"/>
                      <w:color w:val="auto"/>
                      <w:sz w:val="18"/>
                      <w:szCs w:val="18"/>
                      <w:highlight w:val="none"/>
                      <w:lang w:val="en-US" w:eastAsia="zh-CN"/>
                    </w:rPr>
                    <w:t>设置收集桶，集中收集，存储于一般固废暂存间</w:t>
                  </w:r>
                </w:p>
              </w:tc>
              <w:tc>
                <w:tcPr>
                  <w:tcW w:w="75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lang w:val="en-US" w:eastAsia="zh-CN"/>
                    </w:rPr>
                    <w:t>外售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烟熏炉炉渣</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固体废物</w:t>
                  </w:r>
                  <w:r>
                    <w:rPr>
                      <w:rFonts w:hint="default" w:ascii="Times New Roman" w:hAnsi="Times New Roman" w:eastAsia="宋体" w:cs="Times New Roman"/>
                      <w:bCs/>
                      <w:color w:val="auto"/>
                      <w:kern w:val="0"/>
                      <w:sz w:val="18"/>
                      <w:szCs w:val="18"/>
                      <w:highlight w:val="none"/>
                    </w:rPr>
                    <w:t>443-001-</w:t>
                  </w:r>
                  <w:r>
                    <w:rPr>
                      <w:rFonts w:hint="default" w:ascii="Times New Roman" w:hAnsi="Times New Roman" w:eastAsia="宋体" w:cs="Times New Roman"/>
                      <w:bCs/>
                      <w:color w:val="auto"/>
                      <w:kern w:val="0"/>
                      <w:sz w:val="18"/>
                      <w:szCs w:val="18"/>
                      <w:highlight w:val="none"/>
                      <w:lang w:val="en-US" w:eastAsia="zh-CN"/>
                    </w:rPr>
                    <w:t>6</w:t>
                  </w:r>
                  <w:r>
                    <w:rPr>
                      <w:rFonts w:hint="default" w:ascii="Times New Roman" w:hAnsi="Times New Roman" w:eastAsia="宋体" w:cs="Times New Roman"/>
                      <w:bCs/>
                      <w:color w:val="auto"/>
                      <w:kern w:val="0"/>
                      <w:sz w:val="18"/>
                      <w:szCs w:val="18"/>
                      <w:highlight w:val="none"/>
                    </w:rPr>
                    <w:t>4</w:t>
                  </w:r>
                </w:p>
              </w:tc>
              <w:tc>
                <w:tcPr>
                  <w:tcW w:w="684"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9</w:t>
                  </w:r>
                </w:p>
              </w:tc>
              <w:tc>
                <w:tcPr>
                  <w:tcW w:w="61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设置收集桶，集中收集，存储于一般固废暂存间</w:t>
                  </w:r>
                </w:p>
              </w:tc>
              <w:tc>
                <w:tcPr>
                  <w:tcW w:w="75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9</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外售综合利用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rPr>
                  </w:pP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静电除尘器收尘</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color w:val="auto"/>
                      <w:sz w:val="18"/>
                      <w:szCs w:val="18"/>
                      <w:highlight w:val="none"/>
                    </w:rPr>
                    <w:t>固体废物</w:t>
                  </w:r>
                  <w:r>
                    <w:rPr>
                      <w:rFonts w:hint="default" w:ascii="Times New Roman" w:hAnsi="Times New Roman" w:eastAsia="宋体" w:cs="Times New Roman"/>
                      <w:bCs/>
                      <w:color w:val="auto"/>
                      <w:kern w:val="0"/>
                      <w:sz w:val="18"/>
                      <w:szCs w:val="18"/>
                      <w:highlight w:val="none"/>
                    </w:rPr>
                    <w:t>443-00</w:t>
                  </w:r>
                  <w:r>
                    <w:rPr>
                      <w:rFonts w:hint="default" w:ascii="Times New Roman" w:hAnsi="Times New Roman" w:eastAsia="宋体" w:cs="Times New Roman"/>
                      <w:bCs/>
                      <w:color w:val="auto"/>
                      <w:kern w:val="0"/>
                      <w:sz w:val="18"/>
                      <w:szCs w:val="18"/>
                      <w:highlight w:val="none"/>
                      <w:lang w:val="en-US" w:eastAsia="zh-CN"/>
                    </w:rPr>
                    <w:t>1</w:t>
                  </w:r>
                  <w:r>
                    <w:rPr>
                      <w:rFonts w:hint="default" w:ascii="Times New Roman" w:hAnsi="Times New Roman" w:eastAsia="宋体" w:cs="Times New Roman"/>
                      <w:bCs/>
                      <w:color w:val="auto"/>
                      <w:kern w:val="0"/>
                      <w:sz w:val="18"/>
                      <w:szCs w:val="18"/>
                      <w:highlight w:val="none"/>
                    </w:rPr>
                    <w:t>-66</w:t>
                  </w:r>
                </w:p>
              </w:tc>
              <w:tc>
                <w:tcPr>
                  <w:tcW w:w="684"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9.712</w:t>
                  </w:r>
                </w:p>
              </w:tc>
              <w:tc>
                <w:tcPr>
                  <w:tcW w:w="61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设置收集桶，集中收集，存储于一般固废暂存间</w:t>
                  </w:r>
                </w:p>
              </w:tc>
              <w:tc>
                <w:tcPr>
                  <w:tcW w:w="755"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9.712</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外售，综合利用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rPr>
                  </w:pP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加工废料</w:t>
                  </w:r>
                  <w:r>
                    <w:rPr>
                      <w:rFonts w:hint="eastAsia" w:cs="Times New Roman"/>
                      <w:color w:val="auto"/>
                      <w:sz w:val="18"/>
                      <w:szCs w:val="18"/>
                      <w:highlight w:val="none"/>
                      <w:lang w:val="en-US" w:eastAsia="zh-CN"/>
                    </w:rPr>
                    <w:t>及不合格品</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sz w:val="18"/>
                      <w:szCs w:val="18"/>
                      <w:highlight w:val="none"/>
                    </w:rPr>
                    <w:t>固体废物</w:t>
                  </w:r>
                  <w:r>
                    <w:rPr>
                      <w:rFonts w:hint="default" w:ascii="Times New Roman" w:hAnsi="Times New Roman" w:eastAsia="宋体" w:cs="Times New Roman"/>
                      <w:color w:val="auto"/>
                      <w:kern w:val="2"/>
                      <w:sz w:val="18"/>
                      <w:szCs w:val="18"/>
                      <w:highlight w:val="none"/>
                      <w:lang w:val="en-US" w:eastAsia="zh-CN" w:bidi="ar-SA"/>
                    </w:rPr>
                    <w:t>292-001-06</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设置收集桶，集中收集，存储于一般固废暂存间</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外售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污水处理站</w:t>
                  </w: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污泥</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eastAsia="宋体"/>
                      <w:color w:val="auto"/>
                      <w:lang w:val="en-US" w:eastAsia="zh-CN"/>
                    </w:rPr>
                  </w:pPr>
                  <w:r>
                    <w:rPr>
                      <w:rFonts w:hint="default" w:ascii="Times New Roman" w:hAnsi="Times New Roman" w:eastAsia="宋体" w:cs="Times New Roman"/>
                      <w:color w:val="auto"/>
                      <w:sz w:val="18"/>
                      <w:szCs w:val="18"/>
                      <w:highlight w:val="none"/>
                    </w:rPr>
                    <w:t>固体废物</w:t>
                  </w:r>
                  <w:r>
                    <w:rPr>
                      <w:rFonts w:hint="eastAsia" w:ascii="Times New Roman" w:cs="Times New Roman"/>
                      <w:color w:val="auto"/>
                      <w:sz w:val="18"/>
                      <w:szCs w:val="18"/>
                      <w:highlight w:val="none"/>
                      <w:lang w:val="en-US" w:eastAsia="zh-CN"/>
                    </w:rPr>
                    <w:t>153-003-99</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10</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10</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由市政部门统一处理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废活性炭</w:t>
                  </w:r>
                </w:p>
              </w:tc>
              <w:tc>
                <w:tcPr>
                  <w:tcW w:w="1239"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一般工业</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sz w:val="18"/>
                      <w:szCs w:val="18"/>
                      <w:highlight w:val="none"/>
                    </w:rPr>
                    <w:t>固体废物</w:t>
                  </w:r>
                  <w:r>
                    <w:rPr>
                      <w:rFonts w:hint="eastAsia" w:ascii="Times New Roman" w:cs="Times New Roman"/>
                      <w:color w:val="auto"/>
                      <w:sz w:val="18"/>
                      <w:szCs w:val="18"/>
                      <w:highlight w:val="none"/>
                      <w:lang w:val="en-US" w:eastAsia="zh-CN"/>
                    </w:rPr>
                    <w:t>153-003-99</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0.05</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0.0</w:t>
                  </w:r>
                  <w:r>
                    <w:rPr>
                      <w:rFonts w:hint="eastAsia" w:cs="Times New Roman"/>
                      <w:bCs/>
                      <w:color w:val="auto"/>
                      <w:sz w:val="18"/>
                      <w:szCs w:val="18"/>
                      <w:highlight w:val="none"/>
                      <w:lang w:val="en-US" w:eastAsia="zh-CN"/>
                    </w:rPr>
                    <w:t>5</w:t>
                  </w:r>
                </w:p>
              </w:tc>
              <w:tc>
                <w:tcPr>
                  <w:tcW w:w="1323"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厂家回收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维修</w:t>
                  </w:r>
                </w:p>
              </w:tc>
              <w:tc>
                <w:tcPr>
                  <w:tcW w:w="1137" w:type="dxa"/>
                  <w:noWrap w:val="0"/>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废机油</w:t>
                  </w:r>
                </w:p>
              </w:tc>
              <w:tc>
                <w:tcPr>
                  <w:tcW w:w="1239" w:type="dxa"/>
                  <w:noWrap w:val="0"/>
                  <w:vAlign w:val="center"/>
                </w:tcPr>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olor w:val="auto"/>
                      <w:sz w:val="18"/>
                      <w:szCs w:val="18"/>
                      <w:highlight w:val="none"/>
                    </w:rPr>
                  </w:pPr>
                  <w:r>
                    <w:rPr>
                      <w:rFonts w:hint="eastAsia" w:cs="Times New Roman"/>
                      <w:color w:val="auto"/>
                      <w:sz w:val="18"/>
                      <w:szCs w:val="18"/>
                      <w:highlight w:val="none"/>
                      <w:lang w:val="en-US" w:eastAsia="zh-CN"/>
                    </w:rPr>
                    <w:t>危险废物</w:t>
                  </w:r>
                  <w:r>
                    <w:rPr>
                      <w:rFonts w:hint="eastAsia"/>
                      <w:color w:val="auto"/>
                      <w:sz w:val="18"/>
                      <w:szCs w:val="18"/>
                      <w:highlight w:val="none"/>
                    </w:rPr>
                    <w:t>HW08</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olor w:val="auto"/>
                      <w:kern w:val="0"/>
                      <w:sz w:val="18"/>
                      <w:szCs w:val="18"/>
                      <w:highlight w:val="none"/>
                    </w:rPr>
                    <w:t>900-214-08</w:t>
                  </w:r>
                </w:p>
              </w:tc>
              <w:tc>
                <w:tcPr>
                  <w:tcW w:w="684"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0.1</w:t>
                  </w:r>
                </w:p>
              </w:tc>
              <w:tc>
                <w:tcPr>
                  <w:tcW w:w="61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液</w:t>
                  </w:r>
                </w:p>
              </w:tc>
              <w:tc>
                <w:tcPr>
                  <w:tcW w:w="1342"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设置收集桶，集中收集，暂存于危险废物贮存点内</w:t>
                  </w:r>
                </w:p>
              </w:tc>
              <w:tc>
                <w:tcPr>
                  <w:tcW w:w="755" w:type="dxa"/>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0.1</w:t>
                  </w:r>
                </w:p>
              </w:tc>
              <w:tc>
                <w:tcPr>
                  <w:tcW w:w="13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kern w:val="21"/>
                      <w:sz w:val="18"/>
                      <w:szCs w:val="18"/>
                      <w:highlight w:val="none"/>
                      <w:lang w:val="en-US" w:eastAsia="zh-CN"/>
                    </w:rPr>
                    <w:t>由有资质单位拉运处理</w:t>
                  </w:r>
                </w:p>
              </w:tc>
            </w:tr>
          </w:tbl>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default" w:ascii="Times New Roman" w:hAnsi="Times New Roman" w:eastAsia="宋体" w:cs="Times New Roman"/>
                <w:color w:val="auto"/>
                <w:kern w:val="21"/>
                <w:sz w:val="21"/>
                <w:szCs w:val="21"/>
                <w:highlight w:val="none"/>
                <w:lang w:val="en-US" w:eastAsia="zh-CN"/>
              </w:rPr>
              <w:t>员</w:t>
            </w:r>
            <w:r>
              <w:rPr>
                <w:rFonts w:hint="default" w:ascii="Times New Roman" w:hAnsi="Times New Roman" w:eastAsia="宋体" w:cs="Times New Roman"/>
                <w:color w:val="auto"/>
                <w:kern w:val="21"/>
                <w:sz w:val="21"/>
                <w:szCs w:val="21"/>
                <w:highlight w:val="none"/>
              </w:rPr>
              <w:t>工生活垃圾</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sz w:val="21"/>
                <w:szCs w:val="21"/>
                <w:highlight w:val="none"/>
              </w:rPr>
              <w:t>餐馀废物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废油脂</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废离子交换树脂</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废包装物</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污水处理站污泥</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烟熏炉炉渣</w:t>
            </w:r>
            <w:r>
              <w:rPr>
                <w:rStyle w:val="139"/>
                <w:rFonts w:hint="eastAsia" w:ascii="Times New Roman" w:hAnsi="Times New Roman"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电除尘器收尘</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加工废料</w:t>
            </w:r>
            <w:r>
              <w:rPr>
                <w:rFonts w:hint="eastAsia" w:cs="Times New Roman"/>
                <w:color w:val="auto"/>
                <w:sz w:val="21"/>
                <w:szCs w:val="21"/>
                <w:highlight w:val="none"/>
                <w:lang w:val="en-US" w:eastAsia="zh-CN"/>
              </w:rPr>
              <w:t>及不合格品和废机油</w:t>
            </w:r>
            <w:r>
              <w:rPr>
                <w:rFonts w:hint="eastAsia" w:ascii="Times New Roman" w:hAnsi="Times New Roman" w:eastAsia="宋体" w:cs="Times New Roman"/>
                <w:color w:val="auto"/>
                <w:sz w:val="21"/>
                <w:szCs w:val="21"/>
                <w:highlight w:val="none"/>
                <w:lang w:val="en-US" w:eastAsia="zh-CN"/>
              </w:rPr>
              <w:t>。</w:t>
            </w:r>
          </w:p>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①生活垃圾：本项目劳动定员</w:t>
            </w:r>
            <w:r>
              <w:rPr>
                <w:rFonts w:hint="default" w:ascii="Times New Roman" w:hAnsi="Times New Roman" w:eastAsia="宋体" w:cs="Times New Roman"/>
                <w:color w:val="auto"/>
                <w:sz w:val="21"/>
                <w:szCs w:val="21"/>
                <w:highlight w:val="none"/>
                <w:lang w:val="en-US" w:eastAsia="zh-CN"/>
              </w:rPr>
              <w:t>150</w:t>
            </w:r>
            <w:r>
              <w:rPr>
                <w:rFonts w:hint="default" w:ascii="Times New Roman" w:hAnsi="Times New Roman" w:eastAsia="宋体" w:cs="Times New Roman"/>
                <w:color w:val="auto"/>
                <w:sz w:val="21"/>
                <w:szCs w:val="21"/>
                <w:highlight w:val="none"/>
              </w:rPr>
              <w:t>人，生活垃圾按0.5kg/人·d计，生产天数按3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d计，则生活垃圾产生量为</w:t>
            </w:r>
            <w:r>
              <w:rPr>
                <w:rFonts w:hint="default" w:ascii="Times New Roman" w:hAnsi="Times New Roman" w:eastAsia="宋体" w:cs="Times New Roman"/>
                <w:color w:val="auto"/>
                <w:sz w:val="21"/>
                <w:szCs w:val="21"/>
                <w:highlight w:val="none"/>
                <w:lang w:val="en-US" w:eastAsia="zh-CN"/>
              </w:rPr>
              <w:t>26.25</w:t>
            </w:r>
            <w:r>
              <w:rPr>
                <w:rFonts w:hint="default" w:ascii="Times New Roman" w:hAnsi="Times New Roman" w:eastAsia="宋体" w:cs="Times New Roman"/>
                <w:color w:val="auto"/>
                <w:sz w:val="21"/>
                <w:szCs w:val="21"/>
                <w:highlight w:val="none"/>
              </w:rPr>
              <w:t>t/a，由市政部门统一处理。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②食堂：</w:t>
            </w:r>
            <w:r>
              <w:rPr>
                <w:rFonts w:hint="default" w:ascii="Times New Roman" w:hAnsi="Times New Roman" w:eastAsia="宋体" w:cs="Times New Roman"/>
                <w:color w:val="auto"/>
                <w:kern w:val="21"/>
                <w:sz w:val="21"/>
                <w:szCs w:val="21"/>
                <w:highlight w:val="none"/>
              </w:rPr>
              <w:t>本项目劳动定员为</w:t>
            </w:r>
            <w:r>
              <w:rPr>
                <w:rFonts w:hint="default" w:ascii="Times New Roman" w:hAnsi="Times New Roman" w:eastAsia="宋体" w:cs="Times New Roman"/>
                <w:color w:val="auto"/>
                <w:kern w:val="21"/>
                <w:sz w:val="21"/>
                <w:szCs w:val="21"/>
                <w:highlight w:val="none"/>
                <w:lang w:val="en-US" w:eastAsia="zh-CN"/>
              </w:rPr>
              <w:t>150</w:t>
            </w:r>
            <w:r>
              <w:rPr>
                <w:rFonts w:hint="default" w:ascii="Times New Roman" w:hAnsi="Times New Roman" w:eastAsia="宋体" w:cs="Times New Roman"/>
                <w:color w:val="auto"/>
                <w:kern w:val="21"/>
                <w:sz w:val="21"/>
                <w:szCs w:val="21"/>
                <w:highlight w:val="none"/>
              </w:rPr>
              <w:t>人</w:t>
            </w:r>
            <w:r>
              <w:rPr>
                <w:rFonts w:hint="default" w:ascii="Times New Roman" w:hAnsi="Times New Roman" w:eastAsia="宋体" w:cs="Times New Roman"/>
                <w:color w:val="auto"/>
                <w:kern w:val="21"/>
                <w:sz w:val="21"/>
                <w:szCs w:val="21"/>
                <w:highlight w:val="none"/>
                <w:lang w:val="en-US" w:eastAsia="zh-CN"/>
              </w:rPr>
              <w:t>，80人1餐</w:t>
            </w:r>
            <w:r>
              <w:rPr>
                <w:rFonts w:hint="default" w:ascii="Times New Roman" w:hAnsi="Times New Roman" w:eastAsia="宋体" w:cs="Times New Roman"/>
                <w:color w:val="auto"/>
                <w:sz w:val="21"/>
                <w:szCs w:val="21"/>
                <w:highlight w:val="none"/>
              </w:rPr>
              <w:t>/天</w:t>
            </w:r>
            <w:r>
              <w:rPr>
                <w:rFonts w:hint="default" w:ascii="Times New Roman" w:hAnsi="Times New Roman" w:eastAsia="宋体" w:cs="Times New Roman"/>
                <w:color w:val="auto"/>
                <w:kern w:val="21"/>
                <w:sz w:val="21"/>
                <w:szCs w:val="21"/>
                <w:highlight w:val="none"/>
                <w:lang w:val="en-US" w:eastAsia="zh-CN"/>
              </w:rPr>
              <w:t>，70人3餐</w:t>
            </w:r>
            <w:r>
              <w:rPr>
                <w:rFonts w:hint="default" w:ascii="Times New Roman" w:hAnsi="Times New Roman" w:eastAsia="宋体" w:cs="Times New Roman"/>
                <w:color w:val="auto"/>
                <w:sz w:val="21"/>
                <w:szCs w:val="21"/>
                <w:highlight w:val="none"/>
              </w:rPr>
              <w:t>/天</w:t>
            </w:r>
            <w:r>
              <w:rPr>
                <w:rFonts w:hint="default" w:ascii="Times New Roman" w:hAnsi="Times New Roman" w:eastAsia="宋体" w:cs="Times New Roman"/>
                <w:color w:val="auto"/>
                <w:kern w:val="21"/>
                <w:sz w:val="21"/>
                <w:szCs w:val="21"/>
                <w:highlight w:val="none"/>
                <w:lang w:val="en-US" w:eastAsia="zh-CN"/>
              </w:rPr>
              <w:t>，</w:t>
            </w:r>
            <w:r>
              <w:rPr>
                <w:rFonts w:hint="default" w:ascii="Times New Roman" w:hAnsi="Times New Roman" w:eastAsia="宋体" w:cs="Times New Roman"/>
                <w:color w:val="auto"/>
                <w:sz w:val="21"/>
                <w:szCs w:val="21"/>
                <w:highlight w:val="none"/>
              </w:rPr>
              <w:t>餐馀废物按0.3kg/人·餐计，油烟净化器、油水分离器分离出的废油脂产生量按耗油量10%计，则餐馀废物产生量</w:t>
            </w:r>
            <w:r>
              <w:rPr>
                <w:rFonts w:hint="default" w:ascii="Times New Roman" w:hAnsi="Times New Roman" w:eastAsia="宋体" w:cs="Times New Roman"/>
                <w:color w:val="auto"/>
                <w:sz w:val="21"/>
                <w:szCs w:val="21"/>
                <w:highlight w:val="none"/>
                <w:lang w:val="en-US" w:eastAsia="zh-CN"/>
              </w:rPr>
              <w:t>30.45</w:t>
            </w:r>
            <w:r>
              <w:rPr>
                <w:rFonts w:hint="default" w:ascii="Times New Roman" w:hAnsi="Times New Roman" w:eastAsia="宋体" w:cs="Times New Roman"/>
                <w:color w:val="auto"/>
                <w:sz w:val="21"/>
                <w:szCs w:val="21"/>
                <w:highlight w:val="none"/>
              </w:rPr>
              <w:t>t/a，废油脂产生量约为</w:t>
            </w:r>
            <w:r>
              <w:rPr>
                <w:rFonts w:hint="default" w:ascii="Times New Roman" w:hAnsi="Times New Roman" w:eastAsia="宋体" w:cs="Times New Roman"/>
                <w:color w:val="auto"/>
                <w:sz w:val="21"/>
                <w:szCs w:val="21"/>
                <w:highlight w:val="none"/>
                <w:lang w:val="en-US" w:eastAsia="zh-CN"/>
              </w:rPr>
              <w:t>3.045</w:t>
            </w:r>
            <w:r>
              <w:rPr>
                <w:rFonts w:hint="default" w:ascii="Times New Roman" w:hAnsi="Times New Roman" w:eastAsia="宋体" w:cs="Times New Roman"/>
                <w:color w:val="auto"/>
                <w:sz w:val="21"/>
                <w:szCs w:val="21"/>
                <w:highlight w:val="none"/>
              </w:rPr>
              <w:t>t/a，餐馀废物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废油脂</w:t>
            </w:r>
            <w:r>
              <w:rPr>
                <w:rFonts w:hint="eastAsia" w:cs="Times New Roman"/>
                <w:color w:val="auto"/>
                <w:sz w:val="21"/>
                <w:szCs w:val="21"/>
                <w:highlight w:val="none"/>
                <w:lang w:val="en-US" w:eastAsia="zh-CN"/>
              </w:rPr>
              <w:t>按《哈尔滨市城市餐厨废弃物管理办法》相关要求，由有资质单位处理。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一般工业固体废物</w:t>
            </w:r>
          </w:p>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③废离子交换树脂</w:t>
            </w:r>
          </w:p>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锅炉软化水处理系统中的树脂定期更换，废离子交换树脂产生量约</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t/a，废离子交换树脂不属于《国家危险废物名录》（2021.1.1）中列明的危险废物（HW49其他废物，900-046-49</w:t>
            </w:r>
            <w:r>
              <w:rPr>
                <w:rFonts w:hint="eastAsia" w:cs="Times New Roman"/>
                <w:color w:val="auto"/>
                <w:sz w:val="21"/>
                <w:szCs w:val="21"/>
                <w:highlight w:val="none"/>
                <w:lang w:val="en-US" w:eastAsia="zh-CN"/>
              </w:rPr>
              <w:t>离子</w:t>
            </w:r>
            <w:r>
              <w:rPr>
                <w:rFonts w:hint="default" w:ascii="Times New Roman" w:hAnsi="Times New Roman" w:eastAsia="宋体" w:cs="Times New Roman"/>
                <w:color w:val="auto"/>
                <w:sz w:val="21"/>
                <w:szCs w:val="21"/>
                <w:highlight w:val="none"/>
              </w:rPr>
              <w:t>交换装置（不包括饮用水、工业纯水和锅炉软化水制备装置）再生过程中产生的废水处理污泥），集中收集，</w:t>
            </w:r>
            <w:r>
              <w:rPr>
                <w:rFonts w:hint="eastAsia" w:cs="Times New Roman"/>
                <w:color w:val="auto"/>
                <w:sz w:val="21"/>
                <w:szCs w:val="21"/>
                <w:highlight w:val="none"/>
                <w:lang w:val="en-US" w:eastAsia="zh-CN"/>
              </w:rPr>
              <w:t>交由厂家再生处理</w:t>
            </w:r>
            <w:r>
              <w:rPr>
                <w:rFonts w:hint="default" w:ascii="Times New Roman" w:hAnsi="Times New Roman" w:eastAsia="宋体" w:cs="Times New Roman"/>
                <w:color w:val="auto"/>
                <w:sz w:val="21"/>
                <w:szCs w:val="21"/>
                <w:highlight w:val="none"/>
              </w:rPr>
              <w:t>。</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rPr>
              <w:t>废包装物：废包装物产生量</w:t>
            </w:r>
            <w:r>
              <w:rPr>
                <w:rFonts w:hint="default" w:ascii="Times New Roman" w:hAnsi="Times New Roman" w:eastAsia="宋体" w:cs="Times New Roman"/>
                <w:color w:val="auto"/>
                <w:sz w:val="21"/>
                <w:szCs w:val="21"/>
                <w:highlight w:val="none"/>
                <w:lang w:val="en-US" w:eastAsia="zh-CN"/>
              </w:rPr>
              <w:t>约</w:t>
            </w:r>
            <w:r>
              <w:rPr>
                <w:rFonts w:hint="default" w:ascii="Times New Roman" w:hAnsi="Times New Roman" w:eastAsia="宋体" w:cs="Times New Roman"/>
                <w:color w:val="auto"/>
                <w:sz w:val="21"/>
                <w:szCs w:val="21"/>
                <w:highlight w:val="none"/>
              </w:rPr>
              <w:t>1t/a，</w:t>
            </w:r>
            <w:r>
              <w:rPr>
                <w:rFonts w:hint="default" w:ascii="Times New Roman" w:hAnsi="Times New Roman" w:eastAsia="宋体" w:cs="Times New Roman"/>
                <w:color w:val="auto"/>
                <w:sz w:val="21"/>
                <w:szCs w:val="21"/>
                <w:highlight w:val="none"/>
                <w:lang w:val="en-US" w:eastAsia="zh-CN"/>
              </w:rPr>
              <w:t>外售</w:t>
            </w:r>
            <w:r>
              <w:rPr>
                <w:rFonts w:hint="default" w:ascii="Times New Roman" w:hAnsi="Times New Roman" w:eastAsia="宋体" w:cs="Times New Roman"/>
                <w:color w:val="auto"/>
                <w:sz w:val="21"/>
                <w:szCs w:val="21"/>
                <w:highlight w:val="none"/>
              </w:rPr>
              <w:t>。</w:t>
            </w:r>
          </w:p>
          <w:p>
            <w:pPr>
              <w:pStyle w:val="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⑤污水处理站污泥：污水处理站污泥经机械脱水后产生量约10t/a，由市政部门统一处理。</w:t>
            </w:r>
          </w:p>
          <w:p>
            <w:pPr>
              <w:pStyle w:val="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⑥废活性炭：根据查询资料可知，活性炭与有机废气的吸附比约为1:0.3，饱和率按</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0%计算，项目产生的有机废气约为0.0000</w:t>
            </w:r>
            <w:r>
              <w:rPr>
                <w:rFonts w:hint="eastAsia" w:cs="Times New Roman"/>
                <w:color w:val="auto"/>
                <w:sz w:val="21"/>
                <w:szCs w:val="21"/>
                <w:highlight w:val="none"/>
                <w:lang w:val="en-US" w:eastAsia="zh-CN"/>
              </w:rPr>
              <w:t>653</w:t>
            </w:r>
            <w:r>
              <w:rPr>
                <w:rFonts w:hint="default" w:ascii="Times New Roman" w:hAnsi="Times New Roman" w:eastAsia="宋体" w:cs="Times New Roman"/>
                <w:color w:val="auto"/>
                <w:sz w:val="21"/>
                <w:szCs w:val="21"/>
                <w:highlight w:val="none"/>
                <w:lang w:val="en-US" w:eastAsia="zh-CN"/>
              </w:rPr>
              <w:t>t/d，0.0</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87</w:t>
            </w:r>
            <w:r>
              <w:rPr>
                <w:rFonts w:hint="default" w:ascii="Times New Roman" w:hAnsi="Times New Roman" w:eastAsia="宋体" w:cs="Times New Roman"/>
                <w:color w:val="auto"/>
                <w:sz w:val="21"/>
                <w:szCs w:val="21"/>
                <w:highlight w:val="none"/>
                <w:lang w:val="en-US" w:eastAsia="zh-CN"/>
              </w:rPr>
              <w:t>t/a，则本项目所需活性炭为0.0</w:t>
            </w:r>
            <w:r>
              <w:rPr>
                <w:rFonts w:hint="eastAsia" w:cs="Times New Roman"/>
                <w:color w:val="auto"/>
                <w:sz w:val="21"/>
                <w:szCs w:val="21"/>
                <w:highlight w:val="none"/>
                <w:lang w:val="en-US" w:eastAsia="zh-CN"/>
              </w:rPr>
              <w:t>85</w:t>
            </w:r>
            <w:r>
              <w:rPr>
                <w:rFonts w:hint="default" w:ascii="Times New Roman" w:hAnsi="Times New Roman" w:eastAsia="宋体" w:cs="Times New Roman"/>
                <w:color w:val="auto"/>
                <w:sz w:val="21"/>
                <w:szCs w:val="21"/>
                <w:highlight w:val="none"/>
                <w:lang w:val="en-US" w:eastAsia="zh-CN"/>
              </w:rPr>
              <w:t>t/a。本项目活性炭每次装箱量为0.05t，可以吸附大约</w:t>
            </w:r>
            <w:r>
              <w:rPr>
                <w:rFonts w:hint="eastAsia" w:cs="Times New Roman"/>
                <w:color w:val="auto"/>
                <w:sz w:val="21"/>
                <w:szCs w:val="21"/>
                <w:highlight w:val="none"/>
                <w:lang w:val="en-US" w:eastAsia="zh-CN"/>
              </w:rPr>
              <w:t>766</w:t>
            </w:r>
            <w:r>
              <w:rPr>
                <w:rFonts w:hint="default" w:ascii="Times New Roman" w:hAnsi="Times New Roman" w:eastAsia="宋体" w:cs="Times New Roman"/>
                <w:color w:val="auto"/>
                <w:sz w:val="21"/>
                <w:szCs w:val="21"/>
                <w:highlight w:val="none"/>
                <w:lang w:val="en-US" w:eastAsia="zh-CN"/>
              </w:rPr>
              <w:t>天排放的有机废气，为保证废气治理措施的有效性，则本项目活性炭</w:t>
            </w: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lang w:val="en-US" w:eastAsia="zh-CN"/>
              </w:rPr>
              <w:t>年更换一次，产生废活性炭0.05t/</w:t>
            </w:r>
            <w:r>
              <w:rPr>
                <w:rFonts w:hint="eastAsia"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由厂家回收</w:t>
            </w:r>
            <w:r>
              <w:rPr>
                <w:rFonts w:hint="default" w:ascii="Times New Roman" w:hAnsi="Times New Roman" w:eastAsia="宋体" w:cs="Times New Roman"/>
                <w:color w:val="auto"/>
                <w:sz w:val="21"/>
                <w:szCs w:val="21"/>
                <w:highlight w:val="none"/>
                <w:lang w:val="en-US" w:eastAsia="zh-CN"/>
              </w:rPr>
              <w:t>。</w:t>
            </w:r>
          </w:p>
          <w:p>
            <w:pPr>
              <w:pStyle w:val="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⑦烟熏炉炉渣产生量约9t/a，外售综合利用。</w:t>
            </w:r>
          </w:p>
          <w:p>
            <w:pPr>
              <w:pStyle w:val="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⑧静电除尘器收尘约</w:t>
            </w:r>
            <w:r>
              <w:rPr>
                <w:rFonts w:hint="eastAsia" w:cs="Times New Roman"/>
                <w:color w:val="auto"/>
                <w:sz w:val="21"/>
                <w:szCs w:val="21"/>
                <w:highlight w:val="none"/>
                <w:lang w:val="en-US" w:eastAsia="zh-CN"/>
              </w:rPr>
              <w:t>9.712</w:t>
            </w:r>
            <w:r>
              <w:rPr>
                <w:rFonts w:hint="default" w:ascii="Times New Roman" w:hAnsi="Times New Roman" w:eastAsia="宋体" w:cs="Times New Roman"/>
                <w:color w:val="auto"/>
                <w:sz w:val="21"/>
                <w:szCs w:val="21"/>
                <w:highlight w:val="none"/>
                <w:lang w:val="en-US" w:eastAsia="zh-CN"/>
              </w:rPr>
              <w:t>t/a，</w:t>
            </w:r>
            <w:r>
              <w:rPr>
                <w:rFonts w:hint="eastAsia" w:cs="Times New Roman"/>
                <w:color w:val="auto"/>
                <w:sz w:val="21"/>
                <w:szCs w:val="21"/>
                <w:highlight w:val="none"/>
                <w:lang w:val="en-US" w:eastAsia="zh-CN"/>
              </w:rPr>
              <w:t>外售，综合利用</w:t>
            </w:r>
            <w:r>
              <w:rPr>
                <w:rFonts w:hint="default" w:ascii="Times New Roman" w:hAnsi="Times New Roman" w:eastAsia="宋体" w:cs="Times New Roman"/>
                <w:color w:val="auto"/>
                <w:sz w:val="21"/>
                <w:szCs w:val="21"/>
                <w:highlight w:val="none"/>
                <w:lang w:val="en-US" w:eastAsia="zh-CN"/>
              </w:rPr>
              <w:t>。</w:t>
            </w:r>
          </w:p>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⑨加工废料</w:t>
            </w:r>
            <w:r>
              <w:rPr>
                <w:rFonts w:hint="eastAsia" w:cs="Times New Roman"/>
                <w:color w:val="auto"/>
                <w:sz w:val="21"/>
                <w:szCs w:val="21"/>
                <w:highlight w:val="none"/>
                <w:lang w:val="en-US" w:eastAsia="zh-CN"/>
              </w:rPr>
              <w:t>及不合格品，</w:t>
            </w:r>
            <w:r>
              <w:rPr>
                <w:rFonts w:hint="default" w:ascii="Times New Roman" w:hAnsi="Times New Roman" w:eastAsia="宋体" w:cs="Times New Roman"/>
                <w:color w:val="auto"/>
                <w:sz w:val="21"/>
                <w:szCs w:val="21"/>
                <w:highlight w:val="none"/>
                <w:lang w:val="en-US" w:eastAsia="zh-CN"/>
              </w:rPr>
              <w:t>产生量1t/a，外</w:t>
            </w:r>
            <w:r>
              <w:rPr>
                <w:rFonts w:hint="eastAsia" w:ascii="Times New Roman" w:hAnsi="Times New Roman" w:eastAsia="宋体" w:cs="Times New Roman"/>
                <w:color w:val="auto"/>
                <w:sz w:val="21"/>
                <w:szCs w:val="21"/>
                <w:highlight w:val="none"/>
                <w:lang w:val="en-US" w:eastAsia="zh-CN"/>
              </w:rPr>
              <w:t>售</w:t>
            </w:r>
            <w:r>
              <w:rPr>
                <w:rFonts w:hint="default" w:ascii="Times New Roman" w:hAnsi="Times New Roman" w:eastAsia="宋体" w:cs="Times New Roman"/>
                <w:color w:val="auto"/>
                <w:sz w:val="21"/>
                <w:szCs w:val="21"/>
                <w:highlight w:val="none"/>
                <w:lang w:val="en-US" w:eastAsia="zh-CN"/>
              </w:rPr>
              <w:t>。</w:t>
            </w:r>
          </w:p>
          <w:p>
            <w:pPr>
              <w:pStyle w:val="3"/>
              <w:keepNext w:val="0"/>
              <w:keepLines w:val="0"/>
              <w:suppressLineNumbers w:val="0"/>
              <w:spacing w:before="0" w:beforeAutospacing="0" w:after="0" w:afterAutospacing="0"/>
              <w:ind w:left="0" w:right="0" w:firstLine="420" w:firstLineChars="200"/>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危险废物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s="Times New Roman"/>
                <w:color w:val="auto"/>
                <w:kern w:val="21"/>
                <w:sz w:val="21"/>
                <w:szCs w:val="21"/>
                <w:highlight w:val="none"/>
                <w:lang w:val="en-US" w:eastAsia="zh-CN"/>
              </w:rPr>
            </w:pPr>
            <w:r>
              <w:rPr>
                <w:rFonts w:hint="eastAsia" w:cs="Times New Roman"/>
                <w:color w:val="auto"/>
                <w:sz w:val="21"/>
                <w:szCs w:val="21"/>
                <w:highlight w:val="none"/>
                <w:lang w:val="en-US" w:eastAsia="zh-CN"/>
              </w:rPr>
              <w:t>⑩废机油：本项目设备维修产生废机油</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1t/a</w:t>
            </w:r>
            <w:r>
              <w:rPr>
                <w:rFonts w:hint="eastAsia" w:ascii="Times New Roman" w:hAnsi="Times New Roman" w:eastAsia="宋体" w:cs="Times New Roman"/>
                <w:color w:val="auto"/>
                <w:sz w:val="21"/>
                <w:szCs w:val="21"/>
                <w:highlight w:val="none"/>
                <w:lang w:val="en-US" w:eastAsia="zh-CN"/>
              </w:rPr>
              <w:t>，密封桶装，暂存于</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w:t>
            </w:r>
            <w:r>
              <w:rPr>
                <w:rFonts w:hint="eastAsia" w:cs="Times New Roman"/>
                <w:color w:val="auto"/>
                <w:kern w:val="21"/>
                <w:sz w:val="21"/>
                <w:szCs w:val="21"/>
                <w:highlight w:val="none"/>
                <w:lang w:val="en-US" w:eastAsia="zh-CN"/>
              </w:rPr>
              <w:t>定期由有资质单位拉运处理。</w:t>
            </w:r>
          </w:p>
          <w:p>
            <w:pPr>
              <w:keepNext w:val="0"/>
              <w:keepLines w:val="0"/>
              <w:pageBreakBefore w:val="0"/>
              <w:widowControl w:val="0"/>
              <w:suppressLineNumbers w:val="0"/>
              <w:kinsoku/>
              <w:wordWrap/>
              <w:overflowPunct/>
              <w:topLinePunct/>
              <w:autoSpaceDE/>
              <w:autoSpaceDN/>
              <w:bidi w:val="0"/>
              <w:adjustRightInd w:val="0"/>
              <w:snapToGrid w:val="0"/>
              <w:spacing w:before="0" w:beforeAutospacing="0" w:after="0" w:afterAutospacing="0" w:line="240" w:lineRule="auto"/>
              <w:ind w:left="0" w:right="0"/>
              <w:jc w:val="center"/>
              <w:textAlignment w:val="auto"/>
              <w:rPr>
                <w:rFonts w:hint="default"/>
                <w:b/>
                <w:color w:val="auto"/>
                <w:sz w:val="21"/>
                <w:szCs w:val="21"/>
                <w:highlight w:val="none"/>
              </w:rPr>
            </w:pPr>
            <w:r>
              <w:rPr>
                <w:rFonts w:hint="default"/>
                <w:b/>
                <w:color w:val="auto"/>
                <w:sz w:val="21"/>
                <w:szCs w:val="21"/>
                <w:highlight w:val="none"/>
              </w:rPr>
              <w:t>表4-</w:t>
            </w:r>
            <w:r>
              <w:rPr>
                <w:rFonts w:hint="eastAsia"/>
                <w:b/>
                <w:color w:val="auto"/>
                <w:sz w:val="21"/>
                <w:szCs w:val="21"/>
                <w:highlight w:val="none"/>
                <w:lang w:val="en-US" w:eastAsia="zh-CN"/>
              </w:rPr>
              <w:t>19</w:t>
            </w:r>
            <w:r>
              <w:rPr>
                <w:rFonts w:hint="default"/>
                <w:b/>
                <w:color w:val="auto"/>
                <w:sz w:val="21"/>
                <w:szCs w:val="21"/>
                <w:highlight w:val="none"/>
              </w:rPr>
              <w:t xml:space="preserve"> 危险废物汇总表</w:t>
            </w:r>
          </w:p>
          <w:tbl>
            <w:tblPr>
              <w:tblStyle w:val="32"/>
              <w:tblW w:w="794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40"/>
              <w:gridCol w:w="742"/>
              <w:gridCol w:w="600"/>
              <w:gridCol w:w="1169"/>
              <w:gridCol w:w="571"/>
              <w:gridCol w:w="750"/>
              <w:gridCol w:w="555"/>
              <w:gridCol w:w="420"/>
              <w:gridCol w:w="390"/>
              <w:gridCol w:w="480"/>
              <w:gridCol w:w="510"/>
              <w:gridCol w:w="13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4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序号</w:t>
                  </w:r>
                </w:p>
              </w:tc>
              <w:tc>
                <w:tcPr>
                  <w:tcW w:w="742"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危险废物名称</w:t>
                  </w:r>
                </w:p>
              </w:tc>
              <w:tc>
                <w:tcPr>
                  <w:tcW w:w="60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危险废物类别</w:t>
                  </w:r>
                </w:p>
              </w:tc>
              <w:tc>
                <w:tcPr>
                  <w:tcW w:w="116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危险废物代码</w:t>
                  </w:r>
                </w:p>
              </w:tc>
              <w:tc>
                <w:tcPr>
                  <w:tcW w:w="571"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产生量</w:t>
                  </w:r>
                  <w:r>
                    <w:rPr>
                      <w:rFonts w:hint="default" w:ascii="Times New Roman" w:hAnsi="Times New Roman" w:eastAsia="宋体" w:cs="Times New Roman"/>
                      <w:color w:val="auto"/>
                      <w:kern w:val="0"/>
                      <w:sz w:val="18"/>
                      <w:szCs w:val="18"/>
                      <w:highlight w:val="none"/>
                      <w:lang w:val="en-US" w:eastAsia="zh-CN" w:bidi="ar"/>
                    </w:rPr>
                    <w:t>t/a</w:t>
                  </w:r>
                </w:p>
              </w:tc>
              <w:tc>
                <w:tcPr>
                  <w:tcW w:w="75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产生工序及装置</w:t>
                  </w:r>
                </w:p>
              </w:tc>
              <w:tc>
                <w:tcPr>
                  <w:tcW w:w="555"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形态</w:t>
                  </w:r>
                </w:p>
              </w:tc>
              <w:tc>
                <w:tcPr>
                  <w:tcW w:w="42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主要成分</w:t>
                  </w:r>
                </w:p>
              </w:tc>
              <w:tc>
                <w:tcPr>
                  <w:tcW w:w="3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有害成分</w:t>
                  </w:r>
                </w:p>
              </w:tc>
              <w:tc>
                <w:tcPr>
                  <w:tcW w:w="48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产废周期</w:t>
                  </w:r>
                </w:p>
              </w:tc>
              <w:tc>
                <w:tcPr>
                  <w:tcW w:w="51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危险特性</w:t>
                  </w:r>
                </w:p>
              </w:tc>
              <w:tc>
                <w:tcPr>
                  <w:tcW w:w="131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污染防治措施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40" w:type="dxa"/>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1</w:t>
                  </w:r>
                </w:p>
              </w:tc>
              <w:tc>
                <w:tcPr>
                  <w:tcW w:w="742" w:type="dxa"/>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eastAsia="宋体"/>
                      <w:bCs/>
                      <w:color w:val="auto"/>
                      <w:sz w:val="18"/>
                      <w:szCs w:val="18"/>
                      <w:highlight w:val="none"/>
                      <w:lang w:val="en-US" w:eastAsia="zh-CN"/>
                    </w:rPr>
                  </w:pPr>
                  <w:r>
                    <w:rPr>
                      <w:rFonts w:hint="eastAsia" w:eastAsia="宋体"/>
                      <w:color w:val="auto"/>
                      <w:kern w:val="0"/>
                      <w:sz w:val="18"/>
                      <w:szCs w:val="18"/>
                      <w:highlight w:val="none"/>
                      <w:lang w:val="en-US" w:eastAsia="zh-CN"/>
                    </w:rPr>
                    <w:t>废机油</w:t>
                  </w:r>
                </w:p>
              </w:tc>
              <w:tc>
                <w:tcPr>
                  <w:tcW w:w="600" w:type="dxa"/>
                  <w:vAlign w:val="center"/>
                </w:tcPr>
                <w:p>
                  <w:pPr>
                    <w:pStyle w:val="135"/>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rPr>
                    <w:t>HW08</w:t>
                  </w:r>
                </w:p>
              </w:tc>
              <w:tc>
                <w:tcPr>
                  <w:tcW w:w="1169" w:type="dxa"/>
                  <w:vAlign w:val="center"/>
                </w:tcPr>
                <w:p>
                  <w:pPr>
                    <w:pStyle w:val="135"/>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kern w:val="0"/>
                      <w:sz w:val="18"/>
                      <w:szCs w:val="18"/>
                      <w:highlight w:val="none"/>
                    </w:rPr>
                    <w:t>900-214-08</w:t>
                  </w:r>
                </w:p>
              </w:tc>
              <w:tc>
                <w:tcPr>
                  <w:tcW w:w="571" w:type="dxa"/>
                  <w:vAlign w:val="center"/>
                </w:tcPr>
                <w:p>
                  <w:pPr>
                    <w:keepNext w:val="0"/>
                    <w:keepLines w:val="0"/>
                    <w:suppressLineNumbers w:val="0"/>
                    <w:adjustRightInd w:val="0"/>
                    <w:snapToGrid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0.1</w:t>
                  </w:r>
                </w:p>
              </w:tc>
              <w:tc>
                <w:tcPr>
                  <w:tcW w:w="750" w:type="dxa"/>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
                    </w:rPr>
                    <w:t>设备维修</w:t>
                  </w:r>
                </w:p>
              </w:tc>
              <w:tc>
                <w:tcPr>
                  <w:tcW w:w="555" w:type="dxa"/>
                  <w:vAlign w:val="center"/>
                </w:tcPr>
                <w:p>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液</w:t>
                  </w:r>
                  <w:r>
                    <w:rPr>
                      <w:rFonts w:hint="default"/>
                      <w:color w:val="auto"/>
                      <w:sz w:val="18"/>
                      <w:szCs w:val="18"/>
                      <w:highlight w:val="none"/>
                    </w:rPr>
                    <w:t>态</w:t>
                  </w:r>
                </w:p>
              </w:tc>
              <w:tc>
                <w:tcPr>
                  <w:tcW w:w="42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w:t>
                  </w:r>
                </w:p>
              </w:tc>
              <w:tc>
                <w:tcPr>
                  <w:tcW w:w="39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w:t>
                  </w:r>
                </w:p>
              </w:tc>
              <w:tc>
                <w:tcPr>
                  <w:tcW w:w="480"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1年</w:t>
                  </w:r>
                </w:p>
              </w:tc>
              <w:tc>
                <w:tcPr>
                  <w:tcW w:w="510" w:type="dxa"/>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bCs/>
                      <w:color w:val="auto"/>
                      <w:sz w:val="18"/>
                      <w:szCs w:val="18"/>
                      <w:highlight w:val="none"/>
                    </w:rPr>
                    <w:t>T</w:t>
                  </w:r>
                  <w:r>
                    <w:rPr>
                      <w:rFonts w:hint="eastAsia"/>
                      <w:bCs/>
                      <w:color w:val="auto"/>
                      <w:sz w:val="18"/>
                      <w:szCs w:val="18"/>
                      <w:highlight w:val="none"/>
                      <w:lang w:val="en-US" w:eastAsia="zh-CN"/>
                    </w:rPr>
                    <w:t>/I</w:t>
                  </w:r>
                </w:p>
              </w:tc>
              <w:tc>
                <w:tcPr>
                  <w:tcW w:w="1319" w:type="dxa"/>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暂存于危险废物贮存点，由</w:t>
                  </w:r>
                  <w:r>
                    <w:rPr>
                      <w:rFonts w:hint="default"/>
                      <w:color w:val="auto"/>
                      <w:sz w:val="18"/>
                      <w:szCs w:val="18"/>
                      <w:highlight w:val="none"/>
                    </w:rPr>
                    <w:t>有资质单位进行处置</w:t>
                  </w:r>
                </w:p>
              </w:tc>
            </w:tr>
          </w:tbl>
          <w:p>
            <w:pPr>
              <w:keepNext w:val="0"/>
              <w:keepLines w:val="0"/>
              <w:suppressLineNumbers w:val="0"/>
              <w:adjustRightInd w:val="0"/>
              <w:snapToGrid w:val="0"/>
              <w:spacing w:before="0" w:beforeAutospacing="0" w:after="0" w:afterAutospacing="0" w:line="240" w:lineRule="auto"/>
              <w:ind w:left="0" w:right="0" w:firstLine="422" w:firstLineChars="200"/>
              <w:jc w:val="center"/>
              <w:rPr>
                <w:rFonts w:hint="eastAsia"/>
                <w:b/>
                <w:bCs w:val="0"/>
                <w:color w:val="auto"/>
                <w:szCs w:val="21"/>
                <w:highlight w:val="none"/>
              </w:rPr>
            </w:pPr>
          </w:p>
          <w:p>
            <w:pPr>
              <w:keepNext w:val="0"/>
              <w:keepLines w:val="0"/>
              <w:suppressLineNumbers w:val="0"/>
              <w:adjustRightInd w:val="0"/>
              <w:snapToGrid w:val="0"/>
              <w:spacing w:before="0" w:beforeAutospacing="0" w:after="0" w:afterAutospacing="0" w:line="240" w:lineRule="auto"/>
              <w:ind w:left="0" w:right="0" w:firstLine="422" w:firstLineChars="200"/>
              <w:jc w:val="center"/>
              <w:rPr>
                <w:rFonts w:hint="default"/>
                <w:bCs/>
                <w:color w:val="auto"/>
                <w:szCs w:val="21"/>
                <w:highlight w:val="none"/>
              </w:rPr>
            </w:pPr>
            <w:r>
              <w:rPr>
                <w:rFonts w:hint="eastAsia"/>
                <w:b/>
                <w:bCs w:val="0"/>
                <w:color w:val="auto"/>
                <w:szCs w:val="21"/>
                <w:highlight w:val="none"/>
              </w:rPr>
              <w:t>表</w:t>
            </w:r>
            <w:r>
              <w:rPr>
                <w:rFonts w:hint="eastAsia"/>
                <w:b/>
                <w:bCs w:val="0"/>
                <w:color w:val="auto"/>
                <w:szCs w:val="21"/>
                <w:highlight w:val="none"/>
                <w:lang w:val="en-US" w:eastAsia="zh-CN"/>
              </w:rPr>
              <w:t>4</w:t>
            </w:r>
            <w:r>
              <w:rPr>
                <w:rFonts w:hint="eastAsia"/>
                <w:b/>
                <w:bCs w:val="0"/>
                <w:color w:val="auto"/>
                <w:szCs w:val="21"/>
                <w:highlight w:val="none"/>
              </w:rPr>
              <w:t>-</w:t>
            </w:r>
            <w:r>
              <w:rPr>
                <w:rFonts w:hint="eastAsia"/>
                <w:b/>
                <w:bCs w:val="0"/>
                <w:color w:val="auto"/>
                <w:szCs w:val="21"/>
                <w:highlight w:val="none"/>
                <w:lang w:val="en-US" w:eastAsia="zh-CN"/>
              </w:rPr>
              <w:t>20</w:t>
            </w:r>
            <w:r>
              <w:rPr>
                <w:rFonts w:hint="eastAsia"/>
                <w:b/>
                <w:bCs w:val="0"/>
                <w:color w:val="auto"/>
                <w:szCs w:val="21"/>
                <w:highlight w:val="none"/>
              </w:rPr>
              <w:t xml:space="preserve"> 建设项目危险废物贮存场所 (设施) 基本情况</w:t>
            </w:r>
          </w:p>
          <w:tbl>
            <w:tblPr>
              <w:tblStyle w:val="3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11"/>
              <w:gridCol w:w="953"/>
              <w:gridCol w:w="953"/>
              <w:gridCol w:w="671"/>
              <w:gridCol w:w="1302"/>
              <w:gridCol w:w="974"/>
              <w:gridCol w:w="891"/>
              <w:gridCol w:w="638"/>
              <w:gridCol w:w="554"/>
              <w:gridCol w:w="59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05"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序号</w:t>
                  </w:r>
                </w:p>
              </w:tc>
              <w:tc>
                <w:tcPr>
                  <w:tcW w:w="941" w:type="dxa"/>
                  <w:noWrap w:val="0"/>
                  <w:vAlign w:val="center"/>
                </w:tcPr>
                <w:p>
                  <w:pPr>
                    <w:keepNext w:val="0"/>
                    <w:keepLines w:val="0"/>
                    <w:suppressLineNumbers w:val="0"/>
                    <w:spacing w:before="0" w:beforeAutospacing="0" w:after="0" w:afterAutospacing="0"/>
                    <w:ind w:left="0" w:right="0"/>
                    <w:jc w:val="center"/>
                    <w:rPr>
                      <w:rFonts w:hint="eastAsia"/>
                      <w:color w:val="auto"/>
                      <w:sz w:val="18"/>
                      <w:szCs w:val="18"/>
                      <w:highlight w:val="none"/>
                      <w:lang w:eastAsia="zh-CN"/>
                    </w:rPr>
                  </w:pPr>
                  <w:r>
                    <w:rPr>
                      <w:rFonts w:hint="eastAsia"/>
                      <w:color w:val="auto"/>
                      <w:sz w:val="18"/>
                      <w:szCs w:val="18"/>
                      <w:highlight w:val="none"/>
                      <w:lang w:eastAsia="zh-CN"/>
                    </w:rPr>
                    <w:t>贮存场所</w:t>
                  </w:r>
                </w:p>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名称</w:t>
                  </w:r>
                </w:p>
              </w:tc>
              <w:tc>
                <w:tcPr>
                  <w:tcW w:w="941"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w:t>
                  </w:r>
                </w:p>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名称</w:t>
                  </w:r>
                </w:p>
              </w:tc>
              <w:tc>
                <w:tcPr>
                  <w:tcW w:w="662"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危险废物类别</w:t>
                  </w:r>
                </w:p>
              </w:tc>
              <w:tc>
                <w:tcPr>
                  <w:tcW w:w="1285"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危险废物代码</w:t>
                  </w:r>
                </w:p>
              </w:tc>
              <w:tc>
                <w:tcPr>
                  <w:tcW w:w="961" w:type="dxa"/>
                  <w:noWrap w:val="0"/>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位置</w:t>
                  </w:r>
                </w:p>
              </w:tc>
              <w:tc>
                <w:tcPr>
                  <w:tcW w:w="879" w:type="dxa"/>
                  <w:noWrap w:val="0"/>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占地面积</w:t>
                  </w:r>
                </w:p>
              </w:tc>
              <w:tc>
                <w:tcPr>
                  <w:tcW w:w="630" w:type="dxa"/>
                  <w:noWrap w:val="0"/>
                  <w:vAlign w:val="center"/>
                </w:tcPr>
                <w:p>
                  <w:pPr>
                    <w:keepNext w:val="0"/>
                    <w:keepLines w:val="0"/>
                    <w:suppressLineNumbers w:val="0"/>
                    <w:spacing w:before="0" w:beforeAutospacing="0" w:after="0" w:afterAutospacing="0"/>
                    <w:ind w:left="0" w:right="0"/>
                    <w:jc w:val="center"/>
                    <w:rPr>
                      <w:rFonts w:hint="eastAsia"/>
                      <w:color w:val="auto"/>
                      <w:sz w:val="18"/>
                      <w:szCs w:val="18"/>
                      <w:highlight w:val="none"/>
                      <w:lang w:eastAsia="zh-CN"/>
                    </w:rPr>
                  </w:pPr>
                  <w:r>
                    <w:rPr>
                      <w:rFonts w:hint="eastAsia"/>
                      <w:color w:val="auto"/>
                      <w:sz w:val="18"/>
                      <w:szCs w:val="18"/>
                      <w:highlight w:val="none"/>
                      <w:lang w:eastAsia="zh-CN"/>
                    </w:rPr>
                    <w:t>贮存</w:t>
                  </w:r>
                </w:p>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方式</w:t>
                  </w:r>
                </w:p>
              </w:tc>
              <w:tc>
                <w:tcPr>
                  <w:tcW w:w="547" w:type="dxa"/>
                  <w:noWrap w:val="0"/>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贮存能力</w:t>
                  </w:r>
                </w:p>
              </w:tc>
              <w:tc>
                <w:tcPr>
                  <w:tcW w:w="583" w:type="dxa"/>
                  <w:noWrap w:val="0"/>
                  <w:vAlign w:val="center"/>
                </w:tcPr>
                <w:p>
                  <w:pPr>
                    <w:keepNext w:val="0"/>
                    <w:keepLines w:val="0"/>
                    <w:suppressLineNumbers w:val="0"/>
                    <w:spacing w:before="0" w:beforeAutospacing="0" w:after="0" w:afterAutospacing="0"/>
                    <w:ind w:left="0" w:right="0"/>
                    <w:jc w:val="center"/>
                    <w:rPr>
                      <w:rFonts w:hint="eastAsia"/>
                      <w:color w:val="auto"/>
                      <w:sz w:val="18"/>
                      <w:szCs w:val="18"/>
                      <w:highlight w:val="none"/>
                      <w:lang w:eastAsia="zh-CN"/>
                    </w:rPr>
                  </w:pPr>
                  <w:r>
                    <w:rPr>
                      <w:rFonts w:hint="eastAsia"/>
                      <w:color w:val="auto"/>
                      <w:sz w:val="18"/>
                      <w:szCs w:val="18"/>
                      <w:highlight w:val="none"/>
                      <w:lang w:eastAsia="zh-CN"/>
                    </w:rPr>
                    <w:t>贮存</w:t>
                  </w:r>
                </w:p>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周期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05" w:type="dxa"/>
                  <w:noWrap w:val="0"/>
                  <w:vAlign w:val="center"/>
                </w:tcPr>
                <w:p>
                  <w:pPr>
                    <w:keepNext w:val="0"/>
                    <w:keepLines w:val="0"/>
                    <w:suppressLineNumbers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1</w:t>
                  </w:r>
                </w:p>
              </w:tc>
              <w:tc>
                <w:tcPr>
                  <w:tcW w:w="941" w:type="dxa"/>
                  <w:noWrap w:val="0"/>
                  <w:vAlign w:val="center"/>
                </w:tcPr>
                <w:p>
                  <w:pPr>
                    <w:keepNext w:val="0"/>
                    <w:keepLines w:val="0"/>
                    <w:suppressLineNumbers w:val="0"/>
                    <w:spacing w:before="0" w:beforeAutospacing="0" w:after="0" w:afterAutospacing="0"/>
                    <w:ind w:left="0" w:right="0"/>
                    <w:jc w:val="center"/>
                    <w:rPr>
                      <w:rFonts w:hint="eastAsia"/>
                      <w:bCs/>
                      <w:color w:val="auto"/>
                      <w:sz w:val="18"/>
                      <w:szCs w:val="18"/>
                      <w:highlight w:val="none"/>
                    </w:rPr>
                  </w:pPr>
                  <w:r>
                    <w:rPr>
                      <w:rFonts w:hint="eastAsia"/>
                      <w:bCs/>
                      <w:color w:val="auto"/>
                      <w:sz w:val="18"/>
                      <w:szCs w:val="18"/>
                      <w:highlight w:val="none"/>
                    </w:rPr>
                    <w:t>危险废物</w:t>
                  </w:r>
                </w:p>
                <w:p>
                  <w:pPr>
                    <w:keepNext w:val="0"/>
                    <w:keepLines w:val="0"/>
                    <w:suppressLineNumbers w:val="0"/>
                    <w:spacing w:before="0" w:beforeAutospacing="0" w:after="0" w:afterAutospacing="0"/>
                    <w:ind w:left="0" w:right="0"/>
                    <w:jc w:val="center"/>
                    <w:rPr>
                      <w:rFonts w:hint="eastAsia" w:eastAsia="宋体"/>
                      <w:bCs/>
                      <w:color w:val="auto"/>
                      <w:sz w:val="18"/>
                      <w:szCs w:val="18"/>
                      <w:highlight w:val="none"/>
                      <w:lang w:eastAsia="zh-CN"/>
                    </w:rPr>
                  </w:pPr>
                  <w:r>
                    <w:rPr>
                      <w:rFonts w:hint="eastAsia"/>
                      <w:bCs/>
                      <w:color w:val="auto"/>
                      <w:sz w:val="18"/>
                      <w:szCs w:val="18"/>
                      <w:highlight w:val="none"/>
                    </w:rPr>
                    <w:t>暂存</w:t>
                  </w:r>
                  <w:r>
                    <w:rPr>
                      <w:rFonts w:hint="eastAsia"/>
                      <w:bCs/>
                      <w:color w:val="auto"/>
                      <w:sz w:val="18"/>
                      <w:szCs w:val="18"/>
                      <w:highlight w:val="none"/>
                      <w:lang w:val="en-US" w:eastAsia="zh-CN"/>
                    </w:rPr>
                    <w:t>间</w:t>
                  </w:r>
                </w:p>
              </w:tc>
              <w:tc>
                <w:tcPr>
                  <w:tcW w:w="941" w:type="dxa"/>
                  <w:noWrap w:val="0"/>
                  <w:vAlign w:val="center"/>
                </w:tcPr>
                <w:p>
                  <w:pPr>
                    <w:keepNext w:val="0"/>
                    <w:keepLines w:val="0"/>
                    <w:suppressLineNumbers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rPr>
                    <w:t>废</w:t>
                  </w:r>
                  <w:r>
                    <w:rPr>
                      <w:rFonts w:hint="eastAsia"/>
                      <w:bCs/>
                      <w:color w:val="auto"/>
                      <w:sz w:val="18"/>
                      <w:szCs w:val="18"/>
                      <w:highlight w:val="none"/>
                      <w:lang w:val="en-US" w:eastAsia="zh-CN"/>
                    </w:rPr>
                    <w:t>机油</w:t>
                  </w:r>
                </w:p>
              </w:tc>
              <w:tc>
                <w:tcPr>
                  <w:tcW w:w="662" w:type="dxa"/>
                  <w:noWrap w:val="0"/>
                  <w:vAlign w:val="center"/>
                </w:tcPr>
                <w:p>
                  <w:pPr>
                    <w:pStyle w:val="135"/>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HW08</w:t>
                  </w:r>
                </w:p>
              </w:tc>
              <w:tc>
                <w:tcPr>
                  <w:tcW w:w="1285" w:type="dxa"/>
                  <w:noWrap w:val="0"/>
                  <w:vAlign w:val="center"/>
                </w:tcPr>
                <w:p>
                  <w:pPr>
                    <w:pStyle w:val="135"/>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kern w:val="0"/>
                      <w:sz w:val="18"/>
                      <w:szCs w:val="18"/>
                      <w:highlight w:val="none"/>
                    </w:rPr>
                    <w:t>900-214-08</w:t>
                  </w:r>
                </w:p>
              </w:tc>
              <w:tc>
                <w:tcPr>
                  <w:tcW w:w="9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eastAsia="宋体"/>
                      <w:bCs/>
                      <w:color w:val="auto"/>
                      <w:sz w:val="18"/>
                      <w:szCs w:val="18"/>
                      <w:highlight w:val="none"/>
                      <w:lang w:eastAsia="zh-CN"/>
                    </w:rPr>
                  </w:pPr>
                  <w:r>
                    <w:rPr>
                      <w:rFonts w:hint="eastAsia" w:eastAsia="宋体"/>
                      <w:bCs/>
                      <w:color w:val="auto"/>
                      <w:sz w:val="18"/>
                      <w:szCs w:val="18"/>
                      <w:highlight w:val="none"/>
                      <w:lang w:val="en-US" w:eastAsia="zh-CN"/>
                    </w:rPr>
                    <w:t>维修间内</w:t>
                  </w:r>
                </w:p>
              </w:tc>
              <w:tc>
                <w:tcPr>
                  <w:tcW w:w="879"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10</w:t>
                  </w:r>
                  <w:r>
                    <w:rPr>
                      <w:rFonts w:hint="eastAsia"/>
                      <w:color w:val="auto"/>
                      <w:sz w:val="18"/>
                      <w:szCs w:val="18"/>
                      <w:highlight w:val="none"/>
                      <w:vertAlign w:val="baseline"/>
                      <w:lang w:val="en-US" w:eastAsia="zh-CN"/>
                    </w:rPr>
                    <w:t>m</w:t>
                  </w:r>
                  <w:r>
                    <w:rPr>
                      <w:rFonts w:hint="eastAsia"/>
                      <w:color w:val="auto"/>
                      <w:sz w:val="18"/>
                      <w:szCs w:val="18"/>
                      <w:highlight w:val="none"/>
                      <w:vertAlign w:val="superscript"/>
                      <w:lang w:val="en-US" w:eastAsia="zh-CN"/>
                    </w:rPr>
                    <w:t>2</w:t>
                  </w:r>
                </w:p>
              </w:tc>
              <w:tc>
                <w:tcPr>
                  <w:tcW w:w="630"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液</w:t>
                  </w:r>
                  <w:r>
                    <w:rPr>
                      <w:rFonts w:hint="default"/>
                      <w:color w:val="auto"/>
                      <w:sz w:val="18"/>
                      <w:szCs w:val="18"/>
                      <w:highlight w:val="none"/>
                    </w:rPr>
                    <w:t>态</w:t>
                  </w:r>
                </w:p>
              </w:tc>
              <w:tc>
                <w:tcPr>
                  <w:tcW w:w="547" w:type="dxa"/>
                  <w:noWrap w:val="0"/>
                  <w:vAlign w:val="center"/>
                </w:tcPr>
                <w:p>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vertAlign w:val="baseline"/>
                      <w:lang w:val="en-US" w:eastAsia="zh-CN"/>
                    </w:rPr>
                    <w:t>50m</w:t>
                  </w:r>
                  <w:r>
                    <w:rPr>
                      <w:rFonts w:hint="eastAsia"/>
                      <w:color w:val="auto"/>
                      <w:sz w:val="18"/>
                      <w:szCs w:val="18"/>
                      <w:highlight w:val="none"/>
                      <w:vertAlign w:val="superscript"/>
                      <w:lang w:val="en-US" w:eastAsia="zh-CN"/>
                    </w:rPr>
                    <w:t>3</w:t>
                  </w:r>
                </w:p>
              </w:tc>
              <w:tc>
                <w:tcPr>
                  <w:tcW w:w="583" w:type="dxa"/>
                  <w:noWrap w:val="0"/>
                  <w:vAlign w:val="center"/>
                </w:tcPr>
                <w:p>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1年</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eastAsia" w:cs="Times New Roman"/>
                <w:color w:val="auto"/>
                <w:kern w:val="21"/>
                <w:szCs w:val="21"/>
                <w:highlight w:val="none"/>
                <w:lang w:eastAsia="zh-CN"/>
              </w:rPr>
              <w:t>（</w:t>
            </w:r>
            <w:r>
              <w:rPr>
                <w:rFonts w:hint="default" w:ascii="Times New Roman" w:hAnsi="Times New Roman" w:eastAsia="宋体" w:cs="Times New Roman"/>
                <w:color w:val="auto"/>
                <w:kern w:val="21"/>
                <w:szCs w:val="21"/>
                <w:highlight w:val="none"/>
              </w:rPr>
              <w:t>2）环境管理</w:t>
            </w:r>
            <w:r>
              <w:rPr>
                <w:rFonts w:hint="default" w:ascii="Times New Roman" w:hAnsi="Times New Roman" w:cs="Times New Roman"/>
                <w:bCs/>
                <w:color w:val="auto"/>
                <w:szCs w:val="21"/>
                <w:highlight w:val="none"/>
              </w:rPr>
              <w:t>要求</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Style w:val="139"/>
                <w:rFonts w:hint="default" w:ascii="Times New Roman" w:hAnsi="Times New Roman" w:eastAsia="宋体" w:cs="Times New Roman"/>
                <w:color w:val="auto"/>
                <w:sz w:val="21"/>
                <w:szCs w:val="21"/>
                <w:highlight w:val="none"/>
                <w:lang w:val="en-US" w:eastAsia="zh-CN"/>
              </w:rPr>
            </w:pPr>
            <w:r>
              <w:rPr>
                <w:rFonts w:hint="default"/>
                <w:color w:val="auto"/>
                <w:sz w:val="21"/>
                <w:szCs w:val="21"/>
                <w:highlight w:val="none"/>
              </w:rPr>
              <w:t>本项目</w:t>
            </w:r>
            <w:r>
              <w:rPr>
                <w:rFonts w:hint="eastAsia"/>
                <w:color w:val="auto"/>
                <w:sz w:val="21"/>
                <w:szCs w:val="21"/>
                <w:highlight w:val="none"/>
                <w:lang w:val="en-US" w:eastAsia="zh-CN"/>
              </w:rPr>
              <w:t>生活垃圾</w:t>
            </w:r>
            <w:r>
              <w:rPr>
                <w:rFonts w:hint="default" w:ascii="Times New Roman" w:hAnsi="Times New Roman" w:eastAsia="宋体" w:cs="Times New Roman"/>
                <w:color w:val="auto"/>
                <w:kern w:val="21"/>
                <w:szCs w:val="21"/>
                <w:highlight w:val="none"/>
              </w:rPr>
              <w:t>交由市政部门</w:t>
            </w:r>
            <w:r>
              <w:rPr>
                <w:rFonts w:hint="eastAsia" w:cs="Times New Roman"/>
                <w:color w:val="auto"/>
                <w:kern w:val="21"/>
                <w:szCs w:val="21"/>
                <w:highlight w:val="none"/>
                <w:lang w:val="en-US" w:eastAsia="zh-CN"/>
              </w:rPr>
              <w:t>定期清运</w:t>
            </w:r>
            <w:r>
              <w:rPr>
                <w:rFonts w:hint="default" w:ascii="Times New Roman" w:hAnsi="Times New Roman" w:eastAsia="宋体" w:cs="Times New Roman"/>
                <w:color w:val="auto"/>
                <w:kern w:val="21"/>
                <w:szCs w:val="21"/>
                <w:highlight w:val="none"/>
              </w:rPr>
              <w:t>处理</w:t>
            </w:r>
            <w:r>
              <w:rPr>
                <w:rFonts w:hint="eastAsia"/>
                <w:color w:val="auto"/>
                <w:szCs w:val="28"/>
                <w:highlight w:val="none"/>
                <w:lang w:val="en-US" w:eastAsia="zh-CN"/>
              </w:rPr>
              <w:t>；</w:t>
            </w:r>
            <w:r>
              <w:rPr>
                <w:rFonts w:hint="default" w:ascii="Times New Roman" w:hAnsi="Times New Roman" w:eastAsia="宋体" w:cs="Times New Roman"/>
                <w:color w:val="auto"/>
                <w:sz w:val="21"/>
                <w:szCs w:val="21"/>
                <w:highlight w:val="none"/>
              </w:rPr>
              <w:t>餐馀废物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废油脂</w:t>
            </w:r>
            <w:r>
              <w:rPr>
                <w:rFonts w:hint="eastAsia" w:cs="Times New Roman"/>
                <w:color w:val="auto"/>
                <w:sz w:val="21"/>
                <w:szCs w:val="21"/>
                <w:highlight w:val="none"/>
                <w:lang w:val="en-US" w:eastAsia="zh-CN"/>
              </w:rPr>
              <w:t>按《哈尔滨市城市餐厨废弃物管理办法》相关要求，由有资质单位处理</w:t>
            </w:r>
            <w:r>
              <w:rPr>
                <w:rFonts w:hint="eastAsia" w:cs="Times New Roman"/>
                <w:color w:val="auto"/>
                <w:kern w:val="21"/>
                <w:szCs w:val="21"/>
                <w:highlight w:val="none"/>
                <w:lang w:val="en-US" w:eastAsia="zh-CN"/>
              </w:rPr>
              <w:t>；</w:t>
            </w:r>
            <w:r>
              <w:rPr>
                <w:rFonts w:hint="default" w:ascii="Times New Roman" w:hAnsi="Times New Roman" w:eastAsia="宋体" w:cs="Times New Roman"/>
                <w:color w:val="auto"/>
                <w:sz w:val="21"/>
                <w:szCs w:val="21"/>
                <w:highlight w:val="none"/>
              </w:rPr>
              <w:t>废离子交换树脂</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集中收集，</w:t>
            </w:r>
            <w:r>
              <w:rPr>
                <w:rFonts w:hint="eastAsia" w:cs="Times New Roman"/>
                <w:color w:val="auto"/>
                <w:sz w:val="21"/>
                <w:szCs w:val="21"/>
                <w:highlight w:val="none"/>
                <w:lang w:val="en-US" w:eastAsia="zh-CN"/>
              </w:rPr>
              <w:t>交由厂家再生处理</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rPr>
              <w:t>废包装物</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外售</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污水处理站污泥</w:t>
            </w:r>
            <w:r>
              <w:rPr>
                <w:rFonts w:hint="default" w:ascii="Times New Roman" w:hAnsi="Times New Roman" w:cs="Times New Roman"/>
                <w:color w:val="auto"/>
                <w:sz w:val="21"/>
                <w:szCs w:val="21"/>
                <w:highlight w:val="none"/>
              </w:rPr>
              <w:t>，由市政部门统一处理；</w:t>
            </w:r>
            <w:r>
              <w:rPr>
                <w:rFonts w:hint="default"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厂家回收</w:t>
            </w:r>
            <w:r>
              <w:rPr>
                <w:rStyle w:val="139"/>
                <w:rFonts w:hint="eastAsia" w:ascii="Times New Roman" w:hAnsi="Times New Roman"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烟熏炉炉渣</w:t>
            </w:r>
            <w:r>
              <w:rPr>
                <w:rStyle w:val="139"/>
                <w:rFonts w:hint="eastAsia" w:ascii="Times New Roman" w:hAnsi="Times New Roman"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外售综合利用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电除尘器收尘</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外售，综合利用</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加工废料</w:t>
            </w:r>
            <w:r>
              <w:rPr>
                <w:rFonts w:hint="eastAsia" w:cs="Times New Roman"/>
                <w:color w:val="auto"/>
                <w:sz w:val="21"/>
                <w:szCs w:val="21"/>
                <w:highlight w:val="none"/>
                <w:lang w:val="en-US" w:eastAsia="zh-CN"/>
              </w:rPr>
              <w:t>及不合格品</w:t>
            </w:r>
            <w:r>
              <w:rPr>
                <w:rFonts w:hint="eastAsia" w:ascii="Times New Roman" w:hAnsi="Times New Roman" w:eastAsia="宋体" w:cs="Times New Roman"/>
                <w:color w:val="auto"/>
                <w:sz w:val="21"/>
                <w:szCs w:val="21"/>
                <w:highlight w:val="none"/>
                <w:lang w:val="en-US" w:eastAsia="zh-CN"/>
              </w:rPr>
              <w:t>，外售</w:t>
            </w:r>
            <w:r>
              <w:rPr>
                <w:rFonts w:hint="eastAsia" w:cs="Times New Roman"/>
                <w:color w:val="auto"/>
                <w:sz w:val="21"/>
                <w:szCs w:val="21"/>
                <w:highlight w:val="none"/>
                <w:lang w:val="en-US" w:eastAsia="zh-CN"/>
              </w:rPr>
              <w:t>；废机油，</w:t>
            </w:r>
            <w:r>
              <w:rPr>
                <w:rFonts w:hint="eastAsia" w:ascii="Times New Roman" w:hAnsi="Times New Roman" w:eastAsia="宋体" w:cs="Times New Roman"/>
                <w:color w:val="auto"/>
                <w:sz w:val="21"/>
                <w:szCs w:val="21"/>
                <w:highlight w:val="none"/>
                <w:lang w:val="en-US" w:eastAsia="zh-CN"/>
              </w:rPr>
              <w:t>密封桶装，暂存于</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w:t>
            </w:r>
            <w:r>
              <w:rPr>
                <w:rFonts w:hint="eastAsia" w:cs="Times New Roman"/>
                <w:color w:val="auto"/>
                <w:kern w:val="21"/>
                <w:sz w:val="21"/>
                <w:szCs w:val="21"/>
                <w:highlight w:val="none"/>
                <w:lang w:val="en-US" w:eastAsia="zh-CN"/>
              </w:rPr>
              <w:t>定期由有资质单位拉运处理。</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本项目</w:t>
            </w:r>
            <w:r>
              <w:rPr>
                <w:rFonts w:hint="eastAsia" w:ascii="宋体" w:hAnsi="宋体" w:cs="宋体"/>
                <w:color w:val="auto"/>
                <w:kern w:val="0"/>
                <w:sz w:val="21"/>
                <w:szCs w:val="21"/>
                <w:highlight w:val="none"/>
                <w:lang w:val="en-US" w:eastAsia="zh-CN" w:bidi="ar"/>
              </w:rPr>
              <w:t>建设</w:t>
            </w:r>
            <w:r>
              <w:rPr>
                <w:rFonts w:hint="default" w:ascii="Times New Roman" w:hAnsi="Times New Roman" w:cs="Times New Roman" w:eastAsiaTheme="minorEastAsia"/>
                <w:color w:val="auto"/>
                <w:sz w:val="21"/>
                <w:szCs w:val="21"/>
                <w:highlight w:val="none"/>
                <w:lang w:val="en-US" w:eastAsia="zh-CN"/>
              </w:rPr>
              <w:t>一般工业固体废物</w:t>
            </w:r>
            <w:r>
              <w:rPr>
                <w:rFonts w:hint="eastAsia" w:ascii="宋体" w:hAnsi="宋体" w:eastAsia="宋体" w:cs="宋体"/>
                <w:color w:val="auto"/>
                <w:kern w:val="0"/>
                <w:sz w:val="21"/>
                <w:szCs w:val="21"/>
                <w:highlight w:val="none"/>
                <w:lang w:val="en-US" w:eastAsia="zh-CN" w:bidi="ar"/>
              </w:rPr>
              <w:t>暂存</w:t>
            </w:r>
            <w:r>
              <w:rPr>
                <w:rFonts w:hint="eastAsia" w:ascii="宋体" w:hAnsi="宋体" w:cs="宋体"/>
                <w:color w:val="auto"/>
                <w:kern w:val="0"/>
                <w:sz w:val="21"/>
                <w:szCs w:val="21"/>
                <w:highlight w:val="none"/>
                <w:lang w:val="en-US" w:eastAsia="zh-CN" w:bidi="ar"/>
              </w:rPr>
              <w:t>间，位于生产车间内，</w:t>
            </w:r>
            <w:r>
              <w:rPr>
                <w:rFonts w:hint="eastAsia" w:ascii="宋体" w:hAnsi="宋体" w:eastAsia="宋体" w:cs="宋体"/>
                <w:color w:val="auto"/>
                <w:kern w:val="0"/>
                <w:sz w:val="21"/>
                <w:szCs w:val="21"/>
                <w:highlight w:val="none"/>
                <w:lang w:val="en-US" w:eastAsia="zh-CN" w:bidi="ar"/>
              </w:rPr>
              <w:t>一般固废暂存</w:t>
            </w:r>
            <w:r>
              <w:rPr>
                <w:rFonts w:hint="eastAsia" w:ascii="宋体" w:hAnsi="宋体" w:cs="宋体"/>
                <w:color w:val="auto"/>
                <w:kern w:val="0"/>
                <w:sz w:val="21"/>
                <w:szCs w:val="21"/>
                <w:highlight w:val="none"/>
                <w:lang w:val="en-US" w:eastAsia="zh-CN" w:bidi="ar"/>
              </w:rPr>
              <w:t>间</w:t>
            </w:r>
            <w:r>
              <w:rPr>
                <w:rFonts w:hint="eastAsia" w:ascii="宋体" w:hAnsi="宋体" w:eastAsia="宋体" w:cs="宋体"/>
                <w:color w:val="auto"/>
                <w:kern w:val="0"/>
                <w:sz w:val="21"/>
                <w:szCs w:val="21"/>
                <w:highlight w:val="none"/>
                <w:lang w:val="en-US" w:eastAsia="zh-CN" w:bidi="ar"/>
              </w:rPr>
              <w:t>应按照《一般工业固体废物贮存</w:t>
            </w:r>
            <w:r>
              <w:rPr>
                <w:rFonts w:hint="eastAsia" w:ascii="宋体" w:hAnsi="宋体" w:cs="宋体"/>
                <w:color w:val="auto"/>
                <w:kern w:val="0"/>
                <w:sz w:val="21"/>
                <w:szCs w:val="21"/>
                <w:highlight w:val="none"/>
                <w:lang w:val="en-US" w:eastAsia="zh-CN" w:bidi="ar"/>
              </w:rPr>
              <w:t>和填埋</w:t>
            </w:r>
            <w:r>
              <w:rPr>
                <w:rFonts w:hint="eastAsia" w:ascii="宋体" w:hAnsi="宋体" w:eastAsia="宋体" w:cs="宋体"/>
                <w:color w:val="auto"/>
                <w:kern w:val="0"/>
                <w:sz w:val="21"/>
                <w:szCs w:val="21"/>
                <w:highlight w:val="none"/>
                <w:lang w:val="en-US" w:eastAsia="zh-CN" w:bidi="ar"/>
              </w:rPr>
              <w:t>污染控制标准》（</w:t>
            </w:r>
            <w:r>
              <w:rPr>
                <w:rFonts w:hint="default" w:ascii="Times New Roman" w:hAnsi="Times New Roman" w:eastAsia="宋体" w:cs="Times New Roman"/>
                <w:color w:val="auto"/>
                <w:kern w:val="0"/>
                <w:sz w:val="21"/>
                <w:szCs w:val="21"/>
                <w:highlight w:val="none"/>
                <w:lang w:val="en-US" w:eastAsia="zh-CN" w:bidi="ar"/>
              </w:rPr>
              <w:t>GB18599-2020</w:t>
            </w:r>
            <w:r>
              <w:rPr>
                <w:rFonts w:hint="eastAsia" w:ascii="宋体" w:hAnsi="宋体" w:eastAsia="宋体" w:cs="宋体"/>
                <w:color w:val="auto"/>
                <w:kern w:val="0"/>
                <w:sz w:val="21"/>
                <w:szCs w:val="21"/>
                <w:highlight w:val="none"/>
                <w:lang w:val="en-US" w:eastAsia="zh-CN" w:bidi="ar"/>
              </w:rPr>
              <w:t xml:space="preserve">）中的要求。 </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①贮存、处置场的建设类型，必须与将要堆放的一般工业固体废物的类别相一致； </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②贮存、处置场采取防止粉尘污染的措施； </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③为加强监督管理，贮存、处置场应按</w:t>
            </w:r>
            <w:r>
              <w:rPr>
                <w:rFonts w:hint="default" w:ascii="Times New Roman" w:hAnsi="Times New Roman" w:eastAsia="宋体" w:cs="Times New Roman"/>
                <w:color w:val="auto"/>
                <w:kern w:val="0"/>
                <w:sz w:val="21"/>
                <w:szCs w:val="21"/>
                <w:highlight w:val="none"/>
                <w:lang w:val="en-US" w:eastAsia="zh-CN" w:bidi="ar"/>
              </w:rPr>
              <w:t>GB15562.2</w:t>
            </w:r>
            <w:r>
              <w:rPr>
                <w:rFonts w:hint="eastAsia" w:ascii="宋体" w:hAnsi="宋体" w:eastAsia="宋体" w:cs="宋体"/>
                <w:color w:val="auto"/>
                <w:kern w:val="0"/>
                <w:sz w:val="21"/>
                <w:szCs w:val="21"/>
                <w:highlight w:val="none"/>
                <w:lang w:val="en-US" w:eastAsia="zh-CN" w:bidi="ar"/>
              </w:rPr>
              <w:t xml:space="preserve">设置环境保护图形标志； </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④一般工业固体贮存、处置场禁止危险废物和生活垃圾混入； </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⑤贮存、处置场的使用单位，应建立档案制度。应将入场的一般工业固体废物的种类和数量等资料详细记录在案，长期保存，供随时查阅。 </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从本项目产生的固废的处置情况来看，各类固废都得到了合理安全的处置，对周围环境的影响不大，但是评价仍要求建设单位对固废处置上不能随意处理，也不能乱堆乱放，在生产过程中要注意对这些固废的收集和储运，必须切实做好固废的分类工作，尽可能回收其中可以再利用的部分，切实按照本环评提出的方案进行处置。</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lang w:val="en-US" w:eastAsia="zh-CN"/>
              </w:rPr>
              <w:t>危险废物：</w:t>
            </w:r>
            <w:r>
              <w:rPr>
                <w:rFonts w:hint="default"/>
                <w:color w:val="auto"/>
                <w:sz w:val="21"/>
                <w:szCs w:val="21"/>
                <w:highlight w:val="none"/>
              </w:rPr>
              <w:t>本项目危险废物产生后密封</w:t>
            </w:r>
            <w:r>
              <w:rPr>
                <w:rFonts w:hint="eastAsia"/>
                <w:color w:val="auto"/>
                <w:sz w:val="21"/>
                <w:szCs w:val="21"/>
                <w:highlight w:val="none"/>
                <w:lang w:val="en-US" w:eastAsia="zh-CN"/>
              </w:rPr>
              <w:t>桶装</w:t>
            </w:r>
            <w:r>
              <w:rPr>
                <w:rFonts w:hint="default"/>
                <w:color w:val="auto"/>
                <w:sz w:val="21"/>
                <w:szCs w:val="21"/>
                <w:highlight w:val="none"/>
              </w:rPr>
              <w:t>，再送到</w:t>
            </w:r>
            <w:r>
              <w:rPr>
                <w:rFonts w:hint="eastAsia"/>
                <w:color w:val="auto"/>
                <w:sz w:val="21"/>
                <w:szCs w:val="21"/>
                <w:highlight w:val="none"/>
                <w:lang w:eastAsia="zh-CN"/>
              </w:rPr>
              <w:t>危险废物贮存点</w:t>
            </w:r>
            <w:r>
              <w:rPr>
                <w:rFonts w:hint="default"/>
                <w:color w:val="auto"/>
                <w:sz w:val="21"/>
                <w:szCs w:val="21"/>
                <w:highlight w:val="none"/>
              </w:rPr>
              <w:t>暂存，运输环节在厂内，不会因厂内运输过程中撒漏等导致排放到环境中；外运由有资质单位采用专用车辆运输，运输过程中对环境影响小。</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eastAsia="宋体"/>
                <w:color w:val="auto"/>
                <w:sz w:val="21"/>
                <w:szCs w:val="21"/>
                <w:highlight w:val="none"/>
                <w:lang w:val="en-US" w:eastAsia="zh-CN"/>
              </w:rPr>
            </w:pPr>
            <w:r>
              <w:rPr>
                <w:rFonts w:hint="default"/>
                <w:color w:val="auto"/>
                <w:sz w:val="21"/>
                <w:szCs w:val="21"/>
                <w:highlight w:val="none"/>
              </w:rPr>
              <w:t>建设单位应按照</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default"/>
                <w:color w:val="auto"/>
                <w:sz w:val="21"/>
                <w:szCs w:val="21"/>
                <w:highlight w:val="none"/>
              </w:rPr>
              <w:t>要求设置暂存区（</w:t>
            </w:r>
            <w:r>
              <w:rPr>
                <w:rFonts w:hint="eastAsia"/>
                <w:color w:val="auto"/>
                <w:sz w:val="21"/>
                <w:szCs w:val="21"/>
                <w:highlight w:val="none"/>
                <w:lang w:eastAsia="zh-CN"/>
              </w:rPr>
              <w:t>危险废物贮存点</w:t>
            </w:r>
            <w:r>
              <w:rPr>
                <w:rFonts w:hint="default"/>
                <w:color w:val="auto"/>
                <w:sz w:val="21"/>
                <w:szCs w:val="21"/>
                <w:highlight w:val="none"/>
              </w:rPr>
              <w:t>），</w:t>
            </w:r>
            <w:r>
              <w:rPr>
                <w:rFonts w:hint="default"/>
                <w:snapToGrid w:val="0"/>
                <w:color w:val="auto"/>
                <w:kern w:val="0"/>
                <w:sz w:val="21"/>
                <w:szCs w:val="21"/>
                <w:highlight w:val="none"/>
              </w:rPr>
              <w:t>建筑面积</w:t>
            </w:r>
            <w:r>
              <w:rPr>
                <w:rFonts w:hint="eastAsia"/>
                <w:snapToGrid w:val="0"/>
                <w:color w:val="auto"/>
                <w:kern w:val="0"/>
                <w:sz w:val="21"/>
                <w:szCs w:val="21"/>
                <w:highlight w:val="none"/>
                <w:lang w:val="en-US" w:eastAsia="zh-CN"/>
              </w:rPr>
              <w:t>10</w:t>
            </w:r>
            <w:r>
              <w:rPr>
                <w:rFonts w:hint="default"/>
                <w:snapToGrid w:val="0"/>
                <w:color w:val="auto"/>
                <w:kern w:val="0"/>
                <w:sz w:val="21"/>
                <w:szCs w:val="21"/>
                <w:highlight w:val="none"/>
              </w:rPr>
              <w:t>m</w:t>
            </w:r>
            <w:r>
              <w:rPr>
                <w:rFonts w:hint="default"/>
                <w:snapToGrid w:val="0"/>
                <w:color w:val="auto"/>
                <w:kern w:val="0"/>
                <w:sz w:val="21"/>
                <w:szCs w:val="21"/>
                <w:highlight w:val="none"/>
                <w:vertAlign w:val="superscript"/>
              </w:rPr>
              <w:t>2</w:t>
            </w:r>
            <w:r>
              <w:rPr>
                <w:rFonts w:hint="default"/>
                <w:snapToGrid w:val="0"/>
                <w:color w:val="auto"/>
                <w:kern w:val="0"/>
                <w:sz w:val="21"/>
                <w:szCs w:val="21"/>
                <w:highlight w:val="none"/>
              </w:rPr>
              <w:t>，</w:t>
            </w:r>
            <w:r>
              <w:rPr>
                <w:rFonts w:hint="eastAsia"/>
                <w:snapToGrid w:val="0"/>
                <w:color w:val="auto"/>
                <w:kern w:val="0"/>
                <w:sz w:val="21"/>
                <w:szCs w:val="21"/>
                <w:highlight w:val="none"/>
                <w:lang w:val="en-US" w:eastAsia="zh-CN"/>
              </w:rPr>
              <w:t>位于维修间内，</w:t>
            </w:r>
            <w:r>
              <w:rPr>
                <w:rFonts w:hint="eastAsia"/>
                <w:snapToGrid w:val="0"/>
                <w:color w:val="auto"/>
                <w:kern w:val="0"/>
                <w:sz w:val="21"/>
                <w:szCs w:val="21"/>
                <w:highlight w:val="none"/>
              </w:rPr>
              <w:t>基础做防渗，</w:t>
            </w:r>
            <w:r>
              <w:rPr>
                <w:rFonts w:hint="eastAsia"/>
                <w:snapToGrid w:val="0"/>
                <w:color w:val="auto"/>
                <w:kern w:val="0"/>
                <w:sz w:val="21"/>
                <w:szCs w:val="21"/>
                <w:highlight w:val="none"/>
                <w:lang w:val="en-US" w:eastAsia="zh-CN"/>
              </w:rPr>
              <w:t>地面</w:t>
            </w:r>
            <w:r>
              <w:rPr>
                <w:rFonts w:hint="eastAsia"/>
                <w:snapToGrid w:val="0"/>
                <w:color w:val="auto"/>
                <w:kern w:val="0"/>
                <w:sz w:val="21"/>
                <w:szCs w:val="21"/>
                <w:highlight w:val="none"/>
              </w:rPr>
              <w:t>采用2mm厚的高密度聚乙烯，渗透系数≤</w:t>
            </w:r>
            <w:r>
              <w:rPr>
                <w:rFonts w:hint="eastAsia"/>
                <w:bCs/>
                <w:color w:val="auto"/>
                <w:kern w:val="0"/>
                <w:sz w:val="21"/>
                <w:szCs w:val="21"/>
                <w:highlight w:val="none"/>
              </w:rPr>
              <w:t>1×</w:t>
            </w:r>
            <w:r>
              <w:rPr>
                <w:rFonts w:hint="eastAsia"/>
                <w:snapToGrid w:val="0"/>
                <w:color w:val="auto"/>
                <w:kern w:val="0"/>
                <w:sz w:val="21"/>
                <w:szCs w:val="21"/>
                <w:highlight w:val="none"/>
              </w:rPr>
              <w:t>10</w:t>
            </w:r>
            <w:r>
              <w:rPr>
                <w:rFonts w:hint="eastAsia"/>
                <w:snapToGrid w:val="0"/>
                <w:color w:val="auto"/>
                <w:kern w:val="0"/>
                <w:sz w:val="21"/>
                <w:szCs w:val="21"/>
                <w:highlight w:val="none"/>
                <w:vertAlign w:val="superscript"/>
              </w:rPr>
              <w:t>-10</w:t>
            </w:r>
            <w:r>
              <w:rPr>
                <w:rFonts w:hint="eastAsia"/>
                <w:snapToGrid w:val="0"/>
                <w:color w:val="auto"/>
                <w:kern w:val="0"/>
                <w:sz w:val="21"/>
                <w:szCs w:val="21"/>
                <w:highlight w:val="none"/>
              </w:rPr>
              <w:t>cm/s</w:t>
            </w:r>
            <w:r>
              <w:rPr>
                <w:rFonts w:hint="eastAsia"/>
                <w:snapToGrid w:val="0"/>
                <w:color w:val="auto"/>
                <w:kern w:val="0"/>
                <w:sz w:val="21"/>
                <w:szCs w:val="21"/>
                <w:highlight w:val="none"/>
                <w:lang w:eastAsia="zh-CN"/>
              </w:rPr>
              <w:t>，危险废物贮存点</w:t>
            </w:r>
            <w:r>
              <w:rPr>
                <w:rFonts w:hint="eastAsia"/>
                <w:snapToGrid w:val="0"/>
                <w:color w:val="auto"/>
                <w:kern w:val="0"/>
                <w:sz w:val="21"/>
                <w:szCs w:val="21"/>
                <w:highlight w:val="none"/>
                <w:lang w:val="en-US" w:eastAsia="zh-CN"/>
              </w:rPr>
              <w:t>门口处</w:t>
            </w:r>
            <w:r>
              <w:rPr>
                <w:rFonts w:hint="default"/>
                <w:snapToGrid w:val="0"/>
                <w:color w:val="auto"/>
                <w:kern w:val="0"/>
                <w:sz w:val="21"/>
                <w:szCs w:val="21"/>
                <w:highlight w:val="none"/>
              </w:rPr>
              <w:t>设置</w:t>
            </w:r>
            <w:r>
              <w:rPr>
                <w:rFonts w:hint="eastAsia"/>
                <w:snapToGrid w:val="0"/>
                <w:color w:val="auto"/>
                <w:kern w:val="0"/>
                <w:sz w:val="21"/>
                <w:szCs w:val="21"/>
                <w:highlight w:val="none"/>
                <w:lang w:val="en-US" w:eastAsia="zh-CN"/>
              </w:rPr>
              <w:t>0.05m高</w:t>
            </w:r>
            <w:r>
              <w:rPr>
                <w:rFonts w:hint="default"/>
                <w:snapToGrid w:val="0"/>
                <w:color w:val="auto"/>
                <w:kern w:val="0"/>
                <w:sz w:val="21"/>
                <w:szCs w:val="21"/>
                <w:highlight w:val="none"/>
              </w:rPr>
              <w:t>围堰，</w:t>
            </w:r>
            <w:r>
              <w:rPr>
                <w:rFonts w:hint="eastAsia"/>
                <w:snapToGrid w:val="0"/>
                <w:color w:val="auto"/>
                <w:kern w:val="0"/>
                <w:sz w:val="21"/>
                <w:szCs w:val="21"/>
                <w:highlight w:val="none"/>
              </w:rPr>
              <w:t>地面与裙脚所围建区域需铺设到0.5m高的位置</w:t>
            </w:r>
            <w:r>
              <w:rPr>
                <w:rFonts w:hint="eastAsia"/>
                <w:snapToGrid w:val="0"/>
                <w:color w:val="auto"/>
                <w:kern w:val="0"/>
                <w:sz w:val="21"/>
                <w:szCs w:val="21"/>
                <w:highlight w:val="none"/>
                <w:lang w:eastAsia="zh-CN"/>
              </w:rPr>
              <w:t>，</w:t>
            </w:r>
            <w:r>
              <w:rPr>
                <w:rFonts w:hint="default"/>
                <w:snapToGrid w:val="0"/>
                <w:color w:val="auto"/>
                <w:kern w:val="0"/>
                <w:sz w:val="21"/>
                <w:szCs w:val="21"/>
                <w:highlight w:val="none"/>
              </w:rPr>
              <w:t>危废分区存放，</w:t>
            </w:r>
            <w:r>
              <w:rPr>
                <w:rFonts w:hint="eastAsia" w:eastAsia="宋体"/>
                <w:color w:val="auto"/>
                <w:sz w:val="21"/>
                <w:szCs w:val="21"/>
                <w:highlight w:val="none"/>
                <w:lang w:val="en-US" w:eastAsia="zh-CN"/>
              </w:rPr>
              <w:t>本项目危险废物堆存、转运过程严格执行</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eastAsia" w:eastAsia="宋体"/>
                <w:color w:val="auto"/>
                <w:sz w:val="21"/>
                <w:szCs w:val="21"/>
                <w:highlight w:val="none"/>
                <w:lang w:val="en-US" w:eastAsia="zh-CN"/>
              </w:rPr>
              <w:t>的规定，</w:t>
            </w:r>
            <w:r>
              <w:rPr>
                <w:rFonts w:hint="eastAsia"/>
                <w:color w:val="auto"/>
                <w:sz w:val="21"/>
                <w:szCs w:val="21"/>
                <w:highlight w:val="none"/>
                <w:lang w:val="en-US" w:eastAsia="zh-CN"/>
              </w:rPr>
              <w:t>危险废物贮存点</w:t>
            </w:r>
            <w:r>
              <w:rPr>
                <w:rFonts w:hint="eastAsia" w:eastAsia="宋体"/>
                <w:color w:val="auto"/>
                <w:sz w:val="21"/>
                <w:szCs w:val="21"/>
                <w:highlight w:val="none"/>
                <w:lang w:val="en-US" w:eastAsia="zh-CN"/>
              </w:rPr>
              <w:t>采取防雨、防渗、防风、防晒的措施，对危险废物的容器或包装物以及收集、贮存、运输、处置危险废物的设施、场所，必须设置危险废物识别标志；定期对所贮存的危险废物包装容器及贮存设施进行检查，发现破损，应及时采取措施清理更换。转运严格遵照《危险废物转移联单管理办法》规定执行，危险废物产生者和危险废物贮存设施；经营者均须做好危险废物情况的记录，记录上须注明危险废物的名称、来源、数量、特性和包装容器的类别、入库日期、存放库位、废物出库日期及接收单位名称。</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企业内部应建立危险废物产生、外运、处置及最终去向的详细台账，按照《危险废物转移联单管理办法》的要求做好危险废物转移联单填报登记工作，危废必须坚持交由资质单位处理，如资质单位在处理能力不能满足的情况下，企业应提前积极寻找其他资质单位并签订协议，不得擅自处理或排放。</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建设单位暂未签订危险废物处置单位</w:t>
            </w:r>
            <w:r>
              <w:rPr>
                <w:rFonts w:hint="default"/>
                <w:color w:val="auto"/>
                <w:sz w:val="21"/>
                <w:szCs w:val="21"/>
                <w:highlight w:val="none"/>
                <w:lang w:eastAsia="zh-CN"/>
              </w:rPr>
              <w:t>，</w:t>
            </w:r>
            <w:r>
              <w:rPr>
                <w:rFonts w:hint="default"/>
                <w:color w:val="auto"/>
                <w:sz w:val="21"/>
                <w:szCs w:val="21"/>
                <w:highlight w:val="none"/>
              </w:rPr>
              <w:t>根据建设项目周边有资质的危险废物处置单位的分布情况、处置能力、资质类别等，本项目的危险废物建议委托</w:t>
            </w:r>
            <w:r>
              <w:rPr>
                <w:rFonts w:hint="default"/>
                <w:color w:val="auto"/>
                <w:sz w:val="21"/>
                <w:szCs w:val="21"/>
                <w:highlight w:val="none"/>
                <w:lang w:eastAsia="zh-CN"/>
              </w:rPr>
              <w:t>有资质单位</w:t>
            </w:r>
            <w:r>
              <w:rPr>
                <w:rFonts w:hint="default"/>
                <w:color w:val="auto"/>
                <w:sz w:val="21"/>
                <w:szCs w:val="21"/>
                <w:highlight w:val="none"/>
              </w:rPr>
              <w:t>进行处理。在落实好危险固废安全处置的情况下</w:t>
            </w:r>
            <w:r>
              <w:rPr>
                <w:rFonts w:hint="default"/>
                <w:color w:val="auto"/>
                <w:sz w:val="21"/>
                <w:szCs w:val="21"/>
                <w:highlight w:val="none"/>
                <w:lang w:eastAsia="zh-CN"/>
              </w:rPr>
              <w:t>，</w:t>
            </w:r>
            <w:r>
              <w:rPr>
                <w:rFonts w:hint="default"/>
                <w:color w:val="auto"/>
                <w:sz w:val="21"/>
                <w:szCs w:val="21"/>
                <w:highlight w:val="none"/>
              </w:rPr>
              <w:t>不会造成二次污染</w:t>
            </w:r>
            <w:r>
              <w:rPr>
                <w:rFonts w:hint="default"/>
                <w:color w:val="auto"/>
                <w:sz w:val="21"/>
                <w:szCs w:val="21"/>
                <w:highlight w:val="none"/>
                <w:lang w:eastAsia="zh-CN"/>
              </w:rPr>
              <w:t>，</w:t>
            </w:r>
            <w:r>
              <w:rPr>
                <w:rFonts w:hint="default"/>
                <w:color w:val="auto"/>
                <w:sz w:val="21"/>
                <w:szCs w:val="21"/>
                <w:highlight w:val="none"/>
              </w:rPr>
              <w:t>不会对周围环境造成影响，固废防治措施是可行的</w:t>
            </w:r>
            <w:r>
              <w:rPr>
                <w:rFonts w:hint="eastAsia"/>
                <w:color w:val="auto"/>
                <w:sz w:val="21"/>
                <w:szCs w:val="21"/>
                <w:highlight w:val="none"/>
                <w:lang w:eastAsia="zh-CN"/>
              </w:rPr>
              <w:t>。</w:t>
            </w:r>
            <w:r>
              <w:rPr>
                <w:rFonts w:hint="default"/>
                <w:color w:val="auto"/>
                <w:sz w:val="21"/>
                <w:szCs w:val="21"/>
                <w:highlight w:val="none"/>
              </w:rPr>
              <w:t>本项目产生的危险废物在严格按照危险废物管理和处置要求的前提下</w:t>
            </w:r>
            <w:r>
              <w:rPr>
                <w:rFonts w:hint="default"/>
                <w:color w:val="auto"/>
                <w:sz w:val="21"/>
                <w:szCs w:val="21"/>
                <w:highlight w:val="none"/>
                <w:lang w:eastAsia="zh-CN"/>
              </w:rPr>
              <w:t>，</w:t>
            </w:r>
            <w:r>
              <w:rPr>
                <w:rFonts w:hint="default"/>
                <w:color w:val="auto"/>
                <w:sz w:val="21"/>
                <w:szCs w:val="21"/>
                <w:highlight w:val="none"/>
              </w:rPr>
              <w:t>危险废物在指定危废暂存地点得到安全暂存</w:t>
            </w:r>
            <w:r>
              <w:rPr>
                <w:rFonts w:hint="default"/>
                <w:color w:val="auto"/>
                <w:sz w:val="21"/>
                <w:szCs w:val="21"/>
                <w:highlight w:val="none"/>
                <w:lang w:eastAsia="zh-CN"/>
              </w:rPr>
              <w:t>，</w:t>
            </w:r>
            <w:r>
              <w:rPr>
                <w:rFonts w:hint="default"/>
                <w:color w:val="auto"/>
                <w:sz w:val="21"/>
                <w:szCs w:val="21"/>
                <w:highlight w:val="none"/>
              </w:rPr>
              <w:t>在废物转移时执行转移联单制度</w:t>
            </w:r>
            <w:r>
              <w:rPr>
                <w:rFonts w:hint="default"/>
                <w:color w:val="auto"/>
                <w:sz w:val="21"/>
                <w:szCs w:val="21"/>
                <w:highlight w:val="none"/>
                <w:lang w:eastAsia="zh-CN"/>
              </w:rPr>
              <w:t>，</w:t>
            </w:r>
            <w:r>
              <w:rPr>
                <w:rFonts w:hint="default"/>
                <w:color w:val="auto"/>
                <w:sz w:val="21"/>
                <w:szCs w:val="21"/>
                <w:highlight w:val="none"/>
              </w:rPr>
              <w:t>交由有资质单位处理处置。</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本项目危险废物委托有资质单位进行运输</w:t>
            </w:r>
            <w:r>
              <w:rPr>
                <w:rFonts w:hint="default"/>
                <w:color w:val="auto"/>
                <w:sz w:val="21"/>
                <w:szCs w:val="21"/>
                <w:highlight w:val="none"/>
                <w:lang w:eastAsia="zh-CN"/>
              </w:rPr>
              <w:t>，</w:t>
            </w:r>
            <w:r>
              <w:rPr>
                <w:rFonts w:hint="default"/>
                <w:color w:val="auto"/>
                <w:sz w:val="21"/>
                <w:szCs w:val="21"/>
                <w:highlight w:val="none"/>
              </w:rPr>
              <w:t>在运输过程中要采用专用的车辆</w:t>
            </w:r>
            <w:r>
              <w:rPr>
                <w:rFonts w:hint="default"/>
                <w:color w:val="auto"/>
                <w:sz w:val="21"/>
                <w:szCs w:val="21"/>
                <w:highlight w:val="none"/>
                <w:lang w:eastAsia="zh-CN"/>
              </w:rPr>
              <w:t>，</w:t>
            </w:r>
            <w:r>
              <w:rPr>
                <w:rFonts w:hint="default"/>
                <w:color w:val="auto"/>
                <w:sz w:val="21"/>
                <w:szCs w:val="21"/>
                <w:highlight w:val="none"/>
              </w:rPr>
              <w:t>密闭运输</w:t>
            </w:r>
            <w:r>
              <w:rPr>
                <w:rFonts w:hint="default"/>
                <w:color w:val="auto"/>
                <w:sz w:val="21"/>
                <w:szCs w:val="21"/>
                <w:highlight w:val="none"/>
                <w:lang w:eastAsia="zh-CN"/>
              </w:rPr>
              <w:t>，</w:t>
            </w:r>
            <w:r>
              <w:rPr>
                <w:rFonts w:hint="default"/>
                <w:color w:val="auto"/>
                <w:sz w:val="21"/>
                <w:szCs w:val="21"/>
                <w:highlight w:val="none"/>
              </w:rPr>
              <w:t>严格禁止跑冒滴漏</w:t>
            </w:r>
            <w:r>
              <w:rPr>
                <w:rFonts w:hint="default"/>
                <w:color w:val="auto"/>
                <w:sz w:val="21"/>
                <w:szCs w:val="21"/>
                <w:highlight w:val="none"/>
                <w:lang w:eastAsia="zh-CN"/>
              </w:rPr>
              <w:t>，</w:t>
            </w:r>
            <w:r>
              <w:rPr>
                <w:rFonts w:hint="default"/>
                <w:color w:val="auto"/>
                <w:sz w:val="21"/>
                <w:szCs w:val="21"/>
                <w:highlight w:val="none"/>
              </w:rPr>
              <w:t>杜绝在运输过程中造成环境的二次污染</w:t>
            </w:r>
            <w:r>
              <w:rPr>
                <w:rFonts w:hint="default"/>
                <w:color w:val="auto"/>
                <w:sz w:val="21"/>
                <w:szCs w:val="21"/>
                <w:highlight w:val="none"/>
                <w:lang w:eastAsia="zh-CN"/>
              </w:rPr>
              <w:t>，</w:t>
            </w:r>
            <w:r>
              <w:rPr>
                <w:rFonts w:hint="default"/>
                <w:color w:val="auto"/>
                <w:sz w:val="21"/>
                <w:szCs w:val="21"/>
                <w:highlight w:val="none"/>
              </w:rPr>
              <w:t>在危险废物的运输中执行《危险废物转移联单管理办法》中有关的规定和要求。</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 w:val="21"/>
                <w:szCs w:val="21"/>
                <w:highlight w:val="none"/>
                <w:lang w:eastAsia="zh-CN"/>
              </w:rPr>
              <w:t>危险废物贮存点</w:t>
            </w:r>
            <w:r>
              <w:rPr>
                <w:rFonts w:hint="default"/>
                <w:color w:val="auto"/>
                <w:sz w:val="21"/>
                <w:szCs w:val="21"/>
                <w:highlight w:val="none"/>
              </w:rPr>
              <w:t>管理要求：</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ascii="宋体" w:hAnsi="宋体" w:cs="宋体"/>
                <w:color w:val="auto"/>
                <w:sz w:val="21"/>
                <w:szCs w:val="21"/>
                <w:highlight w:val="none"/>
              </w:rPr>
              <w:t>①</w:t>
            </w:r>
            <w:r>
              <w:rPr>
                <w:rFonts w:hint="default"/>
                <w:color w:val="auto"/>
                <w:sz w:val="21"/>
                <w:szCs w:val="21"/>
                <w:highlight w:val="none"/>
              </w:rPr>
              <w:t>危险废物的管理由专人负责，设立危险管理相关台账记录，按规定办理危险废物转移手续；</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ascii="宋体" w:hAnsi="宋体" w:cs="宋体"/>
                <w:color w:val="auto"/>
                <w:sz w:val="21"/>
                <w:szCs w:val="21"/>
                <w:highlight w:val="none"/>
              </w:rPr>
              <w:t>②</w:t>
            </w:r>
            <w:r>
              <w:rPr>
                <w:rFonts w:hint="default"/>
                <w:color w:val="auto"/>
                <w:sz w:val="21"/>
                <w:szCs w:val="21"/>
                <w:highlight w:val="none"/>
              </w:rPr>
              <w:t>危险废物产生和贮存场所按危险废物管理要求设立相应的标识、标志；建立健全危险废物管理制度，并在显著位置张贴管理制度、危险废物产生工艺流程等；</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ascii="宋体" w:hAnsi="宋体" w:cs="宋体"/>
                <w:color w:val="auto"/>
                <w:sz w:val="21"/>
                <w:szCs w:val="21"/>
                <w:highlight w:val="none"/>
              </w:rPr>
              <w:t>③</w:t>
            </w:r>
            <w:r>
              <w:rPr>
                <w:rFonts w:hint="eastAsia"/>
                <w:color w:val="auto"/>
                <w:sz w:val="21"/>
                <w:szCs w:val="21"/>
                <w:highlight w:val="none"/>
                <w:lang w:eastAsia="zh-CN"/>
              </w:rPr>
              <w:t>危险废物贮存点</w:t>
            </w:r>
            <w:r>
              <w:rPr>
                <w:rFonts w:hint="default"/>
                <w:color w:val="auto"/>
                <w:sz w:val="21"/>
                <w:szCs w:val="21"/>
                <w:highlight w:val="none"/>
              </w:rPr>
              <w:t>为危险废物的专用暂存库，不得混存其他固体废物和物品；明确房间用途，杜绝闲杂人等误入并对人体造成损害；</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ascii="宋体" w:hAnsi="宋体" w:cs="宋体"/>
                <w:color w:val="auto"/>
                <w:sz w:val="21"/>
                <w:szCs w:val="21"/>
                <w:highlight w:val="none"/>
              </w:rPr>
              <w:t>④</w:t>
            </w:r>
            <w:r>
              <w:rPr>
                <w:rFonts w:hint="default"/>
                <w:color w:val="auto"/>
                <w:sz w:val="21"/>
                <w:szCs w:val="21"/>
                <w:highlight w:val="none"/>
              </w:rPr>
              <w:t>定期巡检，发现问题及时处理，并做好巡检记录；设立出入库台账并如实记录。</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eastAsia="宋体"/>
                <w:color w:val="auto"/>
                <w:lang w:val="en-US" w:eastAsia="zh-CN"/>
              </w:rPr>
            </w:pPr>
            <w:r>
              <w:rPr>
                <w:rFonts w:hint="default"/>
                <w:snapToGrid w:val="0"/>
                <w:color w:val="auto"/>
                <w:kern w:val="0"/>
                <w:sz w:val="21"/>
                <w:szCs w:val="21"/>
                <w:highlight w:val="none"/>
              </w:rPr>
              <w:t>采取上述措施后，运营期产生的固体废物均可得到有效处理处置，不会对周边环境产生危害性影响</w:t>
            </w:r>
            <w:r>
              <w:rPr>
                <w:rFonts w:hint="eastAsia"/>
                <w:snapToGrid w:val="0"/>
                <w:color w:val="auto"/>
                <w:kern w:val="0"/>
                <w:sz w:val="21"/>
                <w:szCs w:val="21"/>
                <w:highlight w:val="none"/>
                <w:lang w:eastAsia="zh-CN"/>
              </w:rPr>
              <w:t>。</w:t>
            </w:r>
          </w:p>
          <w:p>
            <w:pPr>
              <w:pStyle w:val="26"/>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rPr>
                <w:rFonts w:hint="default"/>
                <w:color w:val="auto"/>
                <w:highlight w:val="none"/>
                <w:lang w:val="en-US"/>
              </w:rPr>
            </w:pPr>
            <w:r>
              <w:rPr>
                <w:rFonts w:hint="default"/>
                <w:bCs/>
                <w:color w:val="auto"/>
                <w:szCs w:val="21"/>
                <w:highlight w:val="none"/>
              </w:rPr>
              <w:t>综上所述，本项目</w:t>
            </w:r>
            <w:r>
              <w:rPr>
                <w:rFonts w:hint="eastAsia"/>
                <w:bCs/>
                <w:color w:val="auto"/>
                <w:szCs w:val="21"/>
                <w:highlight w:val="none"/>
                <w:lang w:eastAsia="zh-CN"/>
              </w:rPr>
              <w:t>产生的</w:t>
            </w:r>
            <w:r>
              <w:rPr>
                <w:rFonts w:hint="eastAsia"/>
                <w:bCs/>
                <w:color w:val="auto"/>
                <w:szCs w:val="21"/>
                <w:highlight w:val="none"/>
              </w:rPr>
              <w:t>固体</w:t>
            </w:r>
            <w:r>
              <w:rPr>
                <w:rFonts w:hint="default"/>
                <w:bCs/>
                <w:color w:val="auto"/>
                <w:szCs w:val="21"/>
                <w:highlight w:val="none"/>
              </w:rPr>
              <w:t>废物有相应的、安全的处置处理，对环境的影响较小。</w:t>
            </w:r>
          </w:p>
          <w:p>
            <w:pPr>
              <w:pStyle w:val="9"/>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（3）环境影响分析</w:t>
            </w:r>
          </w:p>
          <w:p>
            <w:pPr>
              <w:pStyle w:val="9"/>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0" w:firstLineChars="200"/>
              <w:jc w:val="both"/>
              <w:rPr>
                <w:rFonts w:hint="eastAsia"/>
                <w:color w:val="auto"/>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《一般固体废物分类与代码》（GB/T39198-2020）</w:t>
            </w:r>
            <w:r>
              <w:rPr>
                <w:rFonts w:hint="eastAsia" w:cs="Times New Roman"/>
                <w:b w:val="0"/>
                <w:bCs w:val="0"/>
                <w:color w:val="auto"/>
                <w:sz w:val="21"/>
                <w:szCs w:val="21"/>
                <w:highlight w:val="none"/>
                <w:lang w:val="en-US" w:eastAsia="zh-CN"/>
              </w:rPr>
              <w:t>，</w:t>
            </w:r>
            <w:r>
              <w:rPr>
                <w:rFonts w:hint="default"/>
                <w:color w:val="auto"/>
                <w:kern w:val="0"/>
                <w:szCs w:val="21"/>
                <w:highlight w:val="none"/>
              </w:rPr>
              <w:t>危险废物</w:t>
            </w:r>
            <w:r>
              <w:rPr>
                <w:rFonts w:hint="eastAsia"/>
                <w:color w:val="auto"/>
                <w:kern w:val="0"/>
                <w:szCs w:val="21"/>
                <w:highlight w:val="none"/>
                <w:lang w:val="en-US" w:eastAsia="zh-CN"/>
              </w:rPr>
              <w:t>满足</w:t>
            </w:r>
            <w:r>
              <w:rPr>
                <w:rFonts w:hint="eastAsia" w:ascii="宋体" w:hAnsi="宋体" w:cs="宋体"/>
                <w:color w:val="auto"/>
                <w:kern w:val="0"/>
                <w:szCs w:val="21"/>
                <w:highlight w:val="none"/>
                <w:lang w:bidi="ar"/>
              </w:rPr>
              <w:t>《危险废物贮存污染控制标准》（</w:t>
            </w:r>
            <w:r>
              <w:rPr>
                <w:rFonts w:hint="default"/>
                <w:color w:val="auto"/>
                <w:kern w:val="0"/>
                <w:szCs w:val="21"/>
                <w:highlight w:val="none"/>
                <w:lang w:bidi="ar"/>
              </w:rPr>
              <w:t>GB18597-2023</w:t>
            </w:r>
            <w:r>
              <w:rPr>
                <w:rFonts w:hint="eastAsia" w:ascii="宋体" w:hAnsi="宋体" w:cs="宋体"/>
                <w:color w:val="auto"/>
                <w:kern w:val="0"/>
                <w:szCs w:val="21"/>
                <w:highlight w:val="none"/>
                <w:lang w:bidi="ar"/>
              </w:rPr>
              <w:t>）</w:t>
            </w:r>
            <w:r>
              <w:rPr>
                <w:rFonts w:hint="default" w:ascii="Times New Roman" w:hAnsi="Times New Roman" w:cs="Times New Roman"/>
                <w:color w:val="auto"/>
                <w:sz w:val="21"/>
                <w:szCs w:val="21"/>
                <w:highlight w:val="none"/>
              </w:rPr>
              <w:t>的相关规定</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本项目产生的固体废物经过妥善处理后，处置率达到100%不会影响周边环境。</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5、土壤和地下水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项目污水处理站和事故池废水事故排放可能污染地下水及土壤。因此项目污水处理站和事故池采取地面防渗措施，防渗层为1m厚黏土层（渗透系数≤10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cm/s），防止污染地下水。项目所采取的具体措施如下：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本项目池壁刷防水防渗材料，池底铺设防渗膜，渗透系数≤1.0×10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cm/s；污水处理站内各池体采用不锈钢一体化结构，金属表面刷防腐蚀涂料，池壁刷防水防渗材料，池底铺设防渗膜，渗透系数≤1.0×10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污水收集与排放统一采用PPR管，污水管接口采取严格的密封措施，管道铺设走向须明确清晰，易于监督和维护，防止管道破损渗漏。同时设置防漏裙角和警示标识。事故水池池壁刷防水防渗材料，池底铺设防渗膜，渗透系数≤1.0×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在完成上述防渗措施的前提下，还应加强本项目污水处理设施的维护，发现隐患及时处理：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严格按照操作规程进行操作，防止因操作失误导致物料外泄；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②</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加强日常现场巡检，建立严格考核制度；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加强法兰、阀门、机泵密封检查，发现泄漏及时更换，防止物料跑冒滴漏；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④</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加强地面检查、维护，发现有损坏或存在隐患应及时处理。</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default"/>
                <w:snapToGrid w:val="0"/>
                <w:color w:val="auto"/>
                <w:kern w:val="0"/>
                <w:sz w:val="21"/>
                <w:szCs w:val="21"/>
                <w:highlight w:val="none"/>
              </w:rPr>
            </w:pPr>
            <w:r>
              <w:rPr>
                <w:rFonts w:hint="default" w:ascii="宋体-WinCharSetFFFF-H" w:hAnsi="宋体-WinCharSetFFFF-H" w:eastAsia="宋体-WinCharSetFFFF-H" w:cs="宋体-WinCharSetFFFF-H"/>
                <w:color w:val="auto"/>
                <w:kern w:val="0"/>
                <w:sz w:val="21"/>
                <w:szCs w:val="21"/>
                <w:highlight w:val="none"/>
                <w:lang w:val="en-US" w:eastAsia="zh-CN" w:bidi="ar"/>
              </w:rPr>
              <w:t>本项目</w:t>
            </w:r>
            <w:r>
              <w:rPr>
                <w:rFonts w:hint="eastAsia" w:eastAsia="宋体-WinCharSetFFFF-H" w:cs="Times New Roman"/>
                <w:b w:val="0"/>
                <w:bCs/>
                <w:color w:val="auto"/>
                <w:szCs w:val="21"/>
                <w:highlight w:val="none"/>
                <w:lang w:eastAsia="zh-CN"/>
              </w:rPr>
              <w:t>危险废物贮存点</w:t>
            </w:r>
            <w:r>
              <w:rPr>
                <w:rFonts w:hint="default" w:ascii="Times New Roman" w:hAnsi="Times New Roman" w:cs="Times New Roman"/>
                <w:b w:val="0"/>
                <w:bCs/>
                <w:color w:val="auto"/>
                <w:szCs w:val="21"/>
                <w:highlight w:val="none"/>
              </w:rPr>
              <w:t>做重点防渗区，进行硬化防渗处理，采用2mm高密度聚乙烯，渗透系数≤1×10</w:t>
            </w:r>
            <w:r>
              <w:rPr>
                <w:rFonts w:hint="default" w:ascii="Times New Roman" w:hAnsi="Times New Roman" w:cs="Times New Roman"/>
                <w:b w:val="0"/>
                <w:bCs/>
                <w:color w:val="auto"/>
                <w:szCs w:val="21"/>
                <w:highlight w:val="none"/>
                <w:vertAlign w:val="superscript"/>
              </w:rPr>
              <w:t>-10</w:t>
            </w:r>
            <w:r>
              <w:rPr>
                <w:rFonts w:hint="default" w:ascii="Times New Roman" w:hAnsi="Times New Roman" w:cs="Times New Roman"/>
                <w:b w:val="0"/>
                <w:bCs/>
                <w:color w:val="auto"/>
                <w:szCs w:val="21"/>
                <w:highlight w:val="none"/>
              </w:rPr>
              <w:t>cm/s；不相容危险废物要分别存放或存放在不渗透间隔分开的区域内，每个部分都应有防漏裙角，地面与裙角要用坚固、防渗材料建造，且必须与危险废物相容，地面与裙角所围建的容积不低于堵截最大容器的最大储量或总储量的1/5，并设置警示标识。其他区域做简单防渗区，采用水泥硬化</w:t>
            </w:r>
            <w:r>
              <w:rPr>
                <w:rFonts w:hint="eastAsia" w:cs="Times New Roman"/>
                <w:b w:val="0"/>
                <w:bCs/>
                <w:color w:val="auto"/>
                <w:szCs w:val="21"/>
                <w:highlight w:val="none"/>
                <w:lang w:eastAsia="zh-CN"/>
              </w:rPr>
              <w:t>。本项目运行过程中</w:t>
            </w:r>
            <w:r>
              <w:rPr>
                <w:rFonts w:hint="default"/>
                <w:snapToGrid w:val="0"/>
                <w:color w:val="auto"/>
                <w:kern w:val="0"/>
                <w:sz w:val="21"/>
                <w:szCs w:val="21"/>
                <w:highlight w:val="none"/>
              </w:rPr>
              <w:t>地下水、土壤产生影响</w:t>
            </w:r>
            <w:r>
              <w:rPr>
                <w:rFonts w:hint="eastAsia"/>
                <w:snapToGrid w:val="0"/>
                <w:color w:val="auto"/>
                <w:kern w:val="0"/>
                <w:sz w:val="21"/>
                <w:szCs w:val="21"/>
                <w:highlight w:val="none"/>
                <w:lang w:eastAsia="zh-CN"/>
              </w:rPr>
              <w:t>较小</w:t>
            </w:r>
            <w:r>
              <w:rPr>
                <w:rFonts w:hint="default"/>
                <w:snapToGrid w:val="0"/>
                <w:color w:val="auto"/>
                <w:kern w:val="0"/>
                <w:sz w:val="21"/>
                <w:szCs w:val="21"/>
                <w:highlight w:val="none"/>
              </w:rPr>
              <w:t>。</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2" w:firstLineChars="200"/>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6、环境风险</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（一）制冷剂</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本项目采用R</w:t>
            </w:r>
            <w:r>
              <w:rPr>
                <w:rFonts w:hint="default" w:ascii="Times New Roman" w:hAnsi="Times New Roman" w:cs="Times New Roman"/>
                <w:color w:val="auto"/>
                <w:kern w:val="0"/>
                <w:sz w:val="21"/>
                <w:szCs w:val="21"/>
                <w:highlight w:val="none"/>
                <w:lang w:val="en-US" w:eastAsia="zh-CN"/>
              </w:rPr>
              <w:t>32</w:t>
            </w:r>
            <w:r>
              <w:rPr>
                <w:rFonts w:hint="default" w:ascii="Times New Roman" w:hAnsi="Times New Roman" w:cs="Times New Roman"/>
                <w:color w:val="auto"/>
                <w:kern w:val="0"/>
                <w:sz w:val="21"/>
                <w:szCs w:val="21"/>
                <w:highlight w:val="none"/>
              </w:rPr>
              <w:t>环保制冷剂，根据《建设项目环境风险技术导则》中附录B，</w:t>
            </w:r>
            <w:r>
              <w:rPr>
                <w:rFonts w:hint="eastAsia" w:cs="Times New Roman"/>
                <w:color w:val="auto"/>
                <w:kern w:val="0"/>
                <w:sz w:val="21"/>
                <w:szCs w:val="21"/>
                <w:highlight w:val="none"/>
                <w:lang w:val="en-US" w:eastAsia="zh-CN"/>
              </w:rPr>
              <w:t>不属于风险物质</w:t>
            </w:r>
            <w:r>
              <w:rPr>
                <w:rFonts w:hint="default" w:ascii="Times New Roman" w:hAnsi="Times New Roman" w:cs="Times New Roman"/>
                <w:color w:val="auto"/>
                <w:kern w:val="0"/>
                <w:sz w:val="21"/>
                <w:szCs w:val="21"/>
                <w:highlight w:val="none"/>
              </w:rPr>
              <w:t>。</w:t>
            </w:r>
          </w:p>
          <w:p>
            <w:pPr>
              <w:keepNext w:val="0"/>
              <w:keepLines w:val="0"/>
              <w:pageBreakBefore w:val="0"/>
              <w:numPr>
                <w:ilvl w:val="0"/>
                <w:numId w:val="11"/>
              </w:numPr>
              <w:suppressLineNumbers w:val="0"/>
              <w:kinsoku/>
              <w:wordWrap/>
              <w:overflowPunct/>
              <w:topLinePunct w:val="0"/>
              <w:bidi w:val="0"/>
              <w:spacing w:before="0" w:beforeAutospacing="0" w:after="0" w:afterAutospacing="0" w:line="360" w:lineRule="auto"/>
              <w:ind w:left="0" w:leftChars="0" w:right="0" w:firstLine="420" w:firstLineChars="20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燃气锅炉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contextualSpacing/>
              <w:textAlignment w:val="auto"/>
              <w:rPr>
                <w:rFonts w:hint="eastAsia" w:ascii="Times New Roman" w:hAnsi="Times New Roman" w:eastAsia="宋体" w:cs="Times New Roman"/>
                <w:color w:val="auto"/>
                <w:spacing w:val="0"/>
                <w:sz w:val="21"/>
                <w:szCs w:val="21"/>
                <w:highlight w:val="none"/>
                <w:lang w:eastAsia="zh-CN"/>
              </w:rPr>
            </w:pPr>
            <w:r>
              <w:rPr>
                <w:rFonts w:hint="eastAsia" w:ascii="Times New Roman" w:hAnsi="Times New Roman" w:cs="Times New Roman"/>
                <w:b w:val="0"/>
                <w:bCs w:val="0"/>
                <w:color w:val="auto"/>
                <w:spacing w:val="0"/>
                <w:sz w:val="21"/>
                <w:szCs w:val="21"/>
                <w:highlight w:val="none"/>
                <w:lang w:val="en-US" w:eastAsia="zh-CN"/>
              </w:rPr>
              <w:t>临界量：</w:t>
            </w:r>
            <w:r>
              <w:rPr>
                <w:rFonts w:hint="default" w:ascii="Times New Roman" w:hAnsi="Times New Roman" w:eastAsia="宋体" w:cs="Times New Roman"/>
                <w:b w:val="0"/>
                <w:bCs w:val="0"/>
                <w:color w:val="auto"/>
                <w:spacing w:val="0"/>
                <w:sz w:val="21"/>
                <w:szCs w:val="21"/>
                <w:highlight w:val="none"/>
              </w:rPr>
              <w:t>本</w:t>
            </w:r>
            <w:r>
              <w:rPr>
                <w:rFonts w:hint="default" w:ascii="Times New Roman" w:hAnsi="Times New Roman" w:eastAsia="宋体" w:cs="Times New Roman"/>
                <w:color w:val="auto"/>
                <w:spacing w:val="0"/>
                <w:sz w:val="21"/>
                <w:szCs w:val="21"/>
                <w:highlight w:val="none"/>
              </w:rPr>
              <w:t>项目涉及的风险物质主要是</w:t>
            </w:r>
            <w:r>
              <w:rPr>
                <w:rFonts w:hint="eastAsia" w:ascii="Times New Roman" w:hAnsi="Times New Roman" w:cs="Times New Roman"/>
                <w:color w:val="auto"/>
                <w:spacing w:val="0"/>
                <w:sz w:val="21"/>
                <w:szCs w:val="21"/>
                <w:highlight w:val="none"/>
                <w:lang w:eastAsia="zh-CN"/>
              </w:rPr>
              <w:t>天然气</w:t>
            </w:r>
            <w:r>
              <w:rPr>
                <w:rFonts w:hint="default" w:ascii="Times New Roman" w:hAnsi="Times New Roman" w:eastAsia="宋体"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eastAsia="zh-CN"/>
              </w:rPr>
              <w:t>天然气中甲烷</w:t>
            </w:r>
            <w:r>
              <w:rPr>
                <w:rFonts w:hint="default" w:ascii="Times New Roman" w:hAnsi="Times New Roman" w:eastAsia="宋体" w:cs="Times New Roman"/>
                <w:color w:val="auto"/>
                <w:spacing w:val="0"/>
                <w:sz w:val="21"/>
                <w:szCs w:val="21"/>
                <w:highlight w:val="none"/>
                <w:lang w:eastAsia="zh-CN"/>
              </w:rPr>
              <w:t>属于《建设项目环境风险评价技术导则》（HJ169-2018）附录B中危险物质</w:t>
            </w:r>
            <w:r>
              <w:rPr>
                <w:rFonts w:hint="eastAsia" w:ascii="Times New Roman" w:hAnsi="Times New Roman" w:eastAsia="宋体" w:cs="Times New Roman"/>
                <w:color w:val="auto"/>
                <w:spacing w:val="0"/>
                <w:sz w:val="21"/>
                <w:szCs w:val="21"/>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contextualSpacing/>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eastAsia="zh-CN"/>
              </w:rPr>
              <w:t>天然气</w:t>
            </w:r>
            <w:r>
              <w:rPr>
                <w:rFonts w:hint="eastAsia"/>
                <w:bCs w:val="0"/>
                <w:color w:val="auto"/>
                <w:kern w:val="0"/>
                <w:highlight w:val="none"/>
              </w:rPr>
              <w:t>采用管道输送</w:t>
            </w:r>
            <w:r>
              <w:rPr>
                <w:rFonts w:hint="eastAsia"/>
                <w:bCs w:val="0"/>
                <w:color w:val="auto"/>
                <w:kern w:val="0"/>
                <w:highlight w:val="none"/>
                <w:lang w:eastAsia="zh-CN"/>
              </w:rPr>
              <w:t>（</w:t>
            </w:r>
            <w:r>
              <w:rPr>
                <w:rFonts w:hint="eastAsia"/>
                <w:bCs w:val="0"/>
                <w:color w:val="auto"/>
                <w:kern w:val="0"/>
                <w:highlight w:val="none"/>
                <w:lang w:val="en-US" w:eastAsia="zh-CN"/>
              </w:rPr>
              <w:t>DN50mm，长度25m、DN100mm，长度30m</w:t>
            </w:r>
            <w:r>
              <w:rPr>
                <w:rFonts w:hint="eastAsia"/>
                <w:bCs w:val="0"/>
                <w:color w:val="auto"/>
                <w:kern w:val="0"/>
                <w:highlight w:val="none"/>
                <w:lang w:eastAsia="zh-CN"/>
              </w:rPr>
              <w:t>）</w:t>
            </w:r>
            <w:r>
              <w:rPr>
                <w:rFonts w:hint="eastAsia"/>
                <w:bCs w:val="0"/>
                <w:color w:val="auto"/>
                <w:kern w:val="0"/>
                <w:highlight w:val="none"/>
              </w:rPr>
              <w:t>，在线量为</w:t>
            </w:r>
            <w:r>
              <w:rPr>
                <w:rFonts w:hint="eastAsia"/>
                <w:bCs w:val="0"/>
                <w:color w:val="auto"/>
                <w:kern w:val="0"/>
                <w:highlight w:val="none"/>
                <w:lang w:val="en-US" w:eastAsia="zh-CN"/>
              </w:rPr>
              <w:t>0.2846</w:t>
            </w:r>
            <w:r>
              <w:rPr>
                <w:rFonts w:hint="eastAsia"/>
                <w:bCs w:val="0"/>
                <w:color w:val="auto"/>
                <w:kern w:val="0"/>
                <w:highlight w:val="none"/>
              </w:rPr>
              <w:t>m</w:t>
            </w:r>
            <w:r>
              <w:rPr>
                <w:rFonts w:hint="eastAsia"/>
                <w:bCs w:val="0"/>
                <w:color w:val="auto"/>
                <w:kern w:val="0"/>
                <w:highlight w:val="none"/>
                <w:vertAlign w:val="superscript"/>
              </w:rPr>
              <w:t>3</w:t>
            </w:r>
            <w:r>
              <w:rPr>
                <w:rFonts w:hint="eastAsia"/>
                <w:bCs w:val="0"/>
                <w:color w:val="auto"/>
                <w:kern w:val="0"/>
                <w:highlight w:val="none"/>
              </w:rPr>
              <w:t>，密度为0.7</w:t>
            </w:r>
            <w:r>
              <w:rPr>
                <w:rFonts w:hint="eastAsia"/>
                <w:bCs w:val="0"/>
                <w:color w:val="auto"/>
                <w:kern w:val="0"/>
                <w:highlight w:val="none"/>
                <w:lang w:val="en-US" w:eastAsia="zh-CN"/>
              </w:rPr>
              <w:t>363</w:t>
            </w:r>
            <w:r>
              <w:rPr>
                <w:rFonts w:hint="eastAsia"/>
                <w:bCs w:val="0"/>
                <w:color w:val="auto"/>
                <w:kern w:val="0"/>
                <w:highlight w:val="none"/>
              </w:rPr>
              <w:t>kg/m</w:t>
            </w:r>
            <w:r>
              <w:rPr>
                <w:rFonts w:hint="eastAsia"/>
                <w:bCs w:val="0"/>
                <w:color w:val="auto"/>
                <w:kern w:val="0"/>
                <w:highlight w:val="none"/>
                <w:vertAlign w:val="superscript"/>
              </w:rPr>
              <w:t>3</w:t>
            </w:r>
            <w:r>
              <w:rPr>
                <w:rFonts w:hint="eastAsia"/>
                <w:bCs w:val="0"/>
                <w:color w:val="auto"/>
                <w:kern w:val="0"/>
                <w:highlight w:val="none"/>
              </w:rPr>
              <w:t>，在线量为</w:t>
            </w:r>
            <w:r>
              <w:rPr>
                <w:rFonts w:hint="eastAsia"/>
                <w:bCs w:val="0"/>
                <w:color w:val="auto"/>
                <w:kern w:val="0"/>
                <w:highlight w:val="none"/>
                <w:lang w:val="en-US" w:eastAsia="zh-CN"/>
              </w:rPr>
              <w:t>0.21</w:t>
            </w:r>
            <w:r>
              <w:rPr>
                <w:rFonts w:hint="eastAsia"/>
                <w:bCs w:val="0"/>
                <w:color w:val="auto"/>
                <w:kern w:val="0"/>
                <w:highlight w:val="none"/>
              </w:rPr>
              <w:t>kg，天然气参照甲烷临界量进行比较</w:t>
            </w:r>
            <w:r>
              <w:rPr>
                <w:rFonts w:hint="eastAsia"/>
                <w:bCs w:val="0"/>
                <w:color w:val="auto"/>
                <w:kern w:val="0"/>
                <w:highlight w:val="none"/>
                <w:lang w:eastAsia="zh-CN"/>
              </w:rPr>
              <w:t>，甲烷临界量</w:t>
            </w:r>
            <w:r>
              <w:rPr>
                <w:rFonts w:hint="eastAsia"/>
                <w:bCs w:val="0"/>
                <w:color w:val="auto"/>
                <w:kern w:val="0"/>
                <w:highlight w:val="none"/>
                <w:lang w:val="en-US" w:eastAsia="zh-CN"/>
              </w:rPr>
              <w:t>10t，未超出临界量。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bCs/>
                <w:color w:val="auto"/>
                <w:spacing w:val="0"/>
                <w:szCs w:val="21"/>
                <w:highlight w:val="none"/>
                <w:lang w:val="en-US" w:eastAsia="zh-CN"/>
              </w:rPr>
            </w:pPr>
            <w:r>
              <w:rPr>
                <w:rFonts w:hint="default" w:ascii="Times New Roman" w:hAnsi="Times New Roman" w:eastAsia="宋体" w:cs="Times New Roman"/>
                <w:bCs/>
                <w:color w:val="auto"/>
                <w:spacing w:val="0"/>
                <w:szCs w:val="21"/>
                <w:highlight w:val="none"/>
                <w:lang w:val="en-US" w:eastAsia="zh-CN"/>
              </w:rPr>
              <w:t>危险物质分布：本项目危险物质主要为</w:t>
            </w:r>
            <w:r>
              <w:rPr>
                <w:rFonts w:hint="eastAsia" w:ascii="Times New Roman" w:hAnsi="Times New Roman" w:eastAsia="宋体" w:cs="Times New Roman"/>
                <w:bCs/>
                <w:color w:val="auto"/>
                <w:spacing w:val="0"/>
                <w:szCs w:val="21"/>
                <w:highlight w:val="none"/>
                <w:lang w:val="en-US" w:eastAsia="zh-CN"/>
              </w:rPr>
              <w:t>天然气管线</w:t>
            </w:r>
            <w:r>
              <w:rPr>
                <w:rFonts w:hint="default" w:ascii="Times New Roman" w:hAnsi="Times New Roman" w:eastAsia="宋体" w:cs="Times New Roman"/>
                <w:bCs/>
                <w:color w:val="auto"/>
                <w:spacing w:val="0"/>
                <w:szCs w:val="21"/>
                <w:highlight w:val="none"/>
                <w:lang w:val="en-US" w:eastAsia="zh-CN"/>
              </w:rPr>
              <w:t>；主要分布在</w:t>
            </w:r>
            <w:r>
              <w:rPr>
                <w:rFonts w:hint="eastAsia" w:ascii="Times New Roman" w:hAnsi="Times New Roman" w:eastAsia="宋体" w:cs="Times New Roman"/>
                <w:bCs/>
                <w:color w:val="auto"/>
                <w:spacing w:val="0"/>
                <w:szCs w:val="21"/>
                <w:highlight w:val="none"/>
                <w:lang w:val="en-US" w:eastAsia="zh-CN"/>
              </w:rPr>
              <w:t>厂区和锅炉房。</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bCs/>
                <w:color w:val="auto"/>
                <w:spacing w:val="0"/>
                <w:szCs w:val="21"/>
                <w:highlight w:val="none"/>
                <w:lang w:val="en-US" w:eastAsia="zh-CN"/>
              </w:rPr>
            </w:pPr>
            <w:r>
              <w:rPr>
                <w:rFonts w:hint="default" w:ascii="Times New Roman" w:hAnsi="Times New Roman" w:eastAsia="宋体" w:cs="Times New Roman"/>
                <w:bCs/>
                <w:color w:val="auto"/>
                <w:spacing w:val="0"/>
                <w:szCs w:val="21"/>
                <w:highlight w:val="none"/>
                <w:lang w:val="en-US" w:eastAsia="zh-CN"/>
              </w:rPr>
              <w:t>可能影响途径：</w:t>
            </w:r>
            <w:r>
              <w:rPr>
                <w:rFonts w:hint="eastAsia" w:cs="Times New Roman"/>
                <w:bCs/>
                <w:color w:val="auto"/>
                <w:spacing w:val="0"/>
                <w:szCs w:val="21"/>
                <w:highlight w:val="none"/>
                <w:lang w:val="en-US" w:eastAsia="zh-CN"/>
              </w:rPr>
              <w:t>由于甲烷轻于空气，很快扩散至大气中，形成高浓度甲烷气团。如遇高热、明火会引发着火、爆炸。泄漏的甲烷气若集中在厂区内，遇明火、静电等可引发厂区内着火、爆炸。</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bCs/>
                <w:color w:val="auto"/>
                <w:spacing w:val="0"/>
                <w:szCs w:val="21"/>
                <w:highlight w:val="none"/>
                <w:lang w:val="en-US" w:eastAsia="zh-CN"/>
              </w:rPr>
            </w:pPr>
            <w:r>
              <w:rPr>
                <w:rFonts w:hint="default" w:ascii="Times New Roman" w:hAnsi="Times New Roman" w:eastAsia="宋体" w:cs="Times New Roman"/>
                <w:bCs/>
                <w:color w:val="auto"/>
                <w:spacing w:val="0"/>
                <w:szCs w:val="21"/>
                <w:highlight w:val="none"/>
                <w:lang w:val="en-US" w:eastAsia="zh-CN"/>
              </w:rPr>
              <w:t>环境风险防范措施：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cs="Times New Roman"/>
                <w:bCs/>
                <w:color w:val="auto"/>
                <w:spacing w:val="0"/>
                <w:szCs w:val="21"/>
                <w:highlight w:val="none"/>
                <w:lang w:val="en-US" w:eastAsia="zh-CN"/>
              </w:rPr>
            </w:pPr>
            <w:r>
              <w:rPr>
                <w:rFonts w:hint="eastAsia" w:cs="Times New Roman"/>
                <w:bCs/>
                <w:color w:val="auto"/>
                <w:spacing w:val="0"/>
                <w:szCs w:val="21"/>
                <w:highlight w:val="none"/>
                <w:lang w:val="en-US" w:eastAsia="zh-CN"/>
              </w:rPr>
              <w:t>厂区</w:t>
            </w:r>
            <w:r>
              <w:rPr>
                <w:rFonts w:hint="default" w:cs="Times New Roman"/>
                <w:bCs/>
                <w:color w:val="auto"/>
                <w:spacing w:val="0"/>
                <w:szCs w:val="21"/>
                <w:highlight w:val="none"/>
                <w:lang w:val="en-US" w:eastAsia="zh-CN"/>
              </w:rPr>
              <w:t>内应有醒目的严禁烟火标志；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eastAsia" w:cs="Times New Roman"/>
                <w:bCs/>
                <w:color w:val="auto"/>
                <w:spacing w:val="0"/>
                <w:szCs w:val="21"/>
                <w:highlight w:val="none"/>
                <w:lang w:val="en-US" w:eastAsia="zh-CN"/>
              </w:rPr>
            </w:pPr>
            <w:r>
              <w:rPr>
                <w:rFonts w:hint="eastAsia" w:cs="Times New Roman"/>
                <w:bCs/>
                <w:color w:val="auto"/>
                <w:spacing w:val="0"/>
                <w:szCs w:val="21"/>
                <w:highlight w:val="none"/>
                <w:lang w:val="en-US" w:eastAsia="zh-CN"/>
              </w:rPr>
              <w:t>风险管控措施：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lang w:val="en-US" w:eastAsia="zh-CN"/>
              </w:rPr>
            </w:pPr>
            <w:r>
              <w:rPr>
                <w:rFonts w:hint="default"/>
                <w:color w:val="auto"/>
                <w:highlight w:val="none"/>
                <w:lang w:val="en-US" w:eastAsia="zh-CN"/>
              </w:rPr>
              <w:t>环境安全管理制度：制定</w:t>
            </w:r>
            <w:r>
              <w:rPr>
                <w:rFonts w:hint="eastAsia"/>
                <w:color w:val="auto"/>
                <w:highlight w:val="none"/>
                <w:lang w:val="en-US" w:eastAsia="zh-CN"/>
              </w:rPr>
              <w:t>厂区</w:t>
            </w:r>
            <w:r>
              <w:rPr>
                <w:rFonts w:hint="default"/>
                <w:color w:val="auto"/>
                <w:highlight w:val="none"/>
                <w:lang w:val="en-US" w:eastAsia="zh-CN"/>
              </w:rPr>
              <w:t>日常环境安全检查管理制度，要求分工明确，定期进行隐患排查，形成规章制度，落实到人</w:t>
            </w:r>
            <w:r>
              <w:rPr>
                <w:rFonts w:hint="eastAsia"/>
                <w:color w:val="auto"/>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lang w:val="en-US" w:eastAsia="zh-CN"/>
              </w:rPr>
            </w:pPr>
            <w:r>
              <w:rPr>
                <w:rFonts w:hint="default"/>
                <w:color w:val="auto"/>
                <w:highlight w:val="none"/>
                <w:lang w:val="en-US" w:eastAsia="zh-CN"/>
              </w:rPr>
              <w:t>重要设施检测维护制度：对供水、供电、火灾报警、监控等设施进行日常检查，填写检查记录，发现问题及时上报，限时整改；对事故处置装备、设施、物资进行定期巡查、补充。</w:t>
            </w:r>
          </w:p>
          <w:p>
            <w:pPr>
              <w:pStyle w:val="2"/>
              <w:keepNext w:val="0"/>
              <w:keepLines w:val="0"/>
              <w:pageBreakBefore w:val="0"/>
              <w:numPr>
                <w:ilvl w:val="0"/>
                <w:numId w:val="11"/>
              </w:numPr>
              <w:suppressLineNumbers w:val="0"/>
              <w:kinsoku/>
              <w:wordWrap/>
              <w:overflowPunct/>
              <w:topLinePunct w:val="0"/>
              <w:bidi w:val="0"/>
              <w:spacing w:before="0" w:beforeAutospacing="0" w:after="0" w:afterAutospacing="0" w:line="360" w:lineRule="auto"/>
              <w:ind w:left="0" w:leftChars="0" w:right="0" w:firstLine="420" w:firstLineChars="20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废水处理消毒剂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根据《建设项目环境风险评价技术导则》（HJ169-2018）附录B进行辨识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废水处理消毒剂主要</w:t>
            </w:r>
            <w:r>
              <w:rPr>
                <w:rFonts w:hint="default" w:ascii="Times New Roman" w:hAnsi="Times New Roman" w:eastAsia="宋体" w:cs="Times New Roman"/>
                <w:color w:val="auto"/>
                <w:sz w:val="21"/>
                <w:szCs w:val="21"/>
                <w:highlight w:val="none"/>
              </w:rPr>
              <w:t>为二氧化氯</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其最大存储量为0.18t，临界量为0.5t，Q值小于1，</w:t>
            </w:r>
            <w:r>
              <w:rPr>
                <w:rFonts w:hint="default" w:ascii="Times New Roman" w:hAnsi="Times New Roman" w:eastAsia="宋体" w:cs="Times New Roman"/>
                <w:color w:val="auto"/>
                <w:sz w:val="21"/>
                <w:szCs w:val="21"/>
                <w:highlight w:val="none"/>
              </w:rPr>
              <w:t>项目环境风险潜势为 I</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风险</w:t>
            </w:r>
            <w:r>
              <w:rPr>
                <w:rFonts w:hint="default" w:ascii="Times New Roman" w:hAnsi="Times New Roman" w:eastAsia="宋体" w:cs="Times New Roman"/>
                <w:color w:val="auto"/>
                <w:sz w:val="21"/>
                <w:szCs w:val="21"/>
                <w:highlight w:val="none"/>
              </w:rPr>
              <w:t>物质储存量未超过临界量，无需进行专项评价，仅简单分析。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0" w:firstLineChars="20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二氧化氯泄漏环境风险影响分析</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本项目污水处理站废水处理消毒剂使用二氧化氯消毒，袋装（小包装）储存在污水站投药间内。营运过程中，由于设备腐蚀、包装袋破损等，在运行过程易发生消毒剂中的二氧化氯成分泄露事故，二氧化氯是具有腐蚀性，受高热分解产生有毒的腐蚀性烟气。</w:t>
            </w:r>
          </w:p>
          <w:p>
            <w:pPr>
              <w:pStyle w:val="2"/>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环境风险防范措施</w:t>
            </w:r>
            <w:r>
              <w:rPr>
                <w:rFonts w:hint="default" w:ascii="Times New Roman" w:hAnsi="Times New Roman" w:eastAsia="宋体" w:cs="Times New Roman"/>
                <w:color w:val="auto"/>
                <w:spacing w:val="0"/>
                <w:sz w:val="21"/>
                <w:szCs w:val="21"/>
                <w:highlight w:val="none"/>
                <w:lang w:eastAsia="zh-CN"/>
              </w:rPr>
              <w:t>：</w:t>
            </w:r>
          </w:p>
          <w:p>
            <w:pPr>
              <w:pStyle w:val="44"/>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0"/>
                <w:sz w:val="21"/>
                <w:szCs w:val="21"/>
                <w:highlight w:val="none"/>
              </w:rPr>
              <w:t>本项目二氧化氯为小包装储存在加药间内，二氧化氯储存点应做到防雨、防晒、阴凉、通风，地面做好重点防渗处理</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b w:val="0"/>
                <w:bCs w:val="0"/>
                <w:color w:val="auto"/>
                <w:sz w:val="21"/>
                <w:szCs w:val="21"/>
              </w:rPr>
              <w:t>进行硬化防渗处理，采用2mm高密度聚乙烯，渗透系数≤1×10</w:t>
            </w:r>
            <w:r>
              <w:rPr>
                <w:rFonts w:hint="default" w:ascii="Times New Roman" w:hAnsi="Times New Roman" w:cs="Times New Roman"/>
                <w:b w:val="0"/>
                <w:bCs w:val="0"/>
                <w:color w:val="auto"/>
                <w:sz w:val="21"/>
                <w:szCs w:val="21"/>
                <w:vertAlign w:val="superscript"/>
              </w:rPr>
              <w:t>-10</w:t>
            </w:r>
            <w:r>
              <w:rPr>
                <w:rFonts w:hint="default" w:ascii="Times New Roman" w:hAnsi="Times New Roman" w:cs="Times New Roman"/>
                <w:b w:val="0"/>
                <w:bCs w:val="0"/>
                <w:color w:val="auto"/>
                <w:sz w:val="21"/>
                <w:szCs w:val="21"/>
              </w:rPr>
              <w:t>cm/s</w:t>
            </w:r>
            <w:r>
              <w:rPr>
                <w:rFonts w:hint="eastAsia" w:ascii="Times New Roman" w:hAnsi="Times New Roman" w:cs="Times New Roman"/>
                <w:b w:val="0"/>
                <w:bCs w:val="0"/>
                <w:color w:val="auto"/>
                <w:sz w:val="21"/>
                <w:szCs w:val="21"/>
                <w:lang w:eastAsia="zh-CN"/>
              </w:rPr>
              <w:t>）</w:t>
            </w:r>
            <w:r>
              <w:rPr>
                <w:rFonts w:hint="default" w:ascii="Times New Roman" w:hAnsi="Times New Roman" w:eastAsia="宋体" w:cs="Times New Roman"/>
                <w:color w:val="auto"/>
                <w:spacing w:val="0"/>
                <w:sz w:val="21"/>
                <w:szCs w:val="21"/>
                <w:highlight w:val="none"/>
              </w:rPr>
              <w:t>；强化风险意识、加强安全管理，严格按操作规程操作；设置专人管理维护；定期检查维护相关设备设施，使其保持正常运行状态。</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lang w:val="en-US" w:eastAsia="zh-CN"/>
              </w:rPr>
            </w:pPr>
            <w:r>
              <w:rPr>
                <w:rFonts w:hint="default"/>
                <w:color w:val="auto"/>
                <w:highlight w:val="none"/>
                <w:lang w:val="en-US" w:eastAsia="zh-CN"/>
              </w:rPr>
              <w:t>环境风险评估制度：定期进行</w:t>
            </w:r>
            <w:r>
              <w:rPr>
                <w:rFonts w:hint="eastAsia"/>
                <w:color w:val="auto"/>
                <w:highlight w:val="none"/>
                <w:lang w:val="en-US" w:eastAsia="zh-CN"/>
              </w:rPr>
              <w:t>厂</w:t>
            </w:r>
            <w:r>
              <w:rPr>
                <w:rFonts w:hint="default"/>
                <w:color w:val="auto"/>
                <w:highlight w:val="none"/>
                <w:lang w:val="en-US" w:eastAsia="zh-CN"/>
              </w:rPr>
              <w:t>内环境风险评估，制定突发环境事件应急预案。</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default"/>
                <w:color w:val="auto"/>
                <w:highlight w:val="none"/>
                <w:lang w:val="en-US" w:eastAsia="zh-CN"/>
              </w:rPr>
            </w:pPr>
            <w:r>
              <w:rPr>
                <w:rFonts w:hint="default"/>
                <w:color w:val="auto"/>
                <w:highlight w:val="none"/>
                <w:lang w:val="en-US" w:eastAsia="zh-CN"/>
              </w:rPr>
              <w:t>日常环境监测制度：对</w:t>
            </w:r>
            <w:r>
              <w:rPr>
                <w:rFonts w:hint="eastAsia"/>
                <w:color w:val="auto"/>
                <w:highlight w:val="none"/>
                <w:lang w:val="en-US" w:eastAsia="zh-CN"/>
              </w:rPr>
              <w:t>厂区</w:t>
            </w:r>
            <w:r>
              <w:rPr>
                <w:rFonts w:hint="default"/>
                <w:color w:val="auto"/>
                <w:highlight w:val="none"/>
                <w:lang w:val="en-US" w:eastAsia="zh-CN"/>
              </w:rPr>
              <w:t>进行定期的环境监测，保证各设备的环保达标排放。</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color w:val="auto"/>
                <w:highlight w:val="none"/>
                <w:lang w:val="en-US" w:eastAsia="zh-CN"/>
              </w:rPr>
            </w:pPr>
            <w:r>
              <w:rPr>
                <w:rFonts w:hint="eastAsia"/>
                <w:color w:val="auto"/>
                <w:highlight w:val="none"/>
                <w:lang w:val="en-US" w:eastAsia="zh-CN"/>
              </w:rPr>
              <w:t>（四）设备维修废机油</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color w:val="auto"/>
                <w:highlight w:val="none"/>
                <w:lang w:val="en-US" w:eastAsia="zh-CN"/>
              </w:rPr>
            </w:pPr>
            <w:r>
              <w:rPr>
                <w:rFonts w:hint="eastAsia"/>
                <w:color w:val="auto"/>
                <w:highlight w:val="none"/>
                <w:lang w:val="en-US" w:eastAsia="zh-CN"/>
              </w:rPr>
              <w:t>根据《建设项目环境风险评价技术导则》（HJ169-2018）附录B进行辨识，本项目设备维修废机油最大存储量为0.1t，临界量为2500t，Q值小于1，项目环境风险潜势为I，风险物质储存量未超过临界量，无需进行专项评价，仅简单分析。</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color w:val="auto"/>
                <w:highlight w:val="none"/>
                <w:lang w:val="en-US" w:eastAsia="zh-CN"/>
              </w:rPr>
            </w:pPr>
            <w:r>
              <w:rPr>
                <w:rFonts w:hint="eastAsia"/>
                <w:color w:val="auto"/>
                <w:highlight w:val="none"/>
                <w:lang w:val="en-US" w:eastAsia="zh-CN"/>
              </w:rPr>
              <w:t>环境风险：</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color w:val="auto"/>
                <w:highlight w:val="none"/>
                <w:lang w:val="en-US" w:eastAsia="zh-CN"/>
              </w:rPr>
            </w:pPr>
            <w:r>
              <w:rPr>
                <w:rFonts w:hint="eastAsia"/>
                <w:color w:val="auto"/>
                <w:highlight w:val="none"/>
                <w:lang w:val="en-US" w:eastAsia="zh-CN"/>
              </w:rPr>
              <w:t>废机油均收集于专用容器内，不会对地表水环境造成影响。危险废物贮存间采用耐腐蚀地面，当发生泄漏时，及时采取有效措施进行清理，不随意冲洗地面，泄漏物质将不会对周边水体和土壤造成影响。</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环境风险防范措施</w:t>
            </w:r>
            <w:r>
              <w:rPr>
                <w:rFonts w:hint="default" w:ascii="Times New Roman" w:hAnsi="Times New Roman" w:eastAsia="宋体" w:cs="Times New Roman"/>
                <w:color w:val="auto"/>
                <w:spacing w:val="0"/>
                <w:sz w:val="21"/>
                <w:szCs w:val="21"/>
                <w:highlight w:val="none"/>
                <w:lang w:eastAsia="zh-CN"/>
              </w:rPr>
              <w:t>：</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default"/>
                <w:color w:val="auto"/>
                <w:highlight w:val="none"/>
                <w:lang w:val="en-US" w:eastAsia="zh-CN"/>
              </w:rPr>
            </w:pPr>
            <w:r>
              <w:rPr>
                <w:rFonts w:hint="default" w:ascii="Times New Roman" w:hAnsi="Times New Roman" w:eastAsia="宋体" w:cs="Times New Roman"/>
                <w:color w:val="auto"/>
                <w:spacing w:val="0"/>
                <w:sz w:val="21"/>
                <w:szCs w:val="21"/>
                <w:highlight w:val="none"/>
                <w:lang w:eastAsia="zh-CN"/>
              </w:rPr>
              <w:t>选用优质设备，生产设备均选用正规生产厂家出品，质量有保障；关键设备应一备一用，容易损坏的部件，应有常用备件，出现事故时能及时更换；加强设备检修和定期维护，及时消除事故隐患。危险废物暂存间按照《危险废物贮存污染控制标准》（GB18597-2023）的管理规定，采取必要的防风、防晒、防雨、防漏、防渗、防腐以及其他环境污染防治措施，不应露天堆放危险废物。企业内部应建立危险废物产生、外运、处置及最终去向的详细台账，按照《危险废物转移联单管理办法》的要求做好危险废物转移联单填报登记工作，危废必须坚持交由资质单位处理，如资质单位在处理能力不能满足的情况下，应提前积极寻找其他资质单位并签订协议，不得擅自处理或排放。</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2" w:firstLineChars="200"/>
              <w:contextualSpacing/>
              <w:jc w:val="both"/>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8、与排污许可证衔接</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default"/>
                <w:b w:val="0"/>
                <w:bCs w:val="0"/>
                <w:color w:val="auto"/>
                <w:sz w:val="21"/>
                <w:szCs w:val="21"/>
                <w:highlight w:val="none"/>
              </w:rPr>
            </w:pPr>
            <w:r>
              <w:rPr>
                <w:rFonts w:hint="eastAsia"/>
                <w:b w:val="0"/>
                <w:bCs w:val="0"/>
                <w:color w:val="auto"/>
                <w:sz w:val="21"/>
                <w:szCs w:val="21"/>
                <w:highlight w:val="none"/>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eastAsia"/>
                <w:bCs/>
                <w:color w:val="auto"/>
                <w:spacing w:val="-10"/>
                <w:szCs w:val="21"/>
                <w:highlight w:val="none"/>
                <w:lang w:val="en-US" w:eastAsia="zh-CN"/>
              </w:rPr>
            </w:pPr>
          </w:p>
          <w:p>
            <w:pPr>
              <w:keepNext w:val="0"/>
              <w:keepLines w:val="0"/>
              <w:suppressLineNumbers w:val="0"/>
              <w:adjustRightInd w:val="0"/>
              <w:snapToGrid w:val="0"/>
              <w:spacing w:before="0" w:beforeAutospacing="0" w:after="0" w:afterAutospacing="0"/>
              <w:ind w:left="0" w:right="0"/>
              <w:jc w:val="both"/>
              <w:rPr>
                <w:rFonts w:hint="default" w:eastAsia="宋体"/>
                <w:bCs/>
                <w:color w:val="auto"/>
                <w:spacing w:val="-10"/>
                <w:szCs w:val="21"/>
                <w:highlight w:val="none"/>
                <w:lang w:val="en-US" w:eastAsia="zh-CN"/>
              </w:rPr>
            </w:pPr>
          </w:p>
        </w:tc>
      </w:tr>
    </w:tbl>
    <w:p>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pPr>
        <w:pStyle w:val="28"/>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7" w:name="_Toc21713"/>
      <w:r>
        <w:rPr>
          <w:rFonts w:hint="default" w:ascii="Times New Roman" w:hAnsi="Times New Roman" w:eastAsia="黑体" w:cs="Times New Roman"/>
          <w:snapToGrid w:val="0"/>
          <w:color w:val="auto"/>
          <w:kern w:val="21"/>
          <w:sz w:val="30"/>
          <w:szCs w:val="30"/>
          <w:highlight w:val="none"/>
        </w:rPr>
        <w:t>五、</w:t>
      </w:r>
      <w:bookmarkStart w:id="8"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7"/>
      <w:bookmarkEnd w:id="8"/>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489"/>
        <w:gridCol w:w="1448"/>
        <w:gridCol w:w="1664"/>
        <w:gridCol w:w="1877"/>
        <w:gridCol w:w="252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tcBorders>
              <w:tl2br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内容</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要素</w:t>
            </w:r>
          </w:p>
        </w:tc>
        <w:tc>
          <w:tcPr>
            <w:tcW w:w="80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排放口（编号、名称）/污染源</w:t>
            </w:r>
          </w:p>
        </w:tc>
        <w:tc>
          <w:tcPr>
            <w:tcW w:w="92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污染物项目</w:t>
            </w:r>
          </w:p>
        </w:tc>
        <w:tc>
          <w:tcPr>
            <w:tcW w:w="1042"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环境保护措施</w:t>
            </w:r>
          </w:p>
        </w:tc>
        <w:tc>
          <w:tcPr>
            <w:tcW w:w="1402"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执行标准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restar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大气环境</w:t>
            </w:r>
          </w:p>
        </w:tc>
        <w:tc>
          <w:tcPr>
            <w:tcW w:w="80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燃气锅炉</w:t>
            </w:r>
          </w:p>
        </w:tc>
        <w:tc>
          <w:tcPr>
            <w:tcW w:w="92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二氧化硫、氮氧化物、颗粒物、林格曼黑度</w:t>
            </w:r>
          </w:p>
        </w:tc>
        <w:tc>
          <w:tcPr>
            <w:tcW w:w="104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低氮燃烧器，排入一根</w:t>
            </w:r>
            <w:r>
              <w:rPr>
                <w:rFonts w:hint="eastAsia"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m高烟囱DA001排放</w:t>
            </w:r>
          </w:p>
        </w:tc>
        <w:tc>
          <w:tcPr>
            <w:tcW w:w="1402" w:type="pct"/>
            <w:vAlign w:val="center"/>
          </w:tcPr>
          <w:p>
            <w:pPr>
              <w:pStyle w:val="7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《锅炉大气污染物排放标准》（GB13271-2014）中</w:t>
            </w:r>
            <w:r>
              <w:rPr>
                <w:rFonts w:hint="default" w:ascii="Times New Roman" w:hAnsi="Times New Roman" w:eastAsia="宋体" w:cs="Times New Roman"/>
                <w:color w:val="auto"/>
                <w:kern w:val="0"/>
                <w:sz w:val="21"/>
                <w:szCs w:val="21"/>
                <w:highlight w:val="none"/>
              </w:rPr>
              <w:t>表</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燃气标准限值要求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80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蒸煮</w:t>
            </w:r>
          </w:p>
        </w:tc>
        <w:tc>
          <w:tcPr>
            <w:tcW w:w="92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臭气浓度</w:t>
            </w:r>
          </w:p>
        </w:tc>
        <w:tc>
          <w:tcPr>
            <w:tcW w:w="1042" w:type="pct"/>
            <w:vMerge w:val="restar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green"/>
                <w:lang w:val="en-US" w:eastAsia="zh-CN"/>
              </w:rPr>
            </w:pPr>
            <w:r>
              <w:rPr>
                <w:rFonts w:hint="default" w:ascii="Times New Roman" w:hAnsi="Times New Roman" w:eastAsia="宋体" w:cs="Times New Roman"/>
                <w:color w:val="auto"/>
                <w:sz w:val="21"/>
                <w:szCs w:val="21"/>
                <w:highlight w:val="none"/>
              </w:rPr>
              <w:t>静电除尘器+低温等离子体净化装置，通过一根</w:t>
            </w:r>
            <w:r>
              <w:rPr>
                <w:rFonts w:hint="eastAsia"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m高排气筒DA002排放</w:t>
            </w:r>
          </w:p>
        </w:tc>
        <w:tc>
          <w:tcPr>
            <w:tcW w:w="1402" w:type="pct"/>
            <w:vAlign w:val="center"/>
          </w:tcPr>
          <w:p>
            <w:pPr>
              <w:pStyle w:val="7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《恶臭污染物排放标准》（GB14554-93）表2标准值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80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eastAsia" w:cs="Times New Roman"/>
                <w:color w:val="auto"/>
                <w:sz w:val="21"/>
                <w:szCs w:val="21"/>
                <w:highlight w:val="none"/>
                <w:lang w:val="en-US" w:eastAsia="zh-CN"/>
              </w:rPr>
              <w:t>烟熏烤制</w:t>
            </w:r>
            <w:r>
              <w:rPr>
                <w:rFonts w:hint="default" w:ascii="Times New Roman" w:hAnsi="Times New Roman" w:eastAsia="宋体" w:cs="Times New Roman"/>
                <w:color w:val="auto"/>
                <w:sz w:val="21"/>
                <w:szCs w:val="21"/>
                <w:highlight w:val="none"/>
              </w:rPr>
              <w:t>烟熏炉</w:t>
            </w:r>
          </w:p>
        </w:tc>
        <w:tc>
          <w:tcPr>
            <w:tcW w:w="92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二氧化硫、氮氧化物、</w:t>
            </w:r>
            <w:r>
              <w:rPr>
                <w:rFonts w:hint="eastAsia" w:cs="Times New Roman"/>
                <w:color w:val="auto"/>
                <w:sz w:val="21"/>
                <w:szCs w:val="21"/>
                <w:highlight w:val="none"/>
                <w:lang w:val="en-US" w:eastAsia="zh-CN"/>
              </w:rPr>
              <w:t>烟尘、臭气浓度</w:t>
            </w:r>
          </w:p>
        </w:tc>
        <w:tc>
          <w:tcPr>
            <w:tcW w:w="1042" w:type="pct"/>
            <w:vMerge w:val="continue"/>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21"/>
                <w:szCs w:val="21"/>
                <w:highlight w:val="green"/>
                <w:lang w:val="en-US" w:eastAsia="zh-CN"/>
              </w:rPr>
            </w:pPr>
          </w:p>
        </w:tc>
        <w:tc>
          <w:tcPr>
            <w:tcW w:w="1402" w:type="pct"/>
            <w:vAlign w:val="center"/>
          </w:tcPr>
          <w:p>
            <w:pPr>
              <w:pStyle w:val="7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color w:val="auto"/>
                <w:sz w:val="21"/>
                <w:szCs w:val="21"/>
                <w:highlight w:val="none"/>
                <w:lang w:val="en-US" w:eastAsia="zh-CN"/>
              </w:rPr>
              <w:t>《工业炉窑大气污染物排放标准》（GB9078-1996）中表2和表4标准</w:t>
            </w:r>
            <w:r>
              <w:rPr>
                <w:rFonts w:hint="default" w:ascii="Times New Roman" w:hAnsi="Times New Roman" w:eastAsia="宋体" w:cs="Times New Roman"/>
                <w:color w:val="auto"/>
                <w:kern w:val="0"/>
                <w:sz w:val="21"/>
                <w:szCs w:val="21"/>
                <w:highlight w:val="none"/>
                <w:lang w:val="en-US" w:eastAsia="zh-CN"/>
              </w:rPr>
              <w:t>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80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污水处理站</w:t>
            </w:r>
          </w:p>
        </w:tc>
        <w:tc>
          <w:tcPr>
            <w:tcW w:w="92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臭气浓度、氨、硫化氢</w:t>
            </w:r>
          </w:p>
        </w:tc>
        <w:tc>
          <w:tcPr>
            <w:tcW w:w="1042"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污水处理站恶臭气体统一收集，经活性炭吸附后通过15m排气筒排放，吸附效率90%，DA003</w:t>
            </w:r>
          </w:p>
        </w:tc>
        <w:tc>
          <w:tcPr>
            <w:tcW w:w="1402" w:type="pct"/>
            <w:vAlign w:val="center"/>
          </w:tcPr>
          <w:p>
            <w:pPr>
              <w:pStyle w:val="7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《恶臭污染物排放标准》（GB14554-93）表2标准值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80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924"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臭气浓度、氨、硫化氢</w:t>
            </w:r>
          </w:p>
        </w:tc>
        <w:tc>
          <w:tcPr>
            <w:tcW w:w="1042" w:type="pct"/>
            <w:vAlign w:val="center"/>
          </w:tcPr>
          <w:p>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02" w:type="pct"/>
            <w:vAlign w:val="center"/>
          </w:tcPr>
          <w:p>
            <w:pPr>
              <w:pStyle w:val="7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《恶臭污染物排放标准》（GB14554-93）表1的二级标准限值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804"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厨房油烟</w:t>
            </w:r>
          </w:p>
        </w:tc>
        <w:tc>
          <w:tcPr>
            <w:tcW w:w="924"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油烟废气</w:t>
            </w:r>
          </w:p>
        </w:tc>
        <w:tc>
          <w:tcPr>
            <w:tcW w:w="104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油烟净化器</w:t>
            </w:r>
            <w:r>
              <w:rPr>
                <w:rFonts w:hint="eastAsia" w:cs="Times New Roman"/>
                <w:bCs/>
                <w:color w:val="auto"/>
                <w:sz w:val="21"/>
                <w:szCs w:val="21"/>
                <w:highlight w:val="none"/>
                <w:lang w:val="en-US" w:eastAsia="zh-CN"/>
              </w:rPr>
              <w:t>处理后</w:t>
            </w:r>
            <w:r>
              <w:rPr>
                <w:rFonts w:hint="default" w:ascii="Times New Roman" w:hAnsi="Times New Roman" w:eastAsia="宋体" w:cs="Times New Roman"/>
                <w:snapToGrid w:val="0"/>
                <w:color w:val="auto"/>
                <w:kern w:val="0"/>
                <w:sz w:val="21"/>
                <w:szCs w:val="21"/>
                <w:highlight w:val="none"/>
              </w:rPr>
              <w:t>经专用烟道排出</w:t>
            </w:r>
          </w:p>
        </w:tc>
        <w:tc>
          <w:tcPr>
            <w:tcW w:w="140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饮食业油烟排放标准（试行）</w:t>
            </w:r>
            <w:r>
              <w:rPr>
                <w:rFonts w:hint="default" w:ascii="Times New Roman" w:hAnsi="Times New Roman" w:eastAsia="宋体" w:cs="Times New Roman"/>
                <w:color w:val="auto"/>
                <w:sz w:val="21"/>
                <w:szCs w:val="21"/>
                <w:highlight w:val="none"/>
              </w:rPr>
              <w:t>》（GB18483-2001）“</w:t>
            </w:r>
            <w:r>
              <w:rPr>
                <w:rFonts w:hint="default" w:ascii="Times New Roman" w:hAnsi="Times New Roman" w:eastAsia="宋体"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rPr>
              <w:t>型”规模限值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restar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地表水环境</w:t>
            </w: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eastAsia="zh-CN"/>
              </w:rPr>
              <w:t>生活污水</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COD</w:t>
            </w:r>
            <w:r>
              <w:rPr>
                <w:rFonts w:hint="default" w:ascii="Times New Roman" w:hAnsi="Times New Roman" w:eastAsia="宋体" w:cs="Times New Roman"/>
                <w:color w:val="auto"/>
                <w:kern w:val="21"/>
                <w:sz w:val="21"/>
                <w:szCs w:val="21"/>
                <w:highlight w:val="none"/>
              </w:rPr>
              <w:t>、氨氮、</w:t>
            </w:r>
            <w:r>
              <w:rPr>
                <w:rFonts w:hint="default" w:ascii="Times New Roman" w:hAnsi="Times New Roman" w:eastAsia="宋体" w:cs="Times New Roman"/>
                <w:color w:val="auto"/>
                <w:kern w:val="21"/>
                <w:sz w:val="21"/>
                <w:szCs w:val="21"/>
                <w:highlight w:val="none"/>
                <w:lang w:val="en-US" w:eastAsia="zh-CN"/>
              </w:rPr>
              <w:t>SS</w:t>
            </w:r>
            <w:r>
              <w:rPr>
                <w:rFonts w:hint="default" w:ascii="Times New Roman" w:hAnsi="Times New Roman" w:eastAsia="宋体" w:cs="Times New Roman"/>
                <w:color w:val="auto"/>
                <w:kern w:val="21"/>
                <w:sz w:val="21"/>
                <w:szCs w:val="21"/>
                <w:highlight w:val="none"/>
              </w:rPr>
              <w:t>、</w:t>
            </w:r>
            <w:r>
              <w:rPr>
                <w:rFonts w:hint="default" w:ascii="Times New Roman" w:hAnsi="Times New Roman" w:eastAsia="宋体" w:cs="Times New Roman"/>
                <w:color w:val="auto"/>
                <w:sz w:val="21"/>
                <w:szCs w:val="21"/>
                <w:highlight w:val="none"/>
              </w:rPr>
              <w:t>pH、</w:t>
            </w:r>
            <w:r>
              <w:rPr>
                <w:rFonts w:hint="default" w:ascii="Times New Roman" w:hAnsi="Times New Roman" w:eastAsia="宋体" w:cs="Times New Roman"/>
                <w:color w:val="auto"/>
                <w:kern w:val="21"/>
                <w:sz w:val="21"/>
                <w:szCs w:val="21"/>
                <w:highlight w:val="none"/>
                <w:lang w:val="en-US" w:eastAsia="zh-CN"/>
              </w:rPr>
              <w:t>BOD</w:t>
            </w:r>
            <w:r>
              <w:rPr>
                <w:rFonts w:hint="default" w:ascii="Times New Roman" w:hAnsi="Times New Roman" w:eastAsia="宋体" w:cs="Times New Roman"/>
                <w:color w:val="auto"/>
                <w:kern w:val="21"/>
                <w:sz w:val="21"/>
                <w:szCs w:val="21"/>
                <w:highlight w:val="none"/>
                <w:vertAlign w:val="subscript"/>
                <w:lang w:val="en-US" w:eastAsia="zh-CN"/>
              </w:rPr>
              <w:t>5</w:t>
            </w:r>
          </w:p>
        </w:tc>
        <w:tc>
          <w:tcPr>
            <w:tcW w:w="1042" w:type="pct"/>
            <w:vMerge w:val="restar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经过</w:t>
            </w:r>
            <w:r>
              <w:rPr>
                <w:rFonts w:hint="default" w:ascii="Times New Roman" w:hAnsi="Times New Roman" w:eastAsia="宋体" w:cs="Times New Roman"/>
                <w:color w:val="auto"/>
                <w:sz w:val="21"/>
                <w:szCs w:val="21"/>
                <w:highlight w:val="none"/>
                <w:lang w:val="en-US" w:eastAsia="zh-CN"/>
              </w:rPr>
              <w:t>厂区污水处理站（气浮+AO+MBR+消毒）</w:t>
            </w:r>
            <w:r>
              <w:rPr>
                <w:rFonts w:hint="default" w:ascii="Times New Roman" w:hAnsi="Times New Roman" w:eastAsia="宋体" w:cs="Times New Roman"/>
                <w:color w:val="auto"/>
                <w:sz w:val="21"/>
                <w:szCs w:val="21"/>
                <w:highlight w:val="none"/>
              </w:rPr>
              <w:t>处理后，满足《肉类加工工业水污染物排放标准》（GB13457-92）表3中“肉制品加工”中三级标准，经</w:t>
            </w:r>
            <w:r>
              <w:rPr>
                <w:rFonts w:hint="default" w:ascii="Times New Roman" w:hAnsi="Times New Roman" w:eastAsia="宋体" w:cs="Times New Roman"/>
                <w:color w:val="auto"/>
                <w:sz w:val="21"/>
                <w:szCs w:val="21"/>
                <w:highlight w:val="none"/>
                <w:lang w:val="en-US" w:eastAsia="zh-CN"/>
              </w:rPr>
              <w:t>双城</w:t>
            </w:r>
            <w:r>
              <w:rPr>
                <w:rFonts w:hint="default" w:ascii="Times New Roman" w:hAnsi="Times New Roman" w:eastAsia="宋体" w:cs="Times New Roman"/>
                <w:color w:val="auto"/>
                <w:sz w:val="21"/>
                <w:szCs w:val="21"/>
                <w:highlight w:val="none"/>
              </w:rPr>
              <w:t>污水处理厂处理</w:t>
            </w:r>
            <w:r>
              <w:rPr>
                <w:rFonts w:hint="default" w:ascii="Times New Roman" w:hAnsi="Times New Roman" w:eastAsia="宋体" w:cs="Times New Roman"/>
                <w:color w:val="auto"/>
                <w:sz w:val="21"/>
                <w:szCs w:val="21"/>
                <w:highlight w:val="none"/>
                <w:lang w:val="en-US" w:eastAsia="zh-CN"/>
              </w:rPr>
              <w:t>达标</w:t>
            </w:r>
            <w:r>
              <w:rPr>
                <w:rFonts w:hint="default" w:ascii="Times New Roman" w:hAnsi="Times New Roman" w:eastAsia="宋体" w:cs="Times New Roman"/>
                <w:color w:val="auto"/>
                <w:sz w:val="21"/>
                <w:szCs w:val="21"/>
                <w:highlight w:val="none"/>
              </w:rPr>
              <w:t>后排入</w:t>
            </w:r>
            <w:r>
              <w:rPr>
                <w:rFonts w:hint="default" w:ascii="Times New Roman" w:hAnsi="Times New Roman" w:eastAsia="宋体" w:cs="Times New Roman"/>
                <w:color w:val="auto"/>
                <w:sz w:val="21"/>
                <w:szCs w:val="21"/>
                <w:highlight w:val="none"/>
                <w:lang w:val="en-US" w:eastAsia="zh-CN"/>
              </w:rPr>
              <w:t>拉林河</w:t>
            </w:r>
            <w:r>
              <w:rPr>
                <w:rFonts w:hint="default" w:ascii="Times New Roman" w:hAnsi="Times New Roman" w:eastAsia="宋体" w:cs="Times New Roman"/>
                <w:color w:val="auto"/>
                <w:sz w:val="21"/>
                <w:szCs w:val="21"/>
                <w:highlight w:val="none"/>
              </w:rPr>
              <w:t>。</w:t>
            </w:r>
          </w:p>
        </w:tc>
        <w:tc>
          <w:tcPr>
            <w:tcW w:w="1402" w:type="pct"/>
            <w:vMerge w:val="restar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snapToGrid w:val="0"/>
                <w:color w:val="auto"/>
                <w:sz w:val="21"/>
                <w:szCs w:val="21"/>
                <w:highlight w:val="none"/>
              </w:rPr>
              <w:t>《肉类加工工业水污染物排放标准》（GB13457-92）表3中“肉制品加工”三级标准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rPr>
              <w:t>锅炉排污水及软化处理废水</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COD、溶解性总固体</w:t>
            </w:r>
          </w:p>
        </w:tc>
        <w:tc>
          <w:tcPr>
            <w:tcW w:w="1042"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02"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生产废水</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kern w:val="21"/>
                <w:sz w:val="21"/>
                <w:szCs w:val="21"/>
                <w:highlight w:val="none"/>
                <w:lang w:val="en-US" w:eastAsia="zh-CN"/>
              </w:rPr>
              <w:t>COD</w:t>
            </w:r>
            <w:r>
              <w:rPr>
                <w:rFonts w:hint="default" w:ascii="Times New Roman" w:hAnsi="Times New Roman" w:eastAsia="宋体" w:cs="Times New Roman"/>
                <w:color w:val="auto"/>
                <w:kern w:val="21"/>
                <w:sz w:val="21"/>
                <w:szCs w:val="21"/>
                <w:highlight w:val="none"/>
              </w:rPr>
              <w:t>、氨氮、</w:t>
            </w:r>
            <w:r>
              <w:rPr>
                <w:rFonts w:hint="default" w:ascii="Times New Roman" w:hAnsi="Times New Roman" w:eastAsia="宋体" w:cs="Times New Roman"/>
                <w:color w:val="auto"/>
                <w:kern w:val="21"/>
                <w:sz w:val="21"/>
                <w:szCs w:val="21"/>
                <w:highlight w:val="none"/>
                <w:lang w:val="en-US" w:eastAsia="zh-CN"/>
              </w:rPr>
              <w:t>BOD</w:t>
            </w:r>
            <w:r>
              <w:rPr>
                <w:rFonts w:hint="default" w:ascii="Times New Roman" w:hAnsi="Times New Roman" w:eastAsia="宋体" w:cs="Times New Roman"/>
                <w:color w:val="auto"/>
                <w:kern w:val="21"/>
                <w:sz w:val="21"/>
                <w:szCs w:val="21"/>
                <w:highlight w:val="none"/>
                <w:vertAlign w:val="subscript"/>
                <w:lang w:val="en-US" w:eastAsia="zh-CN"/>
              </w:rPr>
              <w:t>5</w:t>
            </w:r>
            <w:r>
              <w:rPr>
                <w:rFonts w:hint="default" w:ascii="Times New Roman" w:hAnsi="Times New Roman" w:eastAsia="宋体" w:cs="Times New Roman"/>
                <w:color w:val="auto"/>
                <w:kern w:val="21"/>
                <w:sz w:val="21"/>
                <w:szCs w:val="21"/>
                <w:highlight w:val="none"/>
                <w:vertAlign w:val="baseline"/>
                <w:lang w:val="en-US" w:eastAsia="zh-CN"/>
              </w:rPr>
              <w:t>、总氮</w:t>
            </w:r>
            <w:r>
              <w:rPr>
                <w:rFonts w:hint="eastAsia" w:cs="Times New Roman"/>
                <w:color w:val="auto"/>
                <w:kern w:val="21"/>
                <w:sz w:val="21"/>
                <w:szCs w:val="21"/>
                <w:highlight w:val="none"/>
                <w:vertAlign w:val="baseline"/>
                <w:lang w:val="en-US" w:eastAsia="zh-CN"/>
              </w:rPr>
              <w:t>、总磷</w:t>
            </w:r>
          </w:p>
        </w:tc>
        <w:tc>
          <w:tcPr>
            <w:tcW w:w="1042"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p>
        </w:tc>
        <w:tc>
          <w:tcPr>
            <w:tcW w:w="1402" w:type="pct"/>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地下水及土壤环境</w:t>
            </w: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声环境</w:t>
            </w: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设备运行</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val="en-US" w:eastAsia="zh-CN"/>
              </w:rPr>
              <w:t>噪声</w:t>
            </w:r>
          </w:p>
        </w:tc>
        <w:tc>
          <w:tcPr>
            <w:tcW w:w="104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sz w:val="21"/>
                <w:szCs w:val="21"/>
                <w:highlight w:val="none"/>
              </w:rPr>
              <w:t>选取低噪声设备，采取减振、隔声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安装消声器</w:t>
            </w:r>
          </w:p>
        </w:tc>
        <w:tc>
          <w:tcPr>
            <w:tcW w:w="140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《工业企业厂界环境噪声排放标准》（GB12348-2008）</w:t>
            </w:r>
            <w:r>
              <w:rPr>
                <w:rFonts w:hint="default"/>
                <w:color w:val="auto"/>
                <w:sz w:val="21"/>
                <w:szCs w:val="21"/>
                <w:highlight w:val="none"/>
              </w:rPr>
              <w:t>2类</w:t>
            </w:r>
            <w:r>
              <w:rPr>
                <w:rFonts w:hint="eastAsia"/>
                <w:color w:val="auto"/>
                <w:sz w:val="21"/>
                <w:szCs w:val="21"/>
                <w:highlight w:val="none"/>
                <w:lang w:val="en-US" w:eastAsia="zh-CN"/>
              </w:rPr>
              <w:t>及4类</w:t>
            </w:r>
            <w:r>
              <w:rPr>
                <w:rFonts w:hint="default"/>
                <w:color w:val="auto"/>
                <w:sz w:val="21"/>
                <w:szCs w:val="21"/>
                <w:highlight w:val="none"/>
              </w:rPr>
              <w:t>标准限值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电磁辐射</w:t>
            </w:r>
          </w:p>
        </w:tc>
        <w:tc>
          <w:tcPr>
            <w:tcW w:w="80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924"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固体废物</w:t>
            </w:r>
          </w:p>
        </w:tc>
        <w:tc>
          <w:tcPr>
            <w:tcW w:w="4173" w:type="pct"/>
            <w:gridSpan w:val="4"/>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本项目本项目</w:t>
            </w:r>
            <w:r>
              <w:rPr>
                <w:rFonts w:hint="default" w:ascii="Times New Roman" w:hAnsi="Times New Roman" w:eastAsia="宋体" w:cs="Times New Roman"/>
                <w:color w:val="auto"/>
                <w:sz w:val="21"/>
                <w:szCs w:val="21"/>
                <w:highlight w:val="none"/>
                <w:lang w:val="en-US" w:eastAsia="zh-CN"/>
              </w:rPr>
              <w:t>生活垃圾</w:t>
            </w:r>
            <w:r>
              <w:rPr>
                <w:rFonts w:hint="default" w:ascii="Times New Roman" w:hAnsi="Times New Roman" w:eastAsia="宋体" w:cs="Times New Roman"/>
                <w:color w:val="auto"/>
                <w:kern w:val="21"/>
                <w:sz w:val="21"/>
                <w:szCs w:val="21"/>
                <w:highlight w:val="none"/>
              </w:rPr>
              <w:t>交由市政部门</w:t>
            </w:r>
            <w:r>
              <w:rPr>
                <w:rFonts w:hint="default" w:ascii="Times New Roman" w:hAnsi="Times New Roman" w:eastAsia="宋体" w:cs="Times New Roman"/>
                <w:color w:val="auto"/>
                <w:kern w:val="21"/>
                <w:sz w:val="21"/>
                <w:szCs w:val="21"/>
                <w:highlight w:val="none"/>
                <w:lang w:val="en-US" w:eastAsia="zh-CN"/>
              </w:rPr>
              <w:t>定期清运</w:t>
            </w:r>
            <w:r>
              <w:rPr>
                <w:rFonts w:hint="default" w:ascii="Times New Roman" w:hAnsi="Times New Roman" w:eastAsia="宋体" w:cs="Times New Roman"/>
                <w:color w:val="auto"/>
                <w:kern w:val="21"/>
                <w:sz w:val="21"/>
                <w:szCs w:val="21"/>
                <w:highlight w:val="none"/>
              </w:rPr>
              <w:t>处理</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餐馀废物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废油脂</w:t>
            </w:r>
            <w:r>
              <w:rPr>
                <w:rFonts w:hint="eastAsia" w:cs="Times New Roman"/>
                <w:color w:val="auto"/>
                <w:sz w:val="21"/>
                <w:szCs w:val="21"/>
                <w:highlight w:val="none"/>
                <w:lang w:val="en-US" w:eastAsia="zh-CN"/>
              </w:rPr>
              <w:t>按《哈尔滨市城市餐厨废弃物管理办法》相关要求，由有资质单位处理</w:t>
            </w:r>
            <w:r>
              <w:rPr>
                <w:rFonts w:hint="default" w:ascii="Times New Roman" w:hAnsi="Times New Roman" w:eastAsia="宋体" w:cs="Times New Roman"/>
                <w:color w:val="auto"/>
                <w:kern w:val="21"/>
                <w:sz w:val="21"/>
                <w:szCs w:val="21"/>
                <w:highlight w:val="none"/>
                <w:lang w:val="en-US" w:eastAsia="zh-CN"/>
              </w:rPr>
              <w:t>；</w:t>
            </w:r>
            <w:r>
              <w:rPr>
                <w:rFonts w:hint="default" w:ascii="Times New Roman" w:hAnsi="Times New Roman" w:eastAsia="宋体" w:cs="Times New Roman"/>
                <w:color w:val="auto"/>
                <w:sz w:val="21"/>
                <w:szCs w:val="21"/>
                <w:highlight w:val="none"/>
              </w:rPr>
              <w:t>废离子交换树脂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集中收集，</w:t>
            </w:r>
            <w:r>
              <w:rPr>
                <w:rFonts w:hint="eastAsia" w:cs="Times New Roman"/>
                <w:color w:val="auto"/>
                <w:sz w:val="21"/>
                <w:szCs w:val="21"/>
                <w:highlight w:val="none"/>
                <w:lang w:val="en-US" w:eastAsia="zh-CN"/>
              </w:rPr>
              <w:t>交由厂家再生处理</w:t>
            </w:r>
            <w:r>
              <w:rPr>
                <w:rFonts w:hint="default" w:ascii="Times New Roman" w:hAnsi="Times New Roman" w:eastAsia="宋体" w:cs="Times New Roman"/>
                <w:color w:val="auto"/>
                <w:sz w:val="21"/>
                <w:szCs w:val="21"/>
                <w:highlight w:val="none"/>
              </w:rPr>
              <w:t>；废包装物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外售；污水处理站污泥</w:t>
            </w:r>
            <w:r>
              <w:rPr>
                <w:rFonts w:hint="default" w:ascii="Times New Roman" w:hAnsi="Times New Roman" w:eastAsia="宋体" w:cs="Times New Roman"/>
                <w:color w:val="auto"/>
                <w:sz w:val="21"/>
                <w:szCs w:val="21"/>
                <w:highlight w:val="none"/>
              </w:rPr>
              <w:t>，由市政部门统一处理；</w:t>
            </w:r>
            <w:r>
              <w:rPr>
                <w:rFonts w:hint="default" w:ascii="Times New Roman" w:hAnsi="Times New Roman" w:eastAsia="宋体" w:cs="Times New Roman"/>
                <w:color w:val="auto"/>
                <w:sz w:val="21"/>
                <w:szCs w:val="21"/>
                <w:highlight w:val="none"/>
                <w:lang w:val="en-US" w:eastAsia="zh-CN"/>
              </w:rPr>
              <w:t>废活性炭，厂家回收</w:t>
            </w:r>
            <w:r>
              <w:rPr>
                <w:rStyle w:val="139"/>
                <w:rFonts w:hint="default" w:ascii="Times New Roman" w:hAnsi="Times New Roman" w:eastAsia="宋体"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烟熏炉炉渣</w:t>
            </w:r>
            <w:r>
              <w:rPr>
                <w:rStyle w:val="139"/>
                <w:rFonts w:hint="default" w:ascii="Times New Roman" w:hAnsi="Times New Roman" w:eastAsia="宋体"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外售综合利用；电除尘器收尘，</w:t>
            </w:r>
            <w:r>
              <w:rPr>
                <w:rFonts w:hint="eastAsia" w:cs="Times New Roman"/>
                <w:color w:val="auto"/>
                <w:sz w:val="21"/>
                <w:szCs w:val="21"/>
                <w:highlight w:val="none"/>
                <w:lang w:val="en-US" w:eastAsia="zh-CN"/>
              </w:rPr>
              <w:t>外售，综合利用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加工废料</w:t>
            </w:r>
            <w:r>
              <w:rPr>
                <w:rFonts w:hint="eastAsia" w:cs="Times New Roman"/>
                <w:color w:val="auto"/>
                <w:sz w:val="21"/>
                <w:szCs w:val="21"/>
                <w:highlight w:val="none"/>
                <w:lang w:val="en-US" w:eastAsia="zh-CN"/>
              </w:rPr>
              <w:t>及不合格品</w:t>
            </w:r>
            <w:r>
              <w:rPr>
                <w:rFonts w:hint="default" w:ascii="Times New Roman" w:hAnsi="Times New Roman" w:eastAsia="宋体" w:cs="Times New Roman"/>
                <w:color w:val="auto"/>
                <w:sz w:val="21"/>
                <w:szCs w:val="21"/>
                <w:highlight w:val="none"/>
                <w:lang w:val="en-US" w:eastAsia="zh-CN"/>
              </w:rPr>
              <w:t>，外售</w:t>
            </w:r>
            <w:r>
              <w:rPr>
                <w:rFonts w:hint="eastAsia" w:cs="Times New Roman"/>
                <w:color w:val="auto"/>
                <w:sz w:val="21"/>
                <w:szCs w:val="21"/>
                <w:highlight w:val="none"/>
                <w:lang w:val="en-US" w:eastAsia="zh-CN"/>
              </w:rPr>
              <w:t>；废机油，</w:t>
            </w:r>
            <w:r>
              <w:rPr>
                <w:rFonts w:hint="eastAsia" w:ascii="Times New Roman" w:hAnsi="Times New Roman" w:eastAsia="宋体" w:cs="Times New Roman"/>
                <w:color w:val="auto"/>
                <w:sz w:val="21"/>
                <w:szCs w:val="21"/>
                <w:highlight w:val="none"/>
                <w:lang w:val="en-US" w:eastAsia="zh-CN"/>
              </w:rPr>
              <w:t>密封桶装，暂存于</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w:t>
            </w:r>
            <w:r>
              <w:rPr>
                <w:rFonts w:hint="eastAsia" w:cs="Times New Roman"/>
                <w:color w:val="auto"/>
                <w:kern w:val="21"/>
                <w:sz w:val="21"/>
                <w:szCs w:val="21"/>
                <w:highlight w:val="none"/>
                <w:lang w:val="en-US" w:eastAsia="zh-CN"/>
              </w:rPr>
              <w:t>定期由有资质单位拉运处理。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土壤及地下水污染防治措施</w:t>
            </w:r>
          </w:p>
        </w:tc>
        <w:tc>
          <w:tcPr>
            <w:tcW w:w="4173" w:type="pct"/>
            <w:gridSpan w:val="4"/>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rPr>
              <w:t>项目污水处理站和事故水池废水事故排放可能污染地下水及土壤。因此项目污水处理站采取地面防渗措施，防渗层为1m厚黏土层（渗透系数≤10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r>
              <w:rPr>
                <w:rFonts w:hint="eastAsia" w:cs="Times New Roman"/>
                <w:color w:val="auto"/>
                <w:sz w:val="21"/>
                <w:szCs w:val="21"/>
                <w:highlight w:val="none"/>
                <w:lang w:val="en-US" w:eastAsia="zh-CN"/>
              </w:rPr>
              <w:t>污水处理站加药间</w:t>
            </w:r>
            <w:r>
              <w:rPr>
                <w:rFonts w:hint="default" w:ascii="Times New Roman" w:hAnsi="Times New Roman" w:eastAsia="宋体" w:cs="Times New Roman"/>
                <w:color w:val="auto"/>
                <w:spacing w:val="0"/>
                <w:sz w:val="21"/>
                <w:szCs w:val="21"/>
                <w:highlight w:val="none"/>
              </w:rPr>
              <w:t>重点防渗处理</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b w:val="0"/>
                <w:bCs w:val="0"/>
                <w:color w:val="auto"/>
                <w:sz w:val="21"/>
                <w:szCs w:val="21"/>
              </w:rPr>
              <w:t>进行硬化防渗处理，采用2mm高密度聚乙烯，渗透系数≤1×10</w:t>
            </w:r>
            <w:r>
              <w:rPr>
                <w:rFonts w:hint="default" w:ascii="Times New Roman" w:hAnsi="Times New Roman" w:cs="Times New Roman"/>
                <w:b w:val="0"/>
                <w:bCs w:val="0"/>
                <w:color w:val="auto"/>
                <w:sz w:val="21"/>
                <w:szCs w:val="21"/>
                <w:vertAlign w:val="superscript"/>
              </w:rPr>
              <w:t>-10</w:t>
            </w:r>
            <w:r>
              <w:rPr>
                <w:rFonts w:hint="default" w:ascii="Times New Roman" w:hAnsi="Times New Roman" w:cs="Times New Roman"/>
                <w:b w:val="0"/>
                <w:bCs w:val="0"/>
                <w:color w:val="auto"/>
                <w:sz w:val="21"/>
                <w:szCs w:val="21"/>
              </w:rPr>
              <w:t>cm/s</w:t>
            </w:r>
            <w:r>
              <w:rPr>
                <w:rFonts w:hint="eastAsia" w:ascii="Times New Roman" w:hAnsi="Times New Roman" w:cs="Times New Roman"/>
                <w:b w:val="0"/>
                <w:bCs w:val="0"/>
                <w:color w:val="auto"/>
                <w:sz w:val="21"/>
                <w:szCs w:val="21"/>
                <w:lang w:eastAsia="zh-CN"/>
              </w:rPr>
              <w:t>，</w:t>
            </w:r>
            <w:r>
              <w:rPr>
                <w:rFonts w:hint="default" w:ascii="Times New Roman" w:hAnsi="Times New Roman" w:eastAsia="宋体" w:cs="Times New Roman"/>
                <w:color w:val="auto"/>
                <w:sz w:val="21"/>
                <w:szCs w:val="21"/>
                <w:highlight w:val="none"/>
              </w:rPr>
              <w:t>防止污染地下水。</w:t>
            </w:r>
            <w:r>
              <w:rPr>
                <w:rFonts w:hint="default" w:ascii="宋体-WinCharSetFFFF-H" w:hAnsi="宋体-WinCharSetFFFF-H" w:eastAsia="宋体-WinCharSetFFFF-H" w:cs="宋体-WinCharSetFFFF-H"/>
                <w:color w:val="auto"/>
                <w:kern w:val="0"/>
                <w:sz w:val="21"/>
                <w:szCs w:val="21"/>
                <w:highlight w:val="none"/>
                <w:lang w:val="en-US" w:eastAsia="zh-CN" w:bidi="ar"/>
              </w:rPr>
              <w:t>本项目</w:t>
            </w:r>
            <w:r>
              <w:rPr>
                <w:rFonts w:hint="eastAsia" w:eastAsia="宋体-WinCharSetFFFF-H" w:cs="Times New Roman"/>
                <w:b w:val="0"/>
                <w:bCs/>
                <w:color w:val="auto"/>
                <w:sz w:val="21"/>
                <w:szCs w:val="21"/>
                <w:highlight w:val="none"/>
                <w:lang w:eastAsia="zh-CN"/>
              </w:rPr>
              <w:t>危险废物贮存点</w:t>
            </w:r>
            <w:r>
              <w:rPr>
                <w:rFonts w:hint="default" w:ascii="Times New Roman" w:hAnsi="Times New Roman" w:cs="Times New Roman"/>
                <w:b w:val="0"/>
                <w:bCs/>
                <w:color w:val="auto"/>
                <w:sz w:val="21"/>
                <w:szCs w:val="21"/>
                <w:highlight w:val="none"/>
              </w:rPr>
              <w:t>做重点防渗区，进行硬化防渗处理，采用2mm高密度聚乙烯，渗透系数≤1×10</w:t>
            </w:r>
            <w:r>
              <w:rPr>
                <w:rFonts w:hint="default" w:ascii="Times New Roman" w:hAnsi="Times New Roman" w:cs="Times New Roman"/>
                <w:b w:val="0"/>
                <w:bCs/>
                <w:color w:val="auto"/>
                <w:sz w:val="21"/>
                <w:szCs w:val="21"/>
                <w:highlight w:val="none"/>
                <w:vertAlign w:val="superscript"/>
              </w:rPr>
              <w:t>-10</w:t>
            </w:r>
            <w:r>
              <w:rPr>
                <w:rFonts w:hint="default" w:ascii="Times New Roman" w:hAnsi="Times New Roman" w:cs="Times New Roman"/>
                <w:b w:val="0"/>
                <w:bCs/>
                <w:color w:val="auto"/>
                <w:sz w:val="21"/>
                <w:szCs w:val="21"/>
                <w:highlight w:val="none"/>
              </w:rPr>
              <w:t>cm/s；不相容危险废物要分别存放或存放在不渗透间隔分开的区域内，每个部分都应有防漏裙角，地面与裙角要用坚固、防渗材料建造，且必须与危险废物相容，地面与裙角所围建的容积不低于堵截最大容器的最大储量或总储量的1/5，并设置警示标识。其他区域做简单防渗区，采用水泥硬化</w:t>
            </w:r>
            <w:r>
              <w:rPr>
                <w:rFonts w:hint="eastAsia" w:cs="Times New Roman"/>
                <w:b w:val="0"/>
                <w:bCs/>
                <w:color w:val="auto"/>
                <w:sz w:val="21"/>
                <w:szCs w:val="21"/>
                <w:highlight w:val="none"/>
                <w:lang w:eastAsia="zh-CN"/>
              </w:rPr>
              <w:t>。本项目运行过程中</w:t>
            </w:r>
            <w:r>
              <w:rPr>
                <w:rFonts w:hint="default"/>
                <w:snapToGrid w:val="0"/>
                <w:color w:val="auto"/>
                <w:kern w:val="0"/>
                <w:sz w:val="21"/>
                <w:szCs w:val="21"/>
                <w:highlight w:val="none"/>
              </w:rPr>
              <w:t>地下水、土壤产生影响</w:t>
            </w:r>
            <w:r>
              <w:rPr>
                <w:rFonts w:hint="eastAsia"/>
                <w:snapToGrid w:val="0"/>
                <w:color w:val="auto"/>
                <w:kern w:val="0"/>
                <w:sz w:val="21"/>
                <w:szCs w:val="21"/>
                <w:highlight w:val="none"/>
                <w:lang w:eastAsia="zh-CN"/>
              </w:rPr>
              <w:t>较小</w:t>
            </w:r>
            <w:r>
              <w:rPr>
                <w:rFonts w:hint="default"/>
                <w:snapToGrid w:val="0"/>
                <w:color w:val="auto"/>
                <w:ker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生态保护措施</w:t>
            </w:r>
          </w:p>
        </w:tc>
        <w:tc>
          <w:tcPr>
            <w:tcW w:w="4173" w:type="pct"/>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6928"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环境风险防范措施</w:t>
            </w:r>
          </w:p>
        </w:tc>
        <w:tc>
          <w:tcPr>
            <w:tcW w:w="4173" w:type="pct"/>
            <w:gridSpan w:val="4"/>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对照《建设项目环境风险评价技术导则》（HJ169-2018）附录B，项目涉及的主要危险物质为天然气，厂区内燃气管道中天然气可能存在泄漏，易造成火灾、爆炸风险。天然气输出管线上设置手动紧急截断阀，在严格落实风险管理及防范措施后，可将风险发生的概率和影响后果降到最低限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具体环境风险防范措施如下：①建立巡检制度，定期对天然气管线进行检查，确保天然气管道的密闭性，避免风险事故发生。②天然气管线周边严禁吸烟和动用明火，避免铁器撞击，有效防止火灾、爆炸事故的发生。制定严格操作规程和管理制度，坚持持证上岗，避免人为事故导致风险事故发生。消防器材按安全规定放置。消防器材设置在明显和便于取用的地点，周围不准堆放物品及杂物。消防器材有专人管理、负责、检查、修理、保养、更换和添置，保证完好存放。③天然气输出管线上应设置手动紧急截断阀。紧急截断阀的安装位置应便于发生事故时能及时切断气源。</w:t>
            </w:r>
          </w:p>
          <w:p>
            <w:pPr>
              <w:pStyle w:val="2"/>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1"/>
                <w:szCs w:val="21"/>
                <w:highlight w:val="none"/>
                <w:lang w:val="en-US" w:eastAsia="zh-CN"/>
              </w:rPr>
              <w:t>污水处理站二氧化氯</w:t>
            </w:r>
            <w:r>
              <w:rPr>
                <w:rFonts w:hint="default" w:ascii="Times New Roman" w:hAnsi="Times New Roman" w:eastAsia="宋体" w:cs="Times New Roman"/>
                <w:color w:val="auto"/>
                <w:spacing w:val="0"/>
                <w:sz w:val="21"/>
                <w:szCs w:val="21"/>
                <w:highlight w:val="none"/>
              </w:rPr>
              <w:t>储存在加药间内，二氧化氯储存点应做到防雨、防晒、阴凉、通风，地面做好重点防渗处理</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cs="Times New Roman"/>
                <w:b w:val="0"/>
                <w:bCs w:val="0"/>
                <w:color w:val="auto"/>
                <w:sz w:val="21"/>
                <w:szCs w:val="21"/>
              </w:rPr>
              <w:t>进行硬化防渗处理，采用2mm高密度聚乙烯，渗透系数≤1×10</w:t>
            </w:r>
            <w:r>
              <w:rPr>
                <w:rFonts w:hint="default" w:ascii="Times New Roman" w:hAnsi="Times New Roman" w:cs="Times New Roman"/>
                <w:b w:val="0"/>
                <w:bCs w:val="0"/>
                <w:color w:val="auto"/>
                <w:sz w:val="21"/>
                <w:szCs w:val="21"/>
                <w:vertAlign w:val="superscript"/>
              </w:rPr>
              <w:t>-10</w:t>
            </w:r>
            <w:r>
              <w:rPr>
                <w:rFonts w:hint="default" w:ascii="Times New Roman" w:hAnsi="Times New Roman" w:cs="Times New Roman"/>
                <w:b w:val="0"/>
                <w:bCs w:val="0"/>
                <w:color w:val="auto"/>
                <w:sz w:val="21"/>
                <w:szCs w:val="21"/>
              </w:rPr>
              <w:t>cm/s</w:t>
            </w:r>
            <w:r>
              <w:rPr>
                <w:rFonts w:hint="eastAsia" w:ascii="Times New Roman" w:hAnsi="Times New Roman" w:cs="Times New Roman"/>
                <w:b w:val="0"/>
                <w:bCs w:val="0"/>
                <w:color w:val="auto"/>
                <w:sz w:val="21"/>
                <w:szCs w:val="21"/>
                <w:lang w:eastAsia="zh-CN"/>
              </w:rPr>
              <w:t>）</w:t>
            </w:r>
            <w:r>
              <w:rPr>
                <w:rFonts w:hint="default" w:ascii="Times New Roman" w:hAnsi="Times New Roman" w:eastAsia="宋体" w:cs="Times New Roman"/>
                <w:color w:val="auto"/>
                <w:spacing w:val="0"/>
                <w:sz w:val="21"/>
                <w:szCs w:val="21"/>
                <w:highlight w:val="none"/>
              </w:rPr>
              <w:t>；强化风险意识、加强安全管理，严格按操作规程操作；设置专人管理维护；定期检查维护相关设备设施，使其保持正常运行状态。</w:t>
            </w:r>
          </w:p>
          <w:p>
            <w:pPr>
              <w:pStyle w:val="3"/>
              <w:keepNext w:val="0"/>
              <w:keepLines w:val="0"/>
              <w:suppressLineNumbers w:val="0"/>
              <w:spacing w:before="0" w:beforeAutospacing="0" w:after="0" w:afterAutospacing="0"/>
              <w:ind w:left="0" w:right="0"/>
              <w:rPr>
                <w:rFonts w:hint="eastAsia" w:eastAsia="宋体"/>
                <w:color w:val="auto"/>
                <w:lang w:val="en-US" w:eastAsia="zh-CN"/>
              </w:rPr>
            </w:pPr>
            <w:r>
              <w:rPr>
                <w:rFonts w:hint="eastAsia" w:ascii="Times New Roman" w:cs="Times New Roman"/>
                <w:color w:val="auto"/>
                <w:spacing w:val="0"/>
                <w:sz w:val="21"/>
                <w:szCs w:val="21"/>
                <w:highlight w:val="none"/>
                <w:lang w:val="en-US" w:eastAsia="zh-CN"/>
              </w:rPr>
              <w:t>废机油，</w:t>
            </w:r>
            <w:r>
              <w:rPr>
                <w:rFonts w:hint="default"/>
                <w:color w:val="auto"/>
                <w:sz w:val="21"/>
                <w:szCs w:val="21"/>
                <w:highlight w:val="none"/>
              </w:rPr>
              <w:t>本项目危险废物</w:t>
            </w:r>
            <w:r>
              <w:rPr>
                <w:rFonts w:hint="eastAsia"/>
                <w:color w:val="auto"/>
                <w:sz w:val="21"/>
                <w:szCs w:val="21"/>
                <w:highlight w:val="none"/>
                <w:lang w:val="en-US" w:eastAsia="zh-CN"/>
              </w:rPr>
              <w:t>废机油</w:t>
            </w:r>
            <w:r>
              <w:rPr>
                <w:rFonts w:hint="default"/>
                <w:color w:val="auto"/>
                <w:sz w:val="21"/>
                <w:szCs w:val="21"/>
                <w:highlight w:val="none"/>
              </w:rPr>
              <w:t>产生后密封</w:t>
            </w:r>
            <w:r>
              <w:rPr>
                <w:rFonts w:hint="eastAsia"/>
                <w:color w:val="auto"/>
                <w:sz w:val="21"/>
                <w:szCs w:val="21"/>
                <w:highlight w:val="none"/>
                <w:lang w:val="en-US" w:eastAsia="zh-CN"/>
              </w:rPr>
              <w:t>桶装</w:t>
            </w:r>
            <w:r>
              <w:rPr>
                <w:rFonts w:hint="default"/>
                <w:color w:val="auto"/>
                <w:sz w:val="21"/>
                <w:szCs w:val="21"/>
                <w:highlight w:val="none"/>
              </w:rPr>
              <w:t>，再送到</w:t>
            </w:r>
            <w:r>
              <w:rPr>
                <w:rFonts w:hint="eastAsia"/>
                <w:color w:val="auto"/>
                <w:sz w:val="21"/>
                <w:szCs w:val="21"/>
                <w:highlight w:val="none"/>
                <w:lang w:eastAsia="zh-CN"/>
              </w:rPr>
              <w:t>危险废物</w:t>
            </w:r>
            <w:r>
              <w:rPr>
                <w:rFonts w:hint="eastAsia"/>
                <w:color w:val="auto"/>
                <w:sz w:val="21"/>
                <w:szCs w:val="21"/>
                <w:highlight w:val="none"/>
                <w:lang w:val="en-US" w:eastAsia="zh-CN"/>
              </w:rPr>
              <w:t>暂存间</w:t>
            </w:r>
            <w:r>
              <w:rPr>
                <w:rFonts w:hint="default"/>
                <w:color w:val="auto"/>
                <w:sz w:val="21"/>
                <w:szCs w:val="21"/>
                <w:highlight w:val="none"/>
              </w:rPr>
              <w:t>暂存，运输环节在厂内，不会因厂内运输过程中撒漏等导致排放到环境中；外运由有资质单位采用专用车辆运输，运输过程中对环境影响小。</w:t>
            </w:r>
            <w:r>
              <w:rPr>
                <w:rFonts w:hint="eastAsia"/>
                <w:color w:val="auto"/>
                <w:sz w:val="21"/>
                <w:szCs w:val="21"/>
                <w:highlight w:val="none"/>
                <w:lang w:eastAsia="zh-CN"/>
              </w:rPr>
              <w:t>④</w:t>
            </w:r>
            <w:r>
              <w:rPr>
                <w:rFonts w:hint="eastAsia"/>
                <w:color w:val="auto"/>
                <w:sz w:val="21"/>
                <w:szCs w:val="21"/>
                <w:highlight w:val="none"/>
                <w:lang w:val="en-US" w:eastAsia="zh-CN"/>
              </w:rPr>
              <w:t>废机油：加强设备检修和定期维护，及时消除事故隐患。危险废物贮存库按照《危险废物贮存污染控制标准》（GB18597-2023）的管理规定，采取必要的防风、防晒、防雨、防漏、防渗、防腐以及其他环境污染防治措施，不应露天堆放危险废物。</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2964" w:hRule="atLeast"/>
          <w:jc w:val="center"/>
        </w:trPr>
        <w:tc>
          <w:tcPr>
            <w:tcW w:w="826"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其他环境管理要求</w:t>
            </w:r>
          </w:p>
        </w:tc>
        <w:tc>
          <w:tcPr>
            <w:tcW w:w="4173" w:type="pct"/>
            <w:gridSpan w:val="4"/>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eastAsia"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本项目投产运行前，应按照《固定污染源排污许可分类管理名录（2019年版）》填报排污许可证。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施要做到定期检查，制定检查方案与实施计划，严防出故障，对三废处理装置要定期检修，以确保污染物达标排放。按照相关要求，对排污口进行规范化管理，在正确的排放点位设置标识，以便进行自行验收和规范化管理</w:t>
            </w:r>
            <w:r>
              <w:rPr>
                <w:rFonts w:hint="eastAsia" w:cs="Times New Roman"/>
                <w:color w:val="auto"/>
                <w:sz w:val="21"/>
                <w:szCs w:val="21"/>
                <w:highlight w:val="none"/>
                <w:lang w:eastAsia="zh-CN"/>
              </w:rPr>
              <w:t>。</w:t>
            </w:r>
          </w:p>
        </w:tc>
      </w:tr>
    </w:tbl>
    <w:p>
      <w:pPr>
        <w:pStyle w:val="28"/>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9" w:name="_Toc19724"/>
      <w:r>
        <w:rPr>
          <w:rFonts w:hint="default" w:ascii="Times New Roman" w:hAnsi="Times New Roman" w:eastAsia="黑体" w:cs="Times New Roman"/>
          <w:snapToGrid w:val="0"/>
          <w:color w:val="auto"/>
          <w:kern w:val="21"/>
          <w:sz w:val="30"/>
          <w:szCs w:val="30"/>
          <w:highlight w:val="none"/>
        </w:rPr>
        <w:t>六、结论</w:t>
      </w:r>
      <w:bookmarkEnd w:id="9"/>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6" w:hRule="atLeast"/>
          <w:jc w:val="center"/>
        </w:trPr>
        <w:tc>
          <w:tcPr>
            <w:tcW w:w="5000" w:type="pct"/>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pPr>
        <w:pStyle w:val="28"/>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0" w:name="_Toc17733"/>
      <w:r>
        <w:rPr>
          <w:rFonts w:hint="default" w:ascii="Times New Roman" w:hAnsi="Times New Roman" w:eastAsia="黑体" w:cs="Times New Roman"/>
          <w:snapToGrid w:val="0"/>
          <w:color w:val="auto"/>
          <w:kern w:val="21"/>
          <w:sz w:val="30"/>
          <w:szCs w:val="30"/>
          <w:highlight w:val="none"/>
        </w:rPr>
        <w:t>附表</w:t>
      </w:r>
      <w:bookmarkEnd w:id="10"/>
    </w:p>
    <w:p>
      <w:pPr>
        <w:pStyle w:val="2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2"/>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471"/>
        <w:gridCol w:w="1364"/>
        <w:gridCol w:w="1296"/>
        <w:gridCol w:w="1409"/>
        <w:gridCol w:w="1559"/>
        <w:gridCol w:w="1535"/>
        <w:gridCol w:w="1786"/>
        <w:gridCol w:w="12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1143" w:type="dxa"/>
            <w:tcBorders>
              <w:tl2br w:val="single" w:color="auto" w:sz="4" w:space="0"/>
            </w:tcBorders>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pPr>
              <w:pStyle w:val="61"/>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471"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143" w:type="dxa"/>
            <w:vMerge w:val="restart"/>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471"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0.647</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kern w:val="0"/>
                <w:sz w:val="21"/>
                <w:szCs w:val="21"/>
                <w:highlight w:val="none"/>
                <w:lang w:val="en-US" w:eastAsia="zh-CN"/>
              </w:rPr>
              <w:t>0.647</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kern w:val="0"/>
                <w:sz w:val="21"/>
                <w:szCs w:val="21"/>
                <w:highlight w:val="none"/>
                <w:lang w:val="en-US" w:eastAsia="zh-CN"/>
              </w:rPr>
              <w:t>0.647</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position w:val="0"/>
                <w:sz w:val="21"/>
                <w:szCs w:val="21"/>
                <w:highlight w:val="none"/>
              </w:rPr>
              <w:t>0.</w:t>
            </w:r>
            <w:r>
              <w:rPr>
                <w:rFonts w:hint="eastAsia" w:cs="Times New Roman"/>
                <w:color w:val="auto"/>
                <w:position w:val="0"/>
                <w:sz w:val="21"/>
                <w:szCs w:val="21"/>
                <w:highlight w:val="none"/>
                <w:lang w:val="en-US" w:eastAsia="zh-CN"/>
              </w:rPr>
              <w:t>802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position w:val="0"/>
                <w:sz w:val="21"/>
                <w:szCs w:val="21"/>
                <w:highlight w:val="none"/>
              </w:rPr>
              <w:t>0.</w:t>
            </w:r>
            <w:r>
              <w:rPr>
                <w:rFonts w:hint="eastAsia" w:cs="Times New Roman"/>
                <w:color w:val="auto"/>
                <w:position w:val="0"/>
                <w:sz w:val="21"/>
                <w:szCs w:val="21"/>
                <w:highlight w:val="none"/>
                <w:lang w:val="en-US" w:eastAsia="zh-CN"/>
              </w:rPr>
              <w:t>802</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position w:val="0"/>
                <w:sz w:val="21"/>
                <w:szCs w:val="21"/>
                <w:highlight w:val="none"/>
              </w:rPr>
              <w:t>0.</w:t>
            </w:r>
            <w:r>
              <w:rPr>
                <w:rFonts w:hint="eastAsia" w:cs="Times New Roman"/>
                <w:color w:val="auto"/>
                <w:position w:val="0"/>
                <w:sz w:val="21"/>
                <w:szCs w:val="21"/>
                <w:highlight w:val="none"/>
                <w:lang w:val="en-US" w:eastAsia="zh-CN"/>
              </w:rPr>
              <w:t>802</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Cs/>
                <w:color w:val="auto"/>
                <w:position w:val="0"/>
                <w:sz w:val="21"/>
                <w:szCs w:val="21"/>
                <w:highlight w:val="none"/>
                <w:lang w:val="en-US" w:eastAsia="zh-CN"/>
              </w:rPr>
              <w:t>3.35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bCs/>
                <w:color w:val="auto"/>
                <w:position w:val="0"/>
                <w:sz w:val="21"/>
                <w:szCs w:val="21"/>
                <w:highlight w:val="none"/>
                <w:lang w:val="en-US" w:eastAsia="zh-CN"/>
              </w:rPr>
              <w:t>3.35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bCs/>
                <w:color w:val="auto"/>
                <w:position w:val="0"/>
                <w:sz w:val="21"/>
                <w:szCs w:val="21"/>
                <w:highlight w:val="none"/>
                <w:lang w:val="en-US" w:eastAsia="zh-CN"/>
              </w:rPr>
              <w:t>3.35</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position w:val="0"/>
                <w:sz w:val="21"/>
                <w:szCs w:val="21"/>
                <w:highlight w:val="none"/>
              </w:rPr>
              <w:t>硫化氢</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0.000174</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0.000174</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0.000174</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position w:val="0"/>
                <w:sz w:val="21"/>
                <w:szCs w:val="21"/>
                <w:highlight w:val="none"/>
              </w:rPr>
              <w:t>氨</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0.0044</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0.0044</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eastAsia" w:cs="Times New Roman"/>
                <w:bCs/>
                <w:color w:val="auto"/>
                <w:position w:val="0"/>
                <w:sz w:val="21"/>
                <w:szCs w:val="21"/>
                <w:highlight w:val="none"/>
                <w:lang w:val="en-US" w:eastAsia="zh-CN"/>
              </w:rPr>
              <w:t>0.0044</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食堂油烟</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0.007</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0.007</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position w:val="0"/>
                <w:sz w:val="21"/>
                <w:szCs w:val="21"/>
                <w:highlight w:val="none"/>
                <w:lang w:val="en-US" w:eastAsia="zh-CN"/>
              </w:rPr>
            </w:pPr>
            <w:r>
              <w:rPr>
                <w:rFonts w:hint="default" w:ascii="Times New Roman" w:hAnsi="Times New Roman" w:eastAsia="宋体" w:cs="Times New Roman"/>
                <w:bCs/>
                <w:color w:val="auto"/>
                <w:spacing w:val="0"/>
                <w:position w:val="0"/>
                <w:sz w:val="21"/>
                <w:szCs w:val="21"/>
                <w:highlight w:val="none"/>
                <w:lang w:val="en-US" w:eastAsia="zh-CN"/>
              </w:rPr>
              <w:t>0.007</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restart"/>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废水</w:t>
            </w:r>
          </w:p>
        </w:tc>
        <w:tc>
          <w:tcPr>
            <w:tcW w:w="2471"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sz w:val="21"/>
                <w:szCs w:val="21"/>
                <w:highlight w:val="none"/>
              </w:rPr>
              <w:t>COD</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21"/>
                <w:sz w:val="21"/>
                <w:szCs w:val="21"/>
                <w:highlight w:val="none"/>
                <w:lang w:val="en-US"/>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64</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64</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21"/>
                <w:sz w:val="21"/>
                <w:szCs w:val="21"/>
                <w:highlight w:val="none"/>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64</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snapToGrid w:val="0"/>
                <w:color w:val="auto"/>
                <w:kern w:val="21"/>
                <w:sz w:val="21"/>
                <w:szCs w:val="21"/>
                <w:highlight w:val="none"/>
              </w:rPr>
              <w:t>BOD</w:t>
            </w:r>
            <w:r>
              <w:rPr>
                <w:rFonts w:hint="default" w:ascii="Times New Roman" w:hAnsi="Times New Roman" w:cs="Times New Roman"/>
                <w:snapToGrid w:val="0"/>
                <w:color w:val="auto"/>
                <w:kern w:val="21"/>
                <w:sz w:val="21"/>
                <w:szCs w:val="21"/>
                <w:highlight w:val="none"/>
                <w:vertAlign w:val="subscript"/>
              </w:rPr>
              <w:t>5</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r>
              <w:rPr>
                <w:rFonts w:hint="eastAsia" w:cs="Times New Roman"/>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r>
              <w:rPr>
                <w:rFonts w:hint="eastAsia" w:cs="Times New Roman"/>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r>
              <w:rPr>
                <w:rFonts w:hint="eastAsia" w:cs="Times New Roman"/>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pStyle w:val="61"/>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snapToGrid w:val="0"/>
                <w:color w:val="auto"/>
                <w:kern w:val="21"/>
                <w:sz w:val="21"/>
                <w:szCs w:val="21"/>
                <w:highlight w:val="none"/>
              </w:rPr>
              <w:t>SS</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43</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43</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r>
              <w:rPr>
                <w:rFonts w:hint="eastAsia" w:cs="Times New Roman"/>
                <w:color w:val="auto"/>
                <w:sz w:val="21"/>
                <w:szCs w:val="21"/>
                <w:highlight w:val="none"/>
                <w:lang w:val="en-US" w:eastAsia="zh-CN"/>
              </w:rPr>
              <w:t>43</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pStyle w:val="61"/>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氨氮</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048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048</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048</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pStyle w:val="61"/>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总氮</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29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29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29</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pStyle w:val="61"/>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总磷</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0.07</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0.07</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0.07</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pStyle w:val="61"/>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溶解性总固体</w:t>
            </w:r>
          </w:p>
        </w:tc>
        <w:tc>
          <w:tcPr>
            <w:tcW w:w="136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29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59" w:type="dxa"/>
            <w:vAlign w:val="center"/>
          </w:tcPr>
          <w:p>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3.79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786" w:type="dxa"/>
            <w:vAlign w:val="center"/>
          </w:tcPr>
          <w:p>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3.79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3.79</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43" w:type="dxa"/>
            <w:vMerge w:val="restart"/>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471"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26.25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bCs/>
                <w:color w:val="auto"/>
                <w:sz w:val="21"/>
                <w:szCs w:val="21"/>
                <w:highlight w:val="none"/>
                <w:lang w:val="en-US" w:eastAsia="zh-CN"/>
              </w:rPr>
              <w:t>26.25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bCs/>
                <w:color w:val="auto"/>
                <w:sz w:val="21"/>
                <w:szCs w:val="21"/>
                <w:highlight w:val="none"/>
                <w:lang w:val="en-US" w:eastAsia="zh-CN"/>
              </w:rPr>
              <w:t>26.25</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143"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ind w:left="0" w:leftChars="0" w:right="0" w:rightChars="0"/>
              <w:contextualSpacing/>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餐馀废物</w:t>
            </w:r>
          </w:p>
        </w:tc>
        <w:tc>
          <w:tcPr>
            <w:tcW w:w="1364"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pPr>
              <w:keepNext w:val="0"/>
              <w:keepLines w:val="0"/>
              <w:pageBreakBefore w:val="0"/>
              <w:suppressLineNumbers w:val="0"/>
              <w:kinsoku/>
              <w:wordWrap/>
              <w:overflowPunct/>
              <w:topLinePunct w:val="0"/>
              <w:autoSpaceDE w:val="0"/>
              <w:autoSpaceDN w:val="0"/>
              <w:bidi w:val="0"/>
              <w:spacing w:before="0" w:beforeAutospacing="0" w:after="0" w:afterAutospacing="0"/>
              <w:ind w:left="0" w:leftChars="0" w:right="0" w:rightChars="0"/>
              <w:contextualSpacing/>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rPr>
              <w:t>废油脂</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pStyle w:val="126"/>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3.045</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废离子交换树脂</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rPr>
              <w:t>废包装物</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烟熏炉炉渣</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静电除尘器收尘</w:t>
            </w:r>
          </w:p>
        </w:tc>
        <w:tc>
          <w:tcPr>
            <w:tcW w:w="1364"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9.712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9.712</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9.712</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加工废料</w:t>
            </w:r>
            <w:r>
              <w:rPr>
                <w:rFonts w:hint="eastAsia" w:cs="Times New Roman"/>
                <w:color w:val="auto"/>
                <w:sz w:val="21"/>
                <w:szCs w:val="21"/>
                <w:highlight w:val="none"/>
                <w:lang w:val="en-US" w:eastAsia="zh-CN"/>
              </w:rPr>
              <w:t>及不合格品</w:t>
            </w:r>
          </w:p>
        </w:tc>
        <w:tc>
          <w:tcPr>
            <w:tcW w:w="1364"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污泥</w:t>
            </w:r>
          </w:p>
        </w:tc>
        <w:tc>
          <w:tcPr>
            <w:tcW w:w="1364"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Merge w:val="continue"/>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c>
          <w:tcPr>
            <w:tcW w:w="1364"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yellow"/>
                <w:lang w:val="en-US" w:eastAsia="zh-CN"/>
              </w:rPr>
            </w:pPr>
            <w:r>
              <w:rPr>
                <w:rFonts w:hint="eastAsia" w:cs="Times New Roman"/>
                <w:bCs/>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yellow"/>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yellow"/>
                <w:lang w:val="en-US" w:eastAsia="zh-CN"/>
              </w:rPr>
            </w:pPr>
            <w:r>
              <w:rPr>
                <w:rFonts w:hint="eastAsia" w:cs="Times New Roman"/>
                <w:bCs/>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21"/>
                <w:szCs w:val="21"/>
                <w:highlight w:val="yellow"/>
                <w:lang w:val="en-US" w:eastAsia="zh-CN"/>
              </w:rPr>
            </w:pPr>
            <w:r>
              <w:rPr>
                <w:rFonts w:hint="eastAsia" w:cs="Times New Roman"/>
                <w:bCs/>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3" w:type="dxa"/>
            <w:vAlign w:val="center"/>
          </w:tcPr>
          <w:p>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危险废物</w:t>
            </w:r>
          </w:p>
        </w:tc>
        <w:tc>
          <w:tcPr>
            <w:tcW w:w="2471" w:type="dxa"/>
            <w:vAlign w:val="center"/>
          </w:tcPr>
          <w:p>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废机油</w:t>
            </w:r>
          </w:p>
        </w:tc>
        <w:tc>
          <w:tcPr>
            <w:tcW w:w="1364"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highlight w:val="none"/>
                <w:lang w:val="en-US" w:eastAsia="zh-CN"/>
              </w:rPr>
              <w:t>t/a</w:t>
            </w:r>
          </w:p>
        </w:tc>
      </w:tr>
    </w:tbl>
    <w:p>
      <w:pPr>
        <w:pStyle w:val="61"/>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pPr>
        <w:pStyle w:val="28"/>
        <w:spacing w:before="0" w:beforeAutospacing="0" w:after="0" w:afterAutospacing="0"/>
        <w:rPr>
          <w:rFonts w:hint="default" w:ascii="Times New Roman" w:hAnsi="Times New Roman" w:cs="Times New Roman"/>
          <w:snapToGrid w:val="0"/>
          <w:color w:val="auto"/>
          <w:kern w:val="21"/>
          <w:sz w:val="21"/>
          <w:szCs w:val="32"/>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pPr>
        <w:pStyle w:val="5"/>
        <w:rPr>
          <w:rFonts w:hint="eastAsia" w:ascii="Times New Roman" w:hAnsi="Times New Roman" w:eastAsia="宋体" w:cs="Times New Roman"/>
          <w:color w:val="auto"/>
          <w:highlight w:val="none"/>
          <w:lang w:eastAsia="zh-CN"/>
        </w:rPr>
      </w:pPr>
      <w:bookmarkStart w:id="11" w:name="_Toc11995"/>
      <w:bookmarkStart w:id="12" w:name="_Toc24197"/>
      <w:bookmarkStart w:id="13" w:name="_Toc20292"/>
      <w:r>
        <w:rPr>
          <w:rFonts w:hint="default" w:ascii="Times New Roman" w:hAnsi="Times New Roman" w:eastAsia="宋体" w:cs="Times New Roman"/>
          <w:color w:val="auto"/>
          <w:sz w:val="21"/>
          <w:szCs w:val="21"/>
          <w:highlight w:val="none"/>
        </w:rPr>
        <w:t>附件1</w:t>
      </w:r>
      <w:bookmarkEnd w:id="11"/>
      <w:bookmarkEnd w:id="12"/>
      <w:bookmarkEnd w:id="13"/>
      <w:r>
        <w:rPr>
          <w:rFonts w:hint="eastAsia" w:eastAsia="宋体" w:cs="Times New Roman"/>
          <w:color w:val="auto"/>
          <w:sz w:val="21"/>
          <w:szCs w:val="21"/>
          <w:highlight w:val="none"/>
          <w:lang w:val="en-US" w:eastAsia="zh-CN"/>
        </w:rPr>
        <w:t>营业执照</w:t>
      </w:r>
    </w:p>
    <w:p>
      <w:pPr>
        <w:widowControl/>
        <w:adjustRightInd w:val="0"/>
        <w:snapToGrid w:val="0"/>
        <w:jc w:val="center"/>
        <w:rPr>
          <w:rFonts w:hint="eastAsia" w:ascii="Times New Roman" w:hAnsi="Times New Roman" w:eastAsia="Arial Unicode MS" w:cs="Times New Roman"/>
          <w:color w:val="auto"/>
          <w:highlight w:val="none"/>
          <w:lang w:eastAsia="zh-CN"/>
        </w:rPr>
      </w:pPr>
      <w:r>
        <w:rPr>
          <w:rFonts w:hint="eastAsia" w:ascii="Times New Roman" w:hAnsi="Times New Roman" w:eastAsia="Arial Unicode MS" w:cs="Times New Roman"/>
          <w:color w:val="auto"/>
          <w:highlight w:val="none"/>
          <w:lang w:eastAsia="zh-CN"/>
        </w:rPr>
        <w:drawing>
          <wp:inline distT="0" distB="0" distL="114300" distR="114300">
            <wp:extent cx="5360035" cy="7573010"/>
            <wp:effectExtent l="0" t="0" r="12065" b="8890"/>
            <wp:docPr id="18" name="图片 18" descr="1afe984ed6eef03be32b387ef2bc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afe984ed6eef03be32b387ef2bc577"/>
                    <pic:cNvPicPr>
                      <a:picLocks noChangeAspect="1"/>
                    </pic:cNvPicPr>
                  </pic:nvPicPr>
                  <pic:blipFill>
                    <a:blip r:embed="rId42"/>
                    <a:stretch>
                      <a:fillRect/>
                    </a:stretch>
                  </pic:blipFill>
                  <pic:spPr>
                    <a:xfrm rot="10800000">
                      <a:off x="0" y="0"/>
                      <a:ext cx="5360035" cy="7573010"/>
                    </a:xfrm>
                    <a:prstGeom prst="rect">
                      <a:avLst/>
                    </a:prstGeom>
                  </pic:spPr>
                </pic:pic>
              </a:graphicData>
            </a:graphic>
          </wp:inline>
        </w:drawing>
      </w:r>
    </w:p>
    <w:p>
      <w:pPr>
        <w:pStyle w:val="30"/>
        <w:ind w:left="0" w:leftChars="0" w:firstLine="0" w:firstLineChars="0"/>
        <w:jc w:val="both"/>
        <w:rPr>
          <w:rFonts w:hint="eastAsia"/>
          <w:color w:val="auto"/>
          <w:highlight w:val="none"/>
          <w:lang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pPr>
        <w:pStyle w:val="5"/>
        <w:spacing w:line="240" w:lineRule="auto"/>
        <w:rPr>
          <w:rFonts w:hint="default" w:ascii="Times New Roman" w:hAnsi="Times New Roman" w:eastAsia="宋体" w:cs="Times New Roman"/>
          <w:b/>
          <w:color w:val="auto"/>
          <w:sz w:val="21"/>
          <w:szCs w:val="21"/>
          <w:highlight w:val="none"/>
          <w:lang w:val="en-US" w:eastAsia="zh-CN"/>
        </w:rPr>
      </w:pPr>
      <w:bookmarkStart w:id="14" w:name="_Toc37157991"/>
      <w:r>
        <w:rPr>
          <w:rFonts w:hint="default" w:ascii="Times New Roman" w:hAnsi="Times New Roman" w:eastAsia="宋体" w:cs="Times New Roman"/>
          <w:color w:val="auto"/>
          <w:sz w:val="21"/>
          <w:szCs w:val="21"/>
          <w:highlight w:val="none"/>
        </w:rPr>
        <w:t>附件</w:t>
      </w:r>
      <w:bookmarkEnd w:id="14"/>
      <w:r>
        <w:rPr>
          <w:rFonts w:hint="eastAsia" w:eastAsia="宋体" w:cs="Times New Roman"/>
          <w:color w:val="auto"/>
          <w:sz w:val="21"/>
          <w:szCs w:val="21"/>
          <w:highlight w:val="none"/>
          <w:lang w:val="en-US" w:eastAsia="zh-CN"/>
        </w:rPr>
        <w:t>2</w:t>
      </w:r>
      <w:r>
        <w:rPr>
          <w:rFonts w:hint="eastAsia" w:eastAsia="宋体" w:cs="Times New Roman"/>
          <w:b/>
          <w:color w:val="auto"/>
          <w:sz w:val="21"/>
          <w:szCs w:val="21"/>
          <w:highlight w:val="none"/>
          <w:lang w:val="en-US" w:eastAsia="zh-CN"/>
        </w:rPr>
        <w:t>土地手续</w:t>
      </w:r>
    </w:p>
    <w:p>
      <w:pPr>
        <w:bidi w:val="0"/>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drawing>
          <wp:inline distT="0" distB="0" distL="114300" distR="114300">
            <wp:extent cx="5351145" cy="7134860"/>
            <wp:effectExtent l="0" t="0" r="1905" b="8890"/>
            <wp:docPr id="3" name="图片 3" descr="不动产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不动产证3"/>
                    <pic:cNvPicPr>
                      <a:picLocks noChangeAspect="1"/>
                    </pic:cNvPicPr>
                  </pic:nvPicPr>
                  <pic:blipFill>
                    <a:blip r:embed="rId43"/>
                    <a:stretch>
                      <a:fillRect/>
                    </a:stretch>
                  </pic:blipFill>
                  <pic:spPr>
                    <a:xfrm rot="10800000">
                      <a:off x="0" y="0"/>
                      <a:ext cx="5351145" cy="7134860"/>
                    </a:xfrm>
                    <a:prstGeom prst="rect">
                      <a:avLst/>
                    </a:prstGeom>
                  </pic:spPr>
                </pic:pic>
              </a:graphicData>
            </a:graphic>
          </wp:inline>
        </w:drawing>
      </w:r>
    </w:p>
    <w:p>
      <w:pP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br w:type="page"/>
      </w:r>
    </w:p>
    <w:p>
      <w:pPr>
        <w:pStyle w:val="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附件3 吸收合并协议</w:t>
      </w:r>
    </w:p>
    <w:p>
      <w:pPr>
        <w:pStyle w:val="124"/>
        <w:spacing w:line="240" w:lineRule="atLeast"/>
        <w:ind w:left="0" w:leftChars="0" w:firstLine="0"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360670" cy="7147560"/>
            <wp:effectExtent l="0" t="0" r="11430" b="15240"/>
            <wp:docPr id="17" name="图片 17" descr="bf571e891e2890393744ba9567ac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f571e891e2890393744ba9567acd34"/>
                    <pic:cNvPicPr>
                      <a:picLocks noChangeAspect="1"/>
                    </pic:cNvPicPr>
                  </pic:nvPicPr>
                  <pic:blipFill>
                    <a:blip r:embed="rId44"/>
                    <a:stretch>
                      <a:fillRect/>
                    </a:stretch>
                  </pic:blipFill>
                  <pic:spPr>
                    <a:xfrm>
                      <a:off x="0" y="0"/>
                      <a:ext cx="5360670" cy="7147560"/>
                    </a:xfrm>
                    <a:prstGeom prst="rect">
                      <a:avLst/>
                    </a:prstGeom>
                  </pic:spPr>
                </pic:pic>
              </a:graphicData>
            </a:graphic>
          </wp:inline>
        </w:drawing>
      </w:r>
    </w:p>
    <w:p>
      <w:pPr>
        <w:pStyle w:val="5"/>
        <w:ind w:left="0" w:leftChars="0"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附件4天然气成分分析报告</w:t>
      </w:r>
    </w:p>
    <w:p>
      <w:pPr>
        <w:bidi w:val="0"/>
        <w:rPr>
          <w:rFonts w:hint="eastAsia"/>
          <w:color w:val="auto"/>
          <w:highlight w:val="none"/>
        </w:rPr>
      </w:pPr>
      <w:r>
        <w:rPr>
          <w:color w:val="auto"/>
          <w:highlight w:val="none"/>
        </w:rPr>
        <w:drawing>
          <wp:inline distT="0" distB="0" distL="114300" distR="114300">
            <wp:extent cx="5110480" cy="7705725"/>
            <wp:effectExtent l="0" t="0" r="13970" b="9525"/>
            <wp:docPr id="73" name="图片 7" descr="天然气成分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descr="天然气成分报告_00"/>
                    <pic:cNvPicPr>
                      <a:picLocks noChangeAspect="1"/>
                    </pic:cNvPicPr>
                  </pic:nvPicPr>
                  <pic:blipFill>
                    <a:blip r:embed="rId45"/>
                    <a:stretch>
                      <a:fillRect/>
                    </a:stretch>
                  </pic:blipFill>
                  <pic:spPr>
                    <a:xfrm>
                      <a:off x="0" y="0"/>
                      <a:ext cx="5110480" cy="7705725"/>
                    </a:xfrm>
                    <a:prstGeom prst="rect">
                      <a:avLst/>
                    </a:prstGeom>
                    <a:noFill/>
                    <a:ln>
                      <a:noFill/>
                    </a:ln>
                  </pic:spPr>
                </pic:pic>
              </a:graphicData>
            </a:graphic>
          </wp:inline>
        </w:drawing>
      </w:r>
    </w:p>
    <w:p>
      <w:pPr>
        <w:bidi w:val="0"/>
        <w:rPr>
          <w:rFonts w:hint="default" w:ascii="Times New Roman" w:hAnsi="Times New Roman" w:eastAsia="宋体" w:cs="Times New Roman"/>
          <w:color w:val="auto"/>
          <w:sz w:val="21"/>
          <w:szCs w:val="21"/>
          <w:highlight w:val="none"/>
        </w:rPr>
      </w:pPr>
      <w:r>
        <w:rPr>
          <w:color w:val="auto"/>
          <w:highlight w:val="none"/>
        </w:rPr>
        <w:drawing>
          <wp:inline distT="0" distB="0" distL="114300" distR="114300">
            <wp:extent cx="5297805" cy="7759065"/>
            <wp:effectExtent l="0" t="0" r="17145" b="13335"/>
            <wp:docPr id="74" name="图片 8" descr="天然气成分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descr="天然气成分报告_01"/>
                    <pic:cNvPicPr>
                      <a:picLocks noChangeAspect="1"/>
                    </pic:cNvPicPr>
                  </pic:nvPicPr>
                  <pic:blipFill>
                    <a:blip r:embed="rId46"/>
                    <a:stretch>
                      <a:fillRect/>
                    </a:stretch>
                  </pic:blipFill>
                  <pic:spPr>
                    <a:xfrm>
                      <a:off x="0" y="0"/>
                      <a:ext cx="5297805" cy="7759065"/>
                    </a:xfrm>
                    <a:prstGeom prst="rect">
                      <a:avLst/>
                    </a:prstGeom>
                    <a:noFill/>
                    <a:ln>
                      <a:noFill/>
                    </a:ln>
                  </pic:spPr>
                </pic:pic>
              </a:graphicData>
            </a:graphic>
          </wp:inline>
        </w:drawing>
      </w:r>
    </w:p>
    <w:p>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br w:type="page"/>
      </w:r>
    </w:p>
    <w:p>
      <w:pPr>
        <w:pStyle w:val="5"/>
        <w:spacing w:line="260" w:lineRule="auto"/>
        <w:ind w:left="0" w:firstLine="0"/>
        <w:rPr>
          <w:rFonts w:hint="default" w:ascii="Times New Roman" w:hAnsi="Times New Roman" w:eastAsia="黑体" w:cs="Times New Roman"/>
          <w:color w:val="auto"/>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5核定排放量计算说明</w:t>
      </w:r>
    </w:p>
    <w:p>
      <w:pPr>
        <w:numPr>
          <w:ilvl w:val="0"/>
          <w:numId w:val="12"/>
        </w:num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pPr>
        <w:keepNext w:val="0"/>
        <w:keepLines w:val="0"/>
        <w:pageBreakBefore w:val="0"/>
        <w:widowControl/>
        <w:kinsoku/>
        <w:wordWrap/>
        <w:overflowPunct/>
        <w:topLinePunct w:val="0"/>
        <w:autoSpaceDE/>
        <w:autoSpaceDN/>
        <w:bidi w:val="0"/>
        <w:spacing w:line="360" w:lineRule="auto"/>
        <w:ind w:firstLine="420" w:firstLineChars="200"/>
        <w:textAlignment w:val="auto"/>
        <w:rPr>
          <w:rFonts w:ascii="宋体" w:hAnsi="宋体" w:cs="宋体"/>
          <w:color w:val="auto"/>
          <w:sz w:val="21"/>
          <w:szCs w:val="21"/>
          <w:highlight w:val="none"/>
        </w:rPr>
      </w:pPr>
      <w:r>
        <w:rPr>
          <w:rFonts w:hint="eastAsia" w:ascii="宋体" w:hAnsi="宋体" w:cs="宋体"/>
          <w:color w:val="auto"/>
          <w:sz w:val="21"/>
          <w:szCs w:val="21"/>
          <w:highlight w:val="none"/>
        </w:rPr>
        <w:t>1、锅炉烟气</w:t>
      </w:r>
    </w:p>
    <w:p>
      <w:pPr>
        <w:keepNext w:val="0"/>
        <w:keepLines w:val="0"/>
        <w:pageBreakBefore w:val="0"/>
        <w:kinsoku/>
        <w:wordWrap/>
        <w:overflowPunct/>
        <w:topLinePunct w:val="0"/>
        <w:autoSpaceDE/>
        <w:autoSpaceDN/>
        <w:bidi w:val="0"/>
        <w:spacing w:line="360" w:lineRule="auto"/>
        <w:ind w:firstLine="420" w:firstLineChars="200"/>
        <w:textAlignment w:val="auto"/>
        <w:rPr>
          <w:color w:val="auto"/>
          <w:sz w:val="21"/>
          <w:szCs w:val="21"/>
          <w:highlight w:val="none"/>
        </w:rPr>
      </w:pPr>
      <w:r>
        <w:rPr>
          <w:rFonts w:hint="default" w:ascii="Times New Roman" w:hAnsi="Times New Roman" w:cs="Times New Roman"/>
          <w:color w:val="auto"/>
          <w:sz w:val="21"/>
          <w:szCs w:val="21"/>
          <w:highlight w:val="none"/>
        </w:rPr>
        <w:t>本项目锅炉为1台</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t/h燃气锅炉，年运行</w:t>
      </w:r>
      <w:r>
        <w:rPr>
          <w:rFonts w:hint="default" w:ascii="Times New Roman" w:hAnsi="Times New Roman" w:cs="Times New Roman"/>
          <w:color w:val="auto"/>
          <w:sz w:val="21"/>
          <w:szCs w:val="21"/>
          <w:highlight w:val="none"/>
          <w:lang w:val="en-US" w:eastAsia="zh-CN"/>
        </w:rPr>
        <w:t>5680</w:t>
      </w:r>
      <w:r>
        <w:rPr>
          <w:rFonts w:hint="default" w:ascii="Times New Roman" w:hAnsi="Times New Roman" w:cs="Times New Roman"/>
          <w:color w:val="auto"/>
          <w:sz w:val="21"/>
          <w:szCs w:val="21"/>
          <w:highlight w:val="none"/>
        </w:rPr>
        <w:t>小时，锅炉年燃气</w:t>
      </w:r>
      <w:r>
        <w:rPr>
          <w:rFonts w:hint="default" w:ascii="Times New Roman" w:hAnsi="Times New Roman" w:cs="Times New Roman"/>
          <w:color w:val="auto"/>
          <w:kern w:val="0"/>
          <w:sz w:val="21"/>
          <w:szCs w:val="21"/>
          <w:highlight w:val="none"/>
        </w:rPr>
        <w:t>量</w:t>
      </w:r>
      <w:r>
        <w:rPr>
          <w:rFonts w:hint="default" w:ascii="Times New Roman" w:hAnsi="Times New Roman" w:cs="Times New Roman"/>
          <w:color w:val="auto"/>
          <w:sz w:val="21"/>
          <w:szCs w:val="21"/>
          <w:highlight w:val="none"/>
        </w:rPr>
        <w:t>为</w:t>
      </w:r>
      <w:r>
        <w:rPr>
          <w:rFonts w:hint="default" w:ascii="Times New Roman" w:hAnsi="Times New Roman" w:cs="Times New Roman"/>
          <w:bCs/>
          <w:color w:val="auto"/>
          <w:sz w:val="21"/>
          <w:szCs w:val="21"/>
          <w:highlight w:val="none"/>
          <w:lang w:val="en-US" w:eastAsia="zh-CN"/>
        </w:rPr>
        <w:t>279.456</w:t>
      </w:r>
      <w:r>
        <w:rPr>
          <w:rFonts w:hint="default" w:ascii="Times New Roman" w:hAnsi="Times New Roman" w:cs="Times New Roman"/>
          <w:bCs/>
          <w:color w:val="auto"/>
          <w:sz w:val="21"/>
          <w:szCs w:val="21"/>
          <w:highlight w:val="none"/>
        </w:rPr>
        <w:t>万m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color w:val="auto"/>
          <w:sz w:val="21"/>
          <w:szCs w:val="21"/>
          <w:highlight w:val="none"/>
        </w:rPr>
        <w:t>，根据《关于核定总量计算说明》对锅炉排放的污染物计算</w:t>
      </w:r>
      <w:r>
        <w:rPr>
          <w:color w:val="auto"/>
          <w:sz w:val="21"/>
          <w:szCs w:val="21"/>
          <w:highlight w:val="none"/>
        </w:rPr>
        <w:t>情况如下：</w:t>
      </w:r>
    </w:p>
    <w:p>
      <w:pPr>
        <w:keepNext w:val="0"/>
        <w:keepLines w:val="0"/>
        <w:pageBreakBefore w:val="0"/>
        <w:widowControl/>
        <w:kinsoku/>
        <w:wordWrap/>
        <w:overflowPunct/>
        <w:topLinePunct w:val="0"/>
        <w:autoSpaceDE/>
        <w:autoSpaceDN/>
        <w:bidi w:val="0"/>
        <w:spacing w:line="360" w:lineRule="auto"/>
        <w:ind w:firstLine="420" w:firstLineChars="200"/>
        <w:textAlignment w:val="auto"/>
        <w:rPr>
          <w:color w:val="auto"/>
          <w:sz w:val="21"/>
          <w:szCs w:val="21"/>
          <w:highlight w:val="none"/>
        </w:rPr>
      </w:pPr>
      <w:r>
        <w:rPr>
          <w:color w:val="auto"/>
          <w:sz w:val="21"/>
          <w:szCs w:val="21"/>
          <w:highlight w:val="none"/>
        </w:rPr>
        <w:t>干烟气排放量计算参照《排污许可证申请与核发技术规范 锅炉》（HJ953-2018），</w:t>
      </w:r>
      <w:r>
        <w:rPr>
          <w:rFonts w:hint="eastAsia"/>
          <w:color w:val="auto"/>
          <w:sz w:val="21"/>
          <w:szCs w:val="21"/>
          <w:highlight w:val="none"/>
        </w:rPr>
        <w:t>本项目低位</w:t>
      </w:r>
      <w:r>
        <w:rPr>
          <w:color w:val="auto"/>
          <w:sz w:val="21"/>
          <w:szCs w:val="21"/>
          <w:highlight w:val="none"/>
        </w:rPr>
        <w:t>发热量（Q</w:t>
      </w:r>
      <w:r>
        <w:rPr>
          <w:color w:val="auto"/>
          <w:sz w:val="21"/>
          <w:szCs w:val="21"/>
          <w:highlight w:val="none"/>
          <w:vertAlign w:val="subscript"/>
        </w:rPr>
        <w:t>net，ar</w:t>
      </w:r>
      <w:r>
        <w:rPr>
          <w:color w:val="auto"/>
          <w:sz w:val="21"/>
          <w:szCs w:val="21"/>
          <w:highlight w:val="none"/>
        </w:rPr>
        <w:t>）</w:t>
      </w:r>
      <w:r>
        <w:rPr>
          <w:rFonts w:hint="eastAsia"/>
          <w:color w:val="auto"/>
          <w:sz w:val="21"/>
          <w:szCs w:val="21"/>
          <w:highlight w:val="none"/>
        </w:rPr>
        <w:t>为8126大卡，即34.0MJ/kg，因此基准烟气量采用下式计算：</w:t>
      </w:r>
    </w:p>
    <w:p>
      <w:pPr>
        <w:keepNext w:val="0"/>
        <w:keepLines w:val="0"/>
        <w:pageBreakBefore w:val="0"/>
        <w:widowControl/>
        <w:kinsoku/>
        <w:wordWrap/>
        <w:overflowPunct/>
        <w:topLinePunct w:val="0"/>
        <w:autoSpaceDE/>
        <w:autoSpaceDN/>
        <w:bidi w:val="0"/>
        <w:spacing w:line="360" w:lineRule="auto"/>
        <w:ind w:firstLine="420" w:firstLineChars="200"/>
        <w:textAlignment w:val="auto"/>
        <w:rPr>
          <w:color w:val="auto"/>
          <w:sz w:val="21"/>
          <w:szCs w:val="21"/>
          <w:highlight w:val="none"/>
        </w:rPr>
      </w:pPr>
      <w:r>
        <w:rPr>
          <w:rFonts w:hint="eastAsia"/>
          <w:color w:val="auto"/>
          <w:sz w:val="21"/>
          <w:szCs w:val="21"/>
          <w:highlight w:val="none"/>
        </w:rPr>
        <w:t>Vgy=0.285Qnet+0.343=0.285×34.0+0.343=10.033</w:t>
      </w:r>
      <w:r>
        <w:rPr>
          <w:color w:val="auto"/>
          <w:sz w:val="21"/>
          <w:szCs w:val="21"/>
          <w:highlight w:val="none"/>
        </w:rPr>
        <w:t>Nm</w:t>
      </w:r>
      <w:r>
        <w:rPr>
          <w:color w:val="auto"/>
          <w:sz w:val="21"/>
          <w:szCs w:val="21"/>
          <w:highlight w:val="none"/>
          <w:vertAlign w:val="superscript"/>
        </w:rPr>
        <w:t>3</w:t>
      </w:r>
      <w:r>
        <w:rPr>
          <w:color w:val="auto"/>
          <w:sz w:val="21"/>
          <w:szCs w:val="21"/>
          <w:highlight w:val="none"/>
        </w:rPr>
        <w:t>/kg</w:t>
      </w:r>
    </w:p>
    <w:p>
      <w:pPr>
        <w:keepNext w:val="0"/>
        <w:keepLines w:val="0"/>
        <w:pageBreakBefore w:val="0"/>
        <w:widowControl/>
        <w:kinsoku/>
        <w:wordWrap/>
        <w:overflowPunct/>
        <w:topLinePunct w:val="0"/>
        <w:autoSpaceDE/>
        <w:autoSpaceDN/>
        <w:bidi w:val="0"/>
        <w:spacing w:line="360" w:lineRule="auto"/>
        <w:ind w:firstLine="420" w:firstLineChars="200"/>
        <w:textAlignment w:val="auto"/>
        <w:rPr>
          <w:color w:val="auto"/>
          <w:sz w:val="21"/>
          <w:szCs w:val="21"/>
          <w:highlight w:val="none"/>
        </w:rPr>
      </w:pPr>
      <w:r>
        <w:rPr>
          <w:rFonts w:hint="eastAsia"/>
          <w:color w:val="auto"/>
          <w:sz w:val="21"/>
          <w:szCs w:val="21"/>
          <w:highlight w:val="none"/>
        </w:rPr>
        <w:t>颗粒物排放量=燃料量×10.033×20×</w:t>
      </w:r>
      <w:r>
        <w:rPr>
          <w:color w:val="auto"/>
          <w:sz w:val="21"/>
          <w:szCs w:val="21"/>
          <w:highlight w:val="none"/>
        </w:rPr>
        <w:t>10</w:t>
      </w:r>
      <w:r>
        <w:rPr>
          <w:color w:val="auto"/>
          <w:sz w:val="21"/>
          <w:szCs w:val="21"/>
          <w:highlight w:val="none"/>
          <w:vertAlign w:val="superscript"/>
        </w:rPr>
        <w:t>-5</w:t>
      </w:r>
      <w:r>
        <w:rPr>
          <w:rFonts w:hint="eastAsia"/>
          <w:color w:val="auto"/>
          <w:sz w:val="21"/>
          <w:szCs w:val="21"/>
          <w:highlight w:val="none"/>
        </w:rPr>
        <w:t>=0.</w:t>
      </w:r>
      <w:r>
        <w:rPr>
          <w:rFonts w:hint="eastAsia"/>
          <w:color w:val="auto"/>
          <w:sz w:val="21"/>
          <w:szCs w:val="21"/>
          <w:highlight w:val="none"/>
          <w:lang w:val="en-US" w:eastAsia="zh-CN"/>
        </w:rPr>
        <w:t>561</w:t>
      </w:r>
      <w:r>
        <w:rPr>
          <w:rFonts w:hint="eastAsia"/>
          <w:color w:val="auto"/>
          <w:sz w:val="21"/>
          <w:szCs w:val="21"/>
          <w:highlight w:val="none"/>
        </w:rPr>
        <w:t>t/a</w:t>
      </w:r>
    </w:p>
    <w:p>
      <w:pPr>
        <w:keepNext w:val="0"/>
        <w:keepLines w:val="0"/>
        <w:pageBreakBefore w:val="0"/>
        <w:widowControl/>
        <w:kinsoku/>
        <w:wordWrap/>
        <w:overflowPunct/>
        <w:topLinePunct w:val="0"/>
        <w:autoSpaceDE/>
        <w:autoSpaceDN/>
        <w:bidi w:val="0"/>
        <w:spacing w:line="360" w:lineRule="auto"/>
        <w:ind w:firstLine="420" w:firstLineChars="200"/>
        <w:textAlignment w:val="auto"/>
        <w:rPr>
          <w:color w:val="auto"/>
          <w:sz w:val="21"/>
          <w:szCs w:val="21"/>
          <w:highlight w:val="none"/>
        </w:rPr>
      </w:pPr>
      <w:r>
        <w:rPr>
          <w:rFonts w:hint="eastAsia"/>
          <w:color w:val="auto"/>
          <w:sz w:val="21"/>
          <w:szCs w:val="21"/>
          <w:highlight w:val="none"/>
        </w:rPr>
        <w:t>二氧化硫排放量=燃料量×10.033×50×</w:t>
      </w:r>
      <w:r>
        <w:rPr>
          <w:color w:val="auto"/>
          <w:sz w:val="21"/>
          <w:szCs w:val="21"/>
          <w:highlight w:val="none"/>
        </w:rPr>
        <w:t>10</w:t>
      </w:r>
      <w:r>
        <w:rPr>
          <w:color w:val="auto"/>
          <w:sz w:val="21"/>
          <w:szCs w:val="21"/>
          <w:highlight w:val="none"/>
          <w:vertAlign w:val="superscript"/>
        </w:rPr>
        <w:t>-5</w:t>
      </w:r>
      <w:r>
        <w:rPr>
          <w:rFonts w:hint="eastAsia"/>
          <w:color w:val="auto"/>
          <w:sz w:val="21"/>
          <w:szCs w:val="21"/>
          <w:highlight w:val="none"/>
        </w:rPr>
        <w:t>=</w:t>
      </w:r>
      <w:r>
        <w:rPr>
          <w:rFonts w:hint="eastAsia"/>
          <w:color w:val="auto"/>
          <w:sz w:val="21"/>
          <w:szCs w:val="21"/>
          <w:highlight w:val="none"/>
          <w:lang w:val="en-US" w:eastAsia="zh-CN"/>
        </w:rPr>
        <w:t>1.402</w:t>
      </w:r>
      <w:r>
        <w:rPr>
          <w:rFonts w:hint="eastAsia"/>
          <w:color w:val="auto"/>
          <w:sz w:val="21"/>
          <w:szCs w:val="21"/>
          <w:highlight w:val="none"/>
        </w:rPr>
        <w:t>t/a</w:t>
      </w:r>
    </w:p>
    <w:p>
      <w:pPr>
        <w:keepNext w:val="0"/>
        <w:keepLines w:val="0"/>
        <w:pageBreakBefore w:val="0"/>
        <w:widowControl/>
        <w:kinsoku/>
        <w:wordWrap/>
        <w:overflowPunct/>
        <w:topLinePunct w:val="0"/>
        <w:autoSpaceDE/>
        <w:autoSpaceDN/>
        <w:bidi w:val="0"/>
        <w:spacing w:line="360" w:lineRule="auto"/>
        <w:ind w:firstLine="420" w:firstLineChars="200"/>
        <w:textAlignment w:val="auto"/>
        <w:rPr>
          <w:rFonts w:hint="eastAsia"/>
          <w:color w:val="auto"/>
          <w:sz w:val="21"/>
          <w:szCs w:val="21"/>
          <w:highlight w:val="none"/>
        </w:rPr>
      </w:pPr>
      <w:r>
        <w:rPr>
          <w:rFonts w:hint="eastAsia"/>
          <w:color w:val="auto"/>
          <w:sz w:val="21"/>
          <w:szCs w:val="21"/>
          <w:highlight w:val="none"/>
        </w:rPr>
        <w:t>氮氧化物排放量=燃料量×10.033×200×</w:t>
      </w:r>
      <w:r>
        <w:rPr>
          <w:color w:val="auto"/>
          <w:sz w:val="21"/>
          <w:szCs w:val="21"/>
          <w:highlight w:val="none"/>
        </w:rPr>
        <w:t>10</w:t>
      </w:r>
      <w:r>
        <w:rPr>
          <w:color w:val="auto"/>
          <w:sz w:val="21"/>
          <w:szCs w:val="21"/>
          <w:highlight w:val="none"/>
          <w:vertAlign w:val="superscript"/>
        </w:rPr>
        <w:t>-5</w:t>
      </w:r>
      <w:r>
        <w:rPr>
          <w:rFonts w:hint="eastAsia"/>
          <w:color w:val="auto"/>
          <w:sz w:val="21"/>
          <w:szCs w:val="21"/>
          <w:highlight w:val="none"/>
        </w:rPr>
        <w:t>=</w:t>
      </w:r>
      <w:r>
        <w:rPr>
          <w:rFonts w:hint="eastAsia"/>
          <w:color w:val="auto"/>
          <w:sz w:val="21"/>
          <w:szCs w:val="21"/>
          <w:highlight w:val="none"/>
          <w:lang w:val="en-US" w:eastAsia="zh-CN"/>
        </w:rPr>
        <w:t>5.608</w:t>
      </w:r>
      <w:r>
        <w:rPr>
          <w:rFonts w:hint="eastAsia"/>
          <w:color w:val="auto"/>
          <w:sz w:val="21"/>
          <w:szCs w:val="21"/>
          <w:highlight w:val="none"/>
        </w:rPr>
        <w:t>t/a</w:t>
      </w:r>
    </w:p>
    <w:p>
      <w:pPr>
        <w:pStyle w:val="3"/>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eastAsia"/>
          <w:color w:val="auto"/>
          <w:sz w:val="21"/>
          <w:szCs w:val="21"/>
          <w:highlight w:val="none"/>
        </w:rPr>
      </w:pPr>
      <w:r>
        <w:rPr>
          <w:rFonts w:hint="eastAsia"/>
          <w:color w:val="auto"/>
          <w:sz w:val="21"/>
          <w:szCs w:val="21"/>
          <w:highlight w:val="none"/>
          <w:lang w:val="en-US" w:eastAsia="zh-CN"/>
        </w:rPr>
        <w:t>2、</w:t>
      </w:r>
      <w:r>
        <w:rPr>
          <w:rFonts w:hint="eastAsia"/>
          <w:color w:val="auto"/>
          <w:sz w:val="21"/>
          <w:szCs w:val="21"/>
          <w:highlight w:val="none"/>
        </w:rPr>
        <w:t>烟熏炉总量</w:t>
      </w:r>
    </w:p>
    <w:p>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根据《排污许可证申请与核发技术规范 工业炉窑》（HJ1121-2020）4.2.2.3许可排放量，本项目无相应基准排气量，按照绩效值、年实际产量核算许可排放量，计算公式如下：</w:t>
      </w:r>
    </w:p>
    <w:p>
      <w:pPr>
        <w:pStyle w:val="44"/>
        <w:spacing w:line="360" w:lineRule="auto"/>
        <w:rPr>
          <w:rFonts w:ascii="Times New Roman" w:hAnsi="Times New Roman"/>
          <w:color w:val="auto"/>
          <w:szCs w:val="24"/>
          <w:highlight w:val="none"/>
        </w:rPr>
      </w:pPr>
      <w:r>
        <w:rPr>
          <w:rFonts w:ascii="Times New Roman" w:hAnsi="Times New Roman"/>
          <w:color w:val="auto"/>
          <w:szCs w:val="24"/>
          <w:highlight w:val="none"/>
        </w:rPr>
        <w:drawing>
          <wp:inline distT="0" distB="0" distL="114300" distR="114300">
            <wp:extent cx="1552575" cy="771525"/>
            <wp:effectExtent l="0" t="0" r="9525" b="952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7"/>
                    <a:stretch>
                      <a:fillRect/>
                    </a:stretch>
                  </pic:blipFill>
                  <pic:spPr>
                    <a:xfrm>
                      <a:off x="0" y="0"/>
                      <a:ext cx="1552575" cy="771525"/>
                    </a:xfrm>
                    <a:prstGeom prst="rect">
                      <a:avLst/>
                    </a:prstGeom>
                    <a:noFill/>
                    <a:ln>
                      <a:noFill/>
                    </a:ln>
                  </pic:spPr>
                </pic:pic>
              </a:graphicData>
            </a:graphic>
          </wp:inline>
        </w:drawing>
      </w:r>
    </w:p>
    <w:p>
      <w:pPr>
        <w:pStyle w:val="44"/>
        <w:spacing w:line="360" w:lineRule="auto"/>
        <w:ind w:firstLine="480" w:firstLineChars="200"/>
        <w:jc w:val="both"/>
        <w:rPr>
          <w:rFonts w:ascii="Times New Roman" w:hAnsi="Times New Roman"/>
          <w:color w:val="auto"/>
          <w:kern w:val="2"/>
          <w:szCs w:val="24"/>
          <w:highlight w:val="none"/>
        </w:rPr>
      </w:pPr>
      <w:r>
        <w:rPr>
          <w:rFonts w:ascii="Times New Roman" w:hAnsi="Times New Roman"/>
          <w:color w:val="auto"/>
          <w:kern w:val="2"/>
          <w:szCs w:val="24"/>
          <w:highlight w:val="none"/>
        </w:rPr>
        <w:t>式中：</w:t>
      </w:r>
    </w:p>
    <w:p>
      <w:pPr>
        <w:pStyle w:val="44"/>
        <w:spacing w:line="360" w:lineRule="auto"/>
        <w:ind w:firstLine="480" w:firstLineChars="200"/>
        <w:rPr>
          <w:rFonts w:ascii="Times New Roman" w:hAnsi="Times New Roman"/>
          <w:color w:val="auto"/>
          <w:kern w:val="2"/>
          <w:szCs w:val="24"/>
          <w:highlight w:val="none"/>
        </w:rPr>
      </w:pPr>
      <w:r>
        <w:rPr>
          <w:rFonts w:ascii="Times New Roman" w:hAnsi="Times New Roman"/>
          <w:color w:val="auto"/>
          <w:szCs w:val="24"/>
          <w:highlight w:val="none"/>
        </w:rPr>
        <w:drawing>
          <wp:inline distT="0" distB="0" distL="114300" distR="114300">
            <wp:extent cx="5247640" cy="1571625"/>
            <wp:effectExtent l="0" t="0" r="10160" b="952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8"/>
                    <a:stretch>
                      <a:fillRect/>
                    </a:stretch>
                  </pic:blipFill>
                  <pic:spPr>
                    <a:xfrm>
                      <a:off x="0" y="0"/>
                      <a:ext cx="5247640" cy="1571625"/>
                    </a:xfrm>
                    <a:prstGeom prst="rect">
                      <a:avLst/>
                    </a:prstGeom>
                    <a:noFill/>
                    <a:ln>
                      <a:noFill/>
                    </a:ln>
                  </pic:spPr>
                </pic:pic>
              </a:graphicData>
            </a:graphic>
          </wp:inline>
        </w:drawing>
      </w:r>
    </w:p>
    <w:p>
      <w:pPr>
        <w:pStyle w:val="67"/>
        <w:spacing w:line="360" w:lineRule="auto"/>
        <w:rPr>
          <w:rFonts w:ascii="Times New Roman" w:hAnsi="Times New Roman"/>
          <w:color w:val="auto"/>
          <w:szCs w:val="24"/>
          <w:highlight w:val="none"/>
        </w:rPr>
      </w:pPr>
      <w:r>
        <w:rPr>
          <w:rFonts w:hint="eastAsia" w:ascii="Times New Roman" w:hAnsi="Times New Roman"/>
          <w:color w:val="auto"/>
          <w:szCs w:val="24"/>
          <w:highlight w:val="none"/>
          <w:lang w:val="en-US" w:eastAsia="zh-CN"/>
        </w:rPr>
        <w:t>木块</w:t>
      </w:r>
      <w:r>
        <w:rPr>
          <w:rFonts w:ascii="Times New Roman" w:hAnsi="Times New Roman"/>
          <w:color w:val="auto"/>
          <w:szCs w:val="24"/>
          <w:highlight w:val="none"/>
        </w:rPr>
        <w:t>低位热值取值按14.55MJ/kg计，由于实际热值介于12.56和14.65之间，采用排污许可证申请核发技术规范表6插值法计算得到的绩效值为：颗粒物</w:t>
      </w:r>
      <w:bookmarkStart w:id="15" w:name="_Hlk42587764"/>
      <w:r>
        <w:rPr>
          <w:rFonts w:ascii="Times New Roman" w:hAnsi="Times New Roman"/>
          <w:color w:val="auto"/>
          <w:szCs w:val="24"/>
          <w:highlight w:val="none"/>
        </w:rPr>
        <w:t>0.227kg/t</w:t>
      </w:r>
      <w:bookmarkEnd w:id="15"/>
      <w:r>
        <w:rPr>
          <w:rFonts w:ascii="Times New Roman" w:hAnsi="Times New Roman"/>
          <w:color w:val="auto"/>
          <w:szCs w:val="24"/>
          <w:highlight w:val="none"/>
        </w:rPr>
        <w:t>燃料，SO</w:t>
      </w:r>
      <w:r>
        <w:rPr>
          <w:rFonts w:ascii="Times New Roman" w:hAnsi="Times New Roman"/>
          <w:color w:val="auto"/>
          <w:szCs w:val="24"/>
          <w:highlight w:val="none"/>
          <w:vertAlign w:val="subscript"/>
        </w:rPr>
        <w:t>2</w:t>
      </w:r>
      <w:r>
        <w:rPr>
          <w:rFonts w:ascii="Times New Roman" w:hAnsi="Times New Roman"/>
          <w:color w:val="auto"/>
          <w:szCs w:val="24"/>
          <w:highlight w:val="none"/>
        </w:rPr>
        <w:t>0.755kg/t燃料，NO</w:t>
      </w:r>
      <w:r>
        <w:rPr>
          <w:rFonts w:ascii="Times New Roman" w:hAnsi="Times New Roman"/>
          <w:color w:val="auto"/>
          <w:szCs w:val="24"/>
          <w:highlight w:val="none"/>
          <w:vertAlign w:val="subscript"/>
        </w:rPr>
        <w:t>x</w:t>
      </w:r>
      <w:r>
        <w:rPr>
          <w:rFonts w:ascii="Times New Roman" w:hAnsi="Times New Roman"/>
          <w:color w:val="auto"/>
          <w:szCs w:val="24"/>
          <w:highlight w:val="none"/>
        </w:rPr>
        <w:t>2.266kg/t燃料，本项目热风炉生物质压块燃料用量</w:t>
      </w:r>
      <w:r>
        <w:rPr>
          <w:rFonts w:hint="default" w:ascii="Times New Roman" w:hAnsi="Times New Roman" w:eastAsia="宋体" w:cs="Times New Roman"/>
          <w:bCs/>
          <w:color w:val="auto"/>
          <w:sz w:val="21"/>
          <w:szCs w:val="21"/>
          <w:highlight w:val="none"/>
          <w:lang w:val="en-US" w:eastAsia="zh-CN"/>
        </w:rPr>
        <w:t>404.25t/a</w:t>
      </w:r>
      <w:r>
        <w:rPr>
          <w:rFonts w:ascii="Times New Roman" w:hAnsi="Times New Roman"/>
          <w:color w:val="auto"/>
          <w:szCs w:val="24"/>
          <w:highlight w:val="none"/>
        </w:rPr>
        <w:t>。</w:t>
      </w:r>
    </w:p>
    <w:p>
      <w:pPr>
        <w:pStyle w:val="67"/>
        <w:spacing w:line="240" w:lineRule="auto"/>
        <w:ind w:firstLine="0" w:firstLineChars="0"/>
        <w:jc w:val="center"/>
        <w:rPr>
          <w:rFonts w:ascii="Times New Roman" w:hAnsi="Times New Roman"/>
          <w:b/>
          <w:bCs/>
          <w:color w:val="auto"/>
          <w:szCs w:val="24"/>
          <w:highlight w:val="none"/>
          <w:lang w:val="en-US" w:eastAsia="zh-CN"/>
        </w:rPr>
      </w:pPr>
      <w:r>
        <w:rPr>
          <w:rFonts w:ascii="Times New Roman" w:hAnsi="Times New Roman"/>
          <w:b/>
          <w:bCs/>
          <w:color w:val="auto"/>
          <w:sz w:val="21"/>
          <w:szCs w:val="21"/>
          <w:highlight w:val="none"/>
          <w:lang w:val="en-US" w:eastAsia="zh-CN"/>
        </w:rPr>
        <w:t>表1 排放口参考绩效值表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2166"/>
        <w:gridCol w:w="2166"/>
        <w:gridCol w:w="21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低位热值（MJ/kg）</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12.56</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14.65</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14.55（本项目）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颗粒物（kg/t燃料）</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0.204</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0.228</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0.227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rPr>
              <w:t>（kg/t燃料）</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0.679</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0.759</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0.755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NOx（kg/t燃料）</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2.037</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2.277</w:t>
            </w:r>
          </w:p>
        </w:tc>
        <w:tc>
          <w:tcPr>
            <w:tcW w:w="1250" w:type="pct"/>
            <w:noWrap w:val="0"/>
            <w:vAlign w:val="center"/>
          </w:tcPr>
          <w:p>
            <w:pPr>
              <w:pStyle w:val="146"/>
              <w:keepNext w:val="0"/>
              <w:keepLines w:val="0"/>
              <w:suppressLineNumbers w:val="0"/>
              <w:spacing w:before="0" w:beforeAutospacing="0" w:after="0" w:afterAutospacing="0"/>
              <w:ind w:left="0" w:right="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2.266</w:t>
            </w:r>
          </w:p>
        </w:tc>
      </w:tr>
    </w:tbl>
    <w:p>
      <w:pPr>
        <w:pStyle w:val="146"/>
        <w:keepNext w:val="0"/>
        <w:keepLines w:val="0"/>
        <w:pageBreakBefore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颗粒物核定排放量=R×G×10=</w:t>
      </w:r>
      <w:r>
        <w:rPr>
          <w:rFonts w:hint="default" w:ascii="Times New Roman" w:hAnsi="Times New Roman" w:eastAsia="宋体" w:cs="Times New Roman"/>
          <w:bCs/>
          <w:color w:val="auto"/>
          <w:sz w:val="21"/>
          <w:szCs w:val="21"/>
          <w:highlight w:val="none"/>
          <w:lang w:val="en-US" w:eastAsia="zh-CN"/>
        </w:rPr>
        <w:t>404.25</w:t>
      </w:r>
      <w:r>
        <w:rPr>
          <w:rFonts w:hint="default" w:ascii="Times New Roman" w:hAnsi="Times New Roman" w:eastAsia="宋体" w:cs="Times New Roman"/>
          <w:color w:val="auto"/>
          <w:sz w:val="21"/>
          <w:szCs w:val="21"/>
          <w:highlight w:val="none"/>
        </w:rPr>
        <w:t>/10000×0.227×10=0.</w:t>
      </w:r>
      <w:r>
        <w:rPr>
          <w:rFonts w:hint="eastAsia" w:ascii="Times New Roman" w:hAnsi="Times New Roman" w:eastAsia="宋体" w:cs="Times New Roman"/>
          <w:color w:val="auto"/>
          <w:sz w:val="21"/>
          <w:szCs w:val="21"/>
          <w:highlight w:val="none"/>
          <w:lang w:val="en-US" w:eastAsia="zh-CN"/>
        </w:rPr>
        <w:t>092</w:t>
      </w:r>
      <w:r>
        <w:rPr>
          <w:rFonts w:hint="default" w:ascii="Times New Roman" w:hAnsi="Times New Roman" w:eastAsia="宋体" w:cs="Times New Roman"/>
          <w:color w:val="auto"/>
          <w:sz w:val="21"/>
          <w:szCs w:val="21"/>
          <w:highlight w:val="none"/>
        </w:rPr>
        <w:t>t/a</w:t>
      </w:r>
    </w:p>
    <w:p>
      <w:pPr>
        <w:pStyle w:val="146"/>
        <w:keepNext w:val="0"/>
        <w:keepLines w:val="0"/>
        <w:pageBreakBefore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核定排放量=R×G×10=</w:t>
      </w:r>
      <w:r>
        <w:rPr>
          <w:rFonts w:hint="default" w:ascii="Times New Roman" w:hAnsi="Times New Roman" w:eastAsia="宋体" w:cs="Times New Roman"/>
          <w:bCs/>
          <w:color w:val="auto"/>
          <w:sz w:val="21"/>
          <w:szCs w:val="21"/>
          <w:highlight w:val="none"/>
          <w:lang w:val="en-US" w:eastAsia="zh-CN"/>
        </w:rPr>
        <w:t>404.25</w:t>
      </w:r>
      <w:r>
        <w:rPr>
          <w:rFonts w:hint="default" w:ascii="Times New Roman" w:hAnsi="Times New Roman" w:eastAsia="宋体" w:cs="Times New Roman"/>
          <w:color w:val="auto"/>
          <w:sz w:val="21"/>
          <w:szCs w:val="21"/>
          <w:highlight w:val="none"/>
        </w:rPr>
        <w:t>/10000×0.755×10=0.</w:t>
      </w:r>
      <w:r>
        <w:rPr>
          <w:rFonts w:hint="eastAsia" w:ascii="Times New Roman" w:hAnsi="Times New Roman" w:eastAsia="宋体" w:cs="Times New Roman"/>
          <w:color w:val="auto"/>
          <w:sz w:val="21"/>
          <w:szCs w:val="21"/>
          <w:highlight w:val="none"/>
          <w:lang w:val="en-US" w:eastAsia="zh-CN"/>
        </w:rPr>
        <w:t>305</w:t>
      </w:r>
      <w:r>
        <w:rPr>
          <w:rFonts w:hint="default" w:ascii="Times New Roman" w:hAnsi="Times New Roman" w:eastAsia="宋体" w:cs="Times New Roman"/>
          <w:color w:val="auto"/>
          <w:sz w:val="21"/>
          <w:szCs w:val="21"/>
          <w:highlight w:val="none"/>
        </w:rPr>
        <w:t>t/a</w:t>
      </w:r>
    </w:p>
    <w:p>
      <w:pPr>
        <w:pStyle w:val="146"/>
        <w:keepNext w:val="0"/>
        <w:keepLines w:val="0"/>
        <w:pageBreakBefore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NOx核定排放量=R×G×10=</w:t>
      </w:r>
      <w:r>
        <w:rPr>
          <w:rFonts w:hint="default" w:ascii="Times New Roman" w:hAnsi="Times New Roman" w:eastAsia="宋体" w:cs="Times New Roman"/>
          <w:bCs/>
          <w:color w:val="auto"/>
          <w:sz w:val="21"/>
          <w:szCs w:val="21"/>
          <w:highlight w:val="none"/>
          <w:lang w:val="en-US" w:eastAsia="zh-CN"/>
        </w:rPr>
        <w:t>404.25</w:t>
      </w:r>
      <w:r>
        <w:rPr>
          <w:rFonts w:hint="default" w:ascii="Times New Roman" w:hAnsi="Times New Roman" w:eastAsia="宋体" w:cs="Times New Roman"/>
          <w:color w:val="auto"/>
          <w:sz w:val="21"/>
          <w:szCs w:val="21"/>
          <w:highlight w:val="none"/>
        </w:rPr>
        <w:t>/10000×2.266×10=</w:t>
      </w:r>
      <w:r>
        <w:rPr>
          <w:rFonts w:hint="eastAsia" w:ascii="Times New Roman" w:hAnsi="Times New Roman" w:eastAsia="宋体" w:cs="Times New Roman"/>
          <w:color w:val="auto"/>
          <w:sz w:val="21"/>
          <w:szCs w:val="21"/>
          <w:highlight w:val="none"/>
          <w:lang w:val="en-US" w:eastAsia="zh-CN"/>
        </w:rPr>
        <w:t>0.916</w:t>
      </w:r>
      <w:r>
        <w:rPr>
          <w:rFonts w:hint="default" w:ascii="Times New Roman" w:hAnsi="Times New Roman" w:eastAsia="宋体" w:cs="Times New Roman"/>
          <w:color w:val="auto"/>
          <w:sz w:val="21"/>
          <w:szCs w:val="21"/>
          <w:highlight w:val="none"/>
        </w:rPr>
        <w:t>t/a</w:t>
      </w:r>
    </w:p>
    <w:p>
      <w:pPr>
        <w:pStyle w:val="9"/>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rPr>
        <w:t>二、废水</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综合</w:t>
      </w:r>
      <w:r>
        <w:rPr>
          <w:rFonts w:hint="default" w:ascii="Times New Roman" w:hAnsi="Times New Roman" w:cs="Times New Roman"/>
          <w:color w:val="auto"/>
          <w:sz w:val="21"/>
          <w:szCs w:val="21"/>
          <w:highlight w:val="none"/>
        </w:rPr>
        <w:t>废水排放量为</w:t>
      </w:r>
      <w:r>
        <w:rPr>
          <w:rFonts w:hint="eastAsia" w:ascii="Times New Roman" w:cs="Times New Roman"/>
          <w:color w:val="auto"/>
          <w:sz w:val="21"/>
          <w:szCs w:val="21"/>
          <w:highlight w:val="none"/>
          <w:lang w:val="en-US" w:eastAsia="zh-CN"/>
        </w:rPr>
        <w:t>55749.42</w:t>
      </w:r>
      <w:r>
        <w:rPr>
          <w:rFonts w:hint="default" w:ascii="Times New Roman" w:hAnsi="Times New Roman" w:cs="Times New Roman"/>
          <w:color w:val="auto"/>
          <w:sz w:val="21"/>
          <w:szCs w:val="21"/>
          <w:highlight w:val="none"/>
        </w:rPr>
        <w:t>t/a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其中生活污水及生产废水共</w:t>
      </w:r>
      <w:r>
        <w:rPr>
          <w:rFonts w:hint="eastAsia" w:ascii="Times New Roman" w:cs="Times New Roman"/>
          <w:color w:val="auto"/>
          <w:sz w:val="21"/>
          <w:szCs w:val="21"/>
          <w:highlight w:val="none"/>
          <w:lang w:val="en-US" w:eastAsia="zh-CN"/>
        </w:rPr>
        <w:t>51960</w:t>
      </w:r>
      <w:r>
        <w:rPr>
          <w:rFonts w:hint="default" w:ascii="Times New Roman" w:hAnsi="Times New Roman" w:cs="Times New Roman"/>
          <w:color w:val="auto"/>
          <w:sz w:val="21"/>
          <w:szCs w:val="21"/>
          <w:highlight w:val="none"/>
        </w:rPr>
        <w:t>t/a；</w:t>
      </w:r>
      <w:r>
        <w:rPr>
          <w:rFonts w:hint="default" w:ascii="Times New Roman" w:hAnsi="Times New Roman" w:cs="Times New Roman"/>
          <w:color w:val="auto"/>
          <w:sz w:val="21"/>
          <w:szCs w:val="21"/>
          <w:highlight w:val="none"/>
          <w:lang w:val="en-US" w:eastAsia="zh-CN"/>
        </w:rPr>
        <w:t>综合废水</w:t>
      </w:r>
      <w:r>
        <w:rPr>
          <w:rFonts w:hint="default" w:ascii="Times New Roman" w:hAnsi="Times New Roman" w:cs="Times New Roman"/>
          <w:color w:val="auto"/>
          <w:sz w:val="21"/>
          <w:szCs w:val="21"/>
          <w:highlight w:val="none"/>
        </w:rPr>
        <w:t>经过</w:t>
      </w:r>
      <w:r>
        <w:rPr>
          <w:rFonts w:hint="default" w:ascii="Times New Roman" w:hAnsi="Times New Roman" w:cs="Times New Roman"/>
          <w:color w:val="auto"/>
          <w:sz w:val="21"/>
          <w:szCs w:val="21"/>
          <w:highlight w:val="none"/>
          <w:lang w:val="en-US" w:eastAsia="zh-CN"/>
        </w:rPr>
        <w:t>厂区污水处理站（气浮+AO+MBR+消毒）</w:t>
      </w:r>
      <w:r>
        <w:rPr>
          <w:rFonts w:hint="default" w:ascii="Times New Roman" w:hAnsi="Times New Roman" w:cs="Times New Roman"/>
          <w:color w:val="auto"/>
          <w:sz w:val="21"/>
          <w:szCs w:val="21"/>
          <w:highlight w:val="none"/>
        </w:rPr>
        <w:t>处理后，满足《肉类加工工业水污染物排放标准》（GB13457-92）表3中“肉制品加工”表3中三级标准</w:t>
      </w:r>
      <w:r>
        <w:rPr>
          <w:rFonts w:hint="eastAsia" w:ascii="Times New Roman" w:cs="Times New Roman"/>
          <w:color w:val="auto"/>
          <w:sz w:val="21"/>
          <w:szCs w:val="21"/>
          <w:highlight w:val="none"/>
          <w:lang w:val="en-US" w:eastAsia="zh-CN"/>
        </w:rPr>
        <w:t>及污水厂进水指标</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双城</w:t>
      </w:r>
      <w:r>
        <w:rPr>
          <w:rFonts w:hint="default" w:ascii="Times New Roman" w:hAnsi="Times New Roman" w:cs="Times New Roman"/>
          <w:color w:val="auto"/>
          <w:sz w:val="21"/>
          <w:szCs w:val="21"/>
          <w:highlight w:val="none"/>
        </w:rPr>
        <w:t>污水处理厂处理</w:t>
      </w:r>
      <w:r>
        <w:rPr>
          <w:rFonts w:hint="default" w:ascii="Times New Roman" w:hAnsi="Times New Roman" w:cs="Times New Roman"/>
          <w:color w:val="auto"/>
          <w:sz w:val="21"/>
          <w:szCs w:val="21"/>
          <w:highlight w:val="none"/>
          <w:lang w:val="en-US" w:eastAsia="zh-CN"/>
        </w:rPr>
        <w:t>达标</w:t>
      </w:r>
      <w:r>
        <w:rPr>
          <w:rFonts w:hint="default" w:ascii="Times New Roman" w:hAnsi="Times New Roman" w:cs="Times New Roman"/>
          <w:color w:val="auto"/>
          <w:sz w:val="21"/>
          <w:szCs w:val="21"/>
          <w:highlight w:val="none"/>
        </w:rPr>
        <w:t>后排入</w:t>
      </w:r>
      <w:r>
        <w:rPr>
          <w:rFonts w:hint="default" w:ascii="Times New Roman" w:hAnsi="Times New Roman" w:cs="Times New Roman"/>
          <w:color w:val="auto"/>
          <w:sz w:val="21"/>
          <w:szCs w:val="21"/>
          <w:highlight w:val="none"/>
          <w:lang w:val="en-US" w:eastAsia="zh-CN"/>
        </w:rPr>
        <w:t>拉林河</w:t>
      </w:r>
      <w:r>
        <w:rPr>
          <w:rFonts w:hint="default" w:ascii="Times New Roman" w:hAnsi="Times New Roman" w:cs="Times New Roman"/>
          <w:color w:val="auto"/>
          <w:sz w:val="21"/>
          <w:szCs w:val="21"/>
          <w:highlight w:val="none"/>
        </w:rPr>
        <w:t>。</w:t>
      </w:r>
    </w:p>
    <w:p>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COD核定排放量=</w:t>
      </w:r>
      <w:r>
        <w:rPr>
          <w:rFonts w:hint="eastAsia" w:ascii="Times New Roman" w:cs="Times New Roman"/>
          <w:color w:val="auto"/>
          <w:sz w:val="21"/>
          <w:szCs w:val="21"/>
          <w:highlight w:val="none"/>
          <w:lang w:val="en-US" w:eastAsia="zh-CN"/>
        </w:rPr>
        <w:t>55749.42</w:t>
      </w:r>
      <w:r>
        <w:rPr>
          <w:rFonts w:hint="default" w:ascii="Times New Roman" w:hAnsi="Times New Roman" w:cs="Times New Roman"/>
          <w:color w:val="auto"/>
          <w:sz w:val="21"/>
          <w:szCs w:val="21"/>
          <w:highlight w:val="none"/>
        </w:rPr>
        <w:t>t/a</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50</w:t>
      </w:r>
      <w:r>
        <w:rPr>
          <w:rFonts w:hint="default" w:ascii="Times New Roman" w:hAnsi="Times New Roman" w:cs="Times New Roman"/>
          <w:bCs/>
          <w:color w:val="auto"/>
          <w:sz w:val="21"/>
          <w:szCs w:val="21"/>
          <w:highlight w:val="none"/>
        </w:rPr>
        <w:t>0mg/L×10</w:t>
      </w:r>
      <w:r>
        <w:rPr>
          <w:rFonts w:hint="default" w:ascii="Times New Roman" w:hAnsi="Times New Roman" w:cs="Times New Roman"/>
          <w:bCs/>
          <w:color w:val="auto"/>
          <w:sz w:val="21"/>
          <w:szCs w:val="21"/>
          <w:highlight w:val="none"/>
          <w:vertAlign w:val="superscript"/>
        </w:rPr>
        <w:t>-6</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2</w:t>
      </w:r>
      <w:r>
        <w:rPr>
          <w:rFonts w:hint="eastAsia" w:cs="Times New Roman"/>
          <w:bCs/>
          <w:color w:val="auto"/>
          <w:sz w:val="21"/>
          <w:szCs w:val="21"/>
          <w:highlight w:val="none"/>
          <w:lang w:val="en-US" w:eastAsia="zh-CN"/>
        </w:rPr>
        <w:t>7.87</w:t>
      </w:r>
      <w:r>
        <w:rPr>
          <w:rFonts w:hint="default" w:ascii="Times New Roman" w:hAnsi="Times New Roman" w:cs="Times New Roman"/>
          <w:bCs/>
          <w:color w:val="auto"/>
          <w:sz w:val="21"/>
          <w:szCs w:val="21"/>
          <w:highlight w:val="none"/>
        </w:rPr>
        <w:t>t/a</w:t>
      </w:r>
      <w:r>
        <w:rPr>
          <w:rFonts w:hint="default" w:ascii="Times New Roman" w:hAnsi="Times New Roman" w:cs="Times New Roman"/>
          <w:bCs/>
          <w:color w:val="auto"/>
          <w:sz w:val="21"/>
          <w:szCs w:val="21"/>
          <w:highlight w:val="none"/>
          <w:lang w:eastAsia="zh-CN"/>
        </w:rPr>
        <w:t>。</w:t>
      </w:r>
    </w:p>
    <w:p>
      <w:pPr>
        <w:pStyle w:val="124"/>
        <w:keepNext w:val="0"/>
        <w:keepLines w:val="0"/>
        <w:pageBreakBefore w:val="0"/>
        <w:kinsoku/>
        <w:wordWrap/>
        <w:overflowPunct/>
        <w:topLinePunct w:val="0"/>
        <w:autoSpaceDE/>
        <w:autoSpaceDN/>
        <w:bidi w:val="0"/>
        <w:spacing w:line="360" w:lineRule="auto"/>
        <w:ind w:firstLine="420" w:firstLineChars="200"/>
        <w:textAlignment w:val="auto"/>
        <w:rPr>
          <w:rFonts w:hint="eastAsia"/>
          <w:b/>
          <w:bCs/>
          <w:color w:val="auto"/>
          <w:highlight w:val="none"/>
          <w:lang w:val="en-US" w:eastAsia="zh-CN"/>
        </w:rPr>
      </w:pPr>
      <w:r>
        <w:rPr>
          <w:rFonts w:hint="default" w:ascii="Times New Roman" w:hAnsi="Times New Roman" w:cs="Times New Roman"/>
          <w:color w:val="auto"/>
          <w:sz w:val="21"/>
          <w:szCs w:val="21"/>
          <w:highlight w:val="none"/>
        </w:rPr>
        <w:t>氨氮核定排放量=</w:t>
      </w:r>
      <w:r>
        <w:rPr>
          <w:rFonts w:hint="eastAsia" w:ascii="Times New Roman" w:cs="Times New Roman"/>
          <w:color w:val="auto"/>
          <w:sz w:val="21"/>
          <w:szCs w:val="21"/>
          <w:highlight w:val="none"/>
          <w:lang w:val="en-US" w:eastAsia="zh-CN"/>
        </w:rPr>
        <w:t>55749.42</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35</w:t>
      </w:r>
      <w:r>
        <w:rPr>
          <w:rFonts w:hint="default" w:ascii="Times New Roman" w:hAnsi="Times New Roman" w:cs="Times New Roman"/>
          <w:color w:val="auto"/>
          <w:sz w:val="21"/>
          <w:szCs w:val="21"/>
          <w:highlight w:val="none"/>
        </w:rPr>
        <w:t>mg/L×10</w:t>
      </w:r>
      <w:r>
        <w:rPr>
          <w:rFonts w:hint="default" w:ascii="Times New Roman" w:hAnsi="Times New Roman" w:cs="Times New Roman"/>
          <w:color w:val="auto"/>
          <w:sz w:val="21"/>
          <w:szCs w:val="21"/>
          <w:highlight w:val="none"/>
          <w:vertAlign w:val="superscript"/>
        </w:rPr>
        <w:t>-6</w:t>
      </w:r>
      <w:r>
        <w:rPr>
          <w:rFonts w:hint="default" w:ascii="Times New Roman" w:hAnsi="Times New Roman" w:cs="Times New Roman"/>
          <w:color w:val="auto"/>
          <w:sz w:val="21"/>
          <w:szCs w:val="21"/>
          <w:highlight w:val="none"/>
        </w:rPr>
        <w:t>=</w:t>
      </w:r>
      <w:bookmarkStart w:id="16" w:name="_Toc219"/>
      <w:r>
        <w:rPr>
          <w:rFonts w:hint="eastAsia" w:cs="Times New Roman"/>
          <w:color w:val="auto"/>
          <w:sz w:val="21"/>
          <w:szCs w:val="21"/>
          <w:highlight w:val="none"/>
          <w:lang w:val="en-US" w:eastAsia="zh-CN"/>
        </w:rPr>
        <w:t>1.95</w:t>
      </w:r>
      <w:r>
        <w:rPr>
          <w:rFonts w:hint="default" w:ascii="Times New Roman" w:hAnsi="Times New Roman" w:cs="Times New Roman"/>
          <w:color w:val="auto"/>
          <w:sz w:val="21"/>
          <w:szCs w:val="21"/>
          <w:highlight w:val="none"/>
        </w:rPr>
        <w:t>t/a。</w:t>
      </w:r>
    </w:p>
    <w:p>
      <w:pPr>
        <w:rPr>
          <w:rFonts w:hint="eastAsia"/>
          <w:b/>
          <w:bCs/>
          <w:color w:val="auto"/>
          <w:highlight w:val="none"/>
          <w:lang w:val="en-US" w:eastAsia="zh-CN"/>
        </w:rPr>
      </w:pPr>
      <w:r>
        <w:rPr>
          <w:rFonts w:hint="eastAsia"/>
          <w:b/>
          <w:bCs/>
          <w:color w:val="auto"/>
          <w:highlight w:val="none"/>
          <w:lang w:val="en-US" w:eastAsia="zh-CN"/>
        </w:rPr>
        <w:br w:type="page"/>
      </w:r>
    </w:p>
    <w:p>
      <w:pPr>
        <w:pStyle w:val="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 xml:space="preserve">附件6 </w:t>
      </w:r>
      <w:r>
        <w:rPr>
          <w:rFonts w:hint="default" w:ascii="Times New Roman" w:hAnsi="Times New Roman" w:eastAsia="宋体" w:cs="Times New Roman"/>
          <w:b/>
          <w:bCs/>
          <w:color w:val="auto"/>
          <w:kern w:val="0"/>
          <w:sz w:val="21"/>
          <w:szCs w:val="21"/>
          <w:highlight w:val="none"/>
          <w:lang w:val="en-US" w:eastAsia="zh-CN" w:bidi="ar-SA"/>
        </w:rPr>
        <w:t>黑环函【2013】271号</w:t>
      </w:r>
    </w:p>
    <w:p>
      <w:pP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63210" cy="7373620"/>
            <wp:effectExtent l="0" t="0" r="8890" b="17780"/>
            <wp:docPr id="45" name="图片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
                    <pic:cNvPicPr>
                      <a:picLocks noChangeAspect="1"/>
                    </pic:cNvPicPr>
                  </pic:nvPicPr>
                  <pic:blipFill>
                    <a:blip r:embed="rId49"/>
                    <a:stretch>
                      <a:fillRect/>
                    </a:stretch>
                  </pic:blipFill>
                  <pic:spPr>
                    <a:xfrm>
                      <a:off x="0" y="0"/>
                      <a:ext cx="5363210" cy="7373620"/>
                    </a:xfrm>
                    <a:prstGeom prst="rect">
                      <a:avLst/>
                    </a:prstGeom>
                  </pic:spPr>
                </pic:pic>
              </a:graphicData>
            </a:graphic>
          </wp:inline>
        </w:drawing>
      </w:r>
    </w:p>
    <w:p>
      <w:pPr>
        <w:pStyle w:val="42"/>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63210" cy="7373620"/>
            <wp:effectExtent l="0" t="0" r="8890" b="17780"/>
            <wp:docPr id="46" name="图片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
                    <pic:cNvPicPr>
                      <a:picLocks noChangeAspect="1"/>
                    </pic:cNvPicPr>
                  </pic:nvPicPr>
                  <pic:blipFill>
                    <a:blip r:embed="rId50"/>
                    <a:stretch>
                      <a:fillRect/>
                    </a:stretch>
                  </pic:blipFill>
                  <pic:spPr>
                    <a:xfrm>
                      <a:off x="0" y="0"/>
                      <a:ext cx="5363210" cy="7373620"/>
                    </a:xfrm>
                    <a:prstGeom prst="rect">
                      <a:avLst/>
                    </a:prstGeom>
                  </pic:spPr>
                </pic:pic>
              </a:graphicData>
            </a:graphic>
          </wp:inline>
        </w:drawing>
      </w:r>
    </w:p>
    <w:p>
      <w:pPr>
        <w:pStyle w:val="25"/>
        <w:ind w:left="0" w:leftChars="0" w:firstLine="0" w:firstLineChars="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63210" cy="7373620"/>
            <wp:effectExtent l="0" t="0" r="8890" b="17780"/>
            <wp:docPr id="47" name="图片 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
                    <pic:cNvPicPr>
                      <a:picLocks noChangeAspect="1"/>
                    </pic:cNvPicPr>
                  </pic:nvPicPr>
                  <pic:blipFill>
                    <a:blip r:embed="rId51"/>
                    <a:stretch>
                      <a:fillRect/>
                    </a:stretch>
                  </pic:blipFill>
                  <pic:spPr>
                    <a:xfrm>
                      <a:off x="0" y="0"/>
                      <a:ext cx="5363210" cy="7373620"/>
                    </a:xfrm>
                    <a:prstGeom prst="rect">
                      <a:avLst/>
                    </a:prstGeom>
                  </pic:spPr>
                </pic:pic>
              </a:graphicData>
            </a:graphic>
          </wp:inline>
        </w:drawing>
      </w:r>
    </w:p>
    <w:p>
      <w:pPr>
        <w:pStyle w:val="42"/>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363210" cy="7373620"/>
            <wp:effectExtent l="0" t="0" r="8890" b="17780"/>
            <wp:docPr id="51" name="图片 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4"/>
                    <pic:cNvPicPr>
                      <a:picLocks noChangeAspect="1"/>
                    </pic:cNvPicPr>
                  </pic:nvPicPr>
                  <pic:blipFill>
                    <a:blip r:embed="rId52"/>
                    <a:stretch>
                      <a:fillRect/>
                    </a:stretch>
                  </pic:blipFill>
                  <pic:spPr>
                    <a:xfrm>
                      <a:off x="0" y="0"/>
                      <a:ext cx="5363210" cy="7373620"/>
                    </a:xfrm>
                    <a:prstGeom prst="rect">
                      <a:avLst/>
                    </a:prstGeom>
                  </pic:spPr>
                </pic:pic>
              </a:graphicData>
            </a:graphic>
          </wp:inline>
        </w:drawing>
      </w:r>
    </w:p>
    <w:p>
      <w:pPr>
        <w:pStyle w:val="25"/>
        <w:ind w:left="0" w:leftChars="0" w:firstLine="0" w:firstLineChars="0"/>
        <w:rPr>
          <w:rFonts w:hint="default"/>
          <w:color w:val="auto"/>
          <w:highlight w:val="none"/>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pPr>
        <w:spacing w:line="240" w:lineRule="auto"/>
        <w:jc w:val="center"/>
        <w:outlineLvl w:val="9"/>
        <w:rPr>
          <w:rFonts w:hint="eastAsia" w:eastAsia="宋体"/>
          <w:color w:val="auto"/>
          <w:highlight w:val="none"/>
          <w:lang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5449570</wp:posOffset>
                </wp:positionH>
                <wp:positionV relativeFrom="paragraph">
                  <wp:posOffset>1399540</wp:posOffset>
                </wp:positionV>
                <wp:extent cx="773430" cy="328930"/>
                <wp:effectExtent l="4445" t="4445" r="269875" b="257175"/>
                <wp:wrapNone/>
                <wp:docPr id="28" name="圆角矩形标注 28"/>
                <wp:cNvGraphicFramePr/>
                <a:graphic xmlns:a="http://schemas.openxmlformats.org/drawingml/2006/main">
                  <a:graphicData uri="http://schemas.microsoft.com/office/word/2010/wordprocessingShape">
                    <wps:wsp>
                      <wps:cNvSpPr/>
                      <wps:spPr>
                        <a:xfrm>
                          <a:off x="0" y="0"/>
                          <a:ext cx="773430" cy="328930"/>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429.1pt;margin-top:110.2pt;height:25.9pt;width:60.9pt;z-index:251667456;mso-width-relative:page;mso-height-relative:page;" fillcolor="#FFFFFF" filled="t" stroked="t" coordsize="21600,21600" o:gfxdata="UEsDBAoAAAAAAIdO4kAAAAAAAAAAAAAAAAAEAAAAZHJzL1BLAwQUAAAACACHTuJArWnDhNkAAAAL&#10;AQAADwAAAGRycy9kb3ducmV2LnhtbE2P3U7DMAxG75F4h8iTuGPJIn6y0nRCSIAQQoixB8gar63W&#10;OKXJuvH2mCu4tH30+Xzl6hR6MeGYukgWFnMFAqmOvqPGwubz8dKASNmRd30ktPCNCVbV+VnpCh+P&#10;9IHTOjeCQygVzkKb81BImeoWg0vzOCDxbRfH4DKPYyP96I4cHnqplbqRwXXEH1o34EOL9X59CBaW&#10;zStOE23un77Q1M/hbVIvu3drL2YLdQci4yn/wfCrz+pQsdM2Hsgn0Vsw10YzakFrdQWCiaVR3G7L&#10;m1utQVal/N+h+gFQSwMEFAAAAAgAh07iQIwlihxYAgAAywQAAA4AAABkcnMvZTJvRG9jLnhtbK1U&#10;y3LTMBTdM8M/aLQnTuw2STNxumgIGwY6LXyAYsm2GL1GUmLnB2DPmhk6bIA1az6nhc/gSjFp0rLI&#10;Ai/sK+nq6Jxzrzw9b6VAa2Yd1yrHg14fI6YKTbmqcvz2zeLZGCPniaJEaMVyvGEOn8+ePpk2ZsJS&#10;XWtBmUUAotykMTmuvTeTJHFFzSRxPW2YgsVSW0k8DG2VUEsaQJciSfv9YdJoS43VBXMOZufbRdwh&#10;2mMAdVnygs11sZJM+S2qZYJ4kORqbhyeRbZlyQr/uiwd80jkGJT6+IZDIF6GdzKbkkllial50VEg&#10;x1B4oEkSruDQHdSceIJWlj+Ckryw2unS9wotk62Q6AioGPQfeHNdE8OiFrDamZ3p7v/BFq/WlxZx&#10;muMU6q6IhIrffnr/++vHX5+/3/78cnfz4e7HNwSL4FRj3AQ2XJtL240chEF2W1oZviAItdHdzc5d&#10;1npUwORolJ1k4HsBS1k6PoMYUJL7zcY6/4JpiUKQ44bRil3plaJXUMYLIoRe+WgyWb90PrpNO8qE&#10;vhtgVEoBxVsTgUbj9CTriruXk+7nDAajNBs9TsoOkobDYcwBnt2xEP1lGjg4LThdcCHiwFbLC2ER&#10;cMjxIj6dyIM0oVCT47PT9BTsIHCJSmheCKWBQjhVRZUHO9w+cD8+/wIOxObE1VsCEWErUHLPbGz2&#10;mhH6XFHkNwZqreCO40BGMoqRYPBLCFHM9ISLYzLBEKGCehYvHNQm1DU0y7Y9QuTbZQuzIVxquoGe&#10;WxnLqxrqPIhCwgr0eGyI7j6GS7Q/jqD3/6D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1pw4TZ&#10;AAAACwEAAA8AAAAAAAAAAQAgAAAAIgAAAGRycy9kb3ducmV2LnhtbFBLAQIUABQAAAAIAIdO4kCM&#10;JYocWAIAAMsEAAAOAAAAAAAAAAEAIAAAACgBAABkcnMvZTJvRG9jLnhtbFBLBQYAAAAABgAGAFkB&#10;AADyBQAAAAA=&#10;" adj="27700,36123,14400">
                <v:fill on="t" focussize="0,0"/>
                <v:stroke color="#000000" joinstyle="miter"/>
                <v:imagedata o:title=""/>
                <o:lock v:ext="edit" aspectratio="f"/>
                <v:textbox>
                  <w:txbxContent>
                    <w:p>
                      <w:pPr>
                        <w:rPr>
                          <w:rFonts w:ascii="Calibri" w:hAnsi="Calibri"/>
                        </w:rPr>
                      </w:pPr>
                      <w:r>
                        <w:rPr>
                          <w:rFonts w:ascii="Calibri" w:hAnsi="Calibri"/>
                        </w:rPr>
                        <w:t>项目</w:t>
                      </w:r>
                      <w:r>
                        <w:rPr>
                          <w:rFonts w:hint="eastAsia" w:ascii="Calibri" w:hAnsi="Calibri"/>
                        </w:rPr>
                        <w:t>位置</w:t>
                      </w:r>
                    </w:p>
                  </w:txbxContent>
                </v:textbox>
              </v:shape>
            </w:pict>
          </mc:Fallback>
        </mc:AlternateContent>
      </w:r>
      <w:r>
        <w:rPr>
          <w:rFonts w:hint="default" w:ascii="Times New Roman" w:hAnsi="Times New Roman" w:cs="Times New Roman"/>
          <w:b/>
          <w:bCs/>
          <w:color w:val="auto"/>
          <w:highlight w:val="none"/>
        </w:rPr>
        <w:drawing>
          <wp:anchor distT="0" distB="0" distL="114300" distR="114300" simplePos="0" relativeHeight="251665408" behindDoc="0" locked="0" layoutInCell="1" allowOverlap="1">
            <wp:simplePos x="0" y="0"/>
            <wp:positionH relativeFrom="column">
              <wp:posOffset>8242300</wp:posOffset>
            </wp:positionH>
            <wp:positionV relativeFrom="paragraph">
              <wp:posOffset>118110</wp:posOffset>
            </wp:positionV>
            <wp:extent cx="412750" cy="689610"/>
            <wp:effectExtent l="0" t="0" r="6350" b="15240"/>
            <wp:wrapNone/>
            <wp:docPr id="2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12750" cy="689610"/>
                    </a:xfrm>
                    <a:prstGeom prst="rect">
                      <a:avLst/>
                    </a:prstGeom>
                    <a:noFill/>
                    <a:ln>
                      <a:noFill/>
                    </a:ln>
                  </pic:spPr>
                </pic:pic>
              </a:graphicData>
            </a:graphic>
          </wp:anchor>
        </w:drawing>
      </w:r>
      <w:r>
        <w:rPr>
          <w:rFonts w:hint="eastAsia" w:eastAsia="宋体"/>
          <w:color w:val="auto"/>
          <w:highlight w:val="none"/>
          <w:lang w:eastAsia="zh-CN"/>
        </w:rPr>
        <w:drawing>
          <wp:inline distT="0" distB="0" distL="114300" distR="114300">
            <wp:extent cx="8710295" cy="4632325"/>
            <wp:effectExtent l="0" t="0" r="14605" b="15875"/>
            <wp:docPr id="14" name="图片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
                    <pic:cNvPicPr>
                      <a:picLocks noChangeAspect="1"/>
                    </pic:cNvPicPr>
                  </pic:nvPicPr>
                  <pic:blipFill>
                    <a:blip r:embed="rId54"/>
                    <a:stretch>
                      <a:fillRect/>
                    </a:stretch>
                  </pic:blipFill>
                  <pic:spPr>
                    <a:xfrm>
                      <a:off x="0" y="0"/>
                      <a:ext cx="8710295" cy="4632325"/>
                    </a:xfrm>
                    <a:prstGeom prst="rect">
                      <a:avLst/>
                    </a:prstGeom>
                  </pic:spPr>
                </pic:pic>
              </a:graphicData>
            </a:graphic>
          </wp:inline>
        </w:drawing>
      </w:r>
    </w:p>
    <w:p>
      <w:pPr>
        <w:pStyle w:val="5"/>
        <w:jc w:val="center"/>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7084695</wp:posOffset>
                </wp:positionH>
                <wp:positionV relativeFrom="paragraph">
                  <wp:posOffset>4326890</wp:posOffset>
                </wp:positionV>
                <wp:extent cx="777240" cy="662940"/>
                <wp:effectExtent l="4445" t="4445" r="18415" b="18415"/>
                <wp:wrapNone/>
                <wp:docPr id="5" name="文本框 5"/>
                <wp:cNvGraphicFramePr/>
                <a:graphic xmlns:a="http://schemas.openxmlformats.org/drawingml/2006/main">
                  <a:graphicData uri="http://schemas.microsoft.com/office/word/2010/wordprocessingShape">
                    <wps:wsp>
                      <wps:cNvSpPr txBox="1"/>
                      <wps:spPr>
                        <a:xfrm>
                          <a:off x="8248015" y="5607050"/>
                          <a:ext cx="777240" cy="662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图例</w:t>
                            </w:r>
                          </w:p>
                          <w:p>
                            <w:pPr>
                              <w:jc w:val="center"/>
                            </w:pPr>
                            <w:r>
                              <w:rPr>
                                <w:rFonts w:hint="eastAsia"/>
                                <w:color w:val="FF0000"/>
                              </w:rPr>
                              <w:t>★</w:t>
                            </w:r>
                          </w:p>
                          <w:p>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85pt;margin-top:340.7pt;height:52.2pt;width:61.2pt;z-index:251664384;mso-width-relative:page;mso-height-relative:page;" fillcolor="#FFFFFF [3201]" filled="t" stroked="t" coordsize="21600,21600" o:gfxdata="UEsDBAoAAAAAAIdO4kAAAAAAAAAAAAAAAAAEAAAAZHJzL1BLAwQUAAAACACHTuJATD52X9kAAAAN&#10;AQAADwAAAGRycy9kb3ducmV2LnhtbE2PwU7DMBBE70j8g7VI3KjjhKZWGqcSSEiIGyUXbm68TaLa&#10;6yh2m/L3uCc4jvZp5m29uzrLLjiH0ZMCscqAIXXejNQraL/eniSwEDUZbT2hgh8MsGvu72pdGb/Q&#10;J172sWephEKlFQwxThXnoRvQ6bDyE1K6Hf3sdExx7rmZ9ZLKneV5lpXc6ZHSwqAnfB2wO+3PTsF7&#10;+RK/sTUfpsgLv7S8m482KPX4ILItsIjX+AfDTT+pQ5OcDv5MJjCbshDrTWIVlFI8A7sheSEFsIOC&#10;jVxL4E3N/3/R/AJQSwMEFAAAAAgAh07iQFC1YjtfAgAAwgQAAA4AAABkcnMvZTJvRG9jLnhtbK1U&#10;zW4TMRC+I/EOlu90NyF/jbKpQqsgpIpWKoiz4/VmLWyPsZ3slgeAN+DEhTvP1edg7N2kpeXQAzk4&#10;Y8+nb2a+mdnFWasV2QvnJZiCDk5ySoThUEqzLejHD+tXM0p8YKZkCowo6K3w9Gz58sWisXMxhBpU&#10;KRxBEuPnjS1oHYKdZ5nntdDMn4AVBp0VOM0CXt02Kx1rkF2rbJjnk6wBV1oHXHiPrxedk/aM7jmE&#10;UFWSiwvgOy1M6FidUCxgSb6W1tNlyraqBA9XVeVFIKqgWGlIJwZBexPPbLlg861jtpa8T4E9J4VH&#10;NWkmDQY9Ul2wwMjOySdUWnIHHqpwwkFnXSFJEaxikD/S5qZmVqRaUGpvj6L7/0fL3++vHZFlQceU&#10;GKax4Xc/vt/9/H336xsZR3ka6+eIurGIC+0baHFoDu8eH2PVbeV0/Md6CPpnw9EsHyDhLdJO8mk+&#10;7oUWbSAcAdPpdDjCFnAETCbDU7QxUnZPZJ0PbwVoEo2COuxjkpftL33ooAdIjOtByXItlUoXt92c&#10;K0f2DHu+Tr+e/S+YMqTB6K8xtycUkftIsVGMf37KgNkqg0lHfTodohXaTduLtoHyFjVz0A2dt3wt&#10;kfeS+XDNHE4ZCoB7GK7wqBRgMtBblNTgvv7rPeKx+eilpMGpLaj/smNOUKLeGRyL08Eo6hrSZTSe&#10;DvHiHno2Dz1mp88BRRrgxluezIgP6mBWDvQnXNdVjIouZjjGLmg4mOeh2yVcdy5WqwTCwbYsXJob&#10;yyN1FNfAahegkql1UaZOm149HO3U/H4N4+48vCfU/adn+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PnZf2QAAAA0BAAAPAAAAAAAAAAEAIAAAACIAAABkcnMvZG93bnJldi54bWxQSwECFAAUAAAA&#10;CACHTuJAULViO18CAADCBAAADgAAAAAAAAABACAAAAAoAQAAZHJzL2Uyb0RvYy54bWxQSwUGAAAA&#10;AAYABgBZAQAA+QUAAAAA&#10;">
                <v:fill on="t" focussize="0,0"/>
                <v:stroke weight="0.5pt" color="#000000 [3204]" joinstyle="round"/>
                <v:imagedata o:title=""/>
                <o:lock v:ext="edit" aspectratio="f"/>
                <v:textbox>
                  <w:txbxContent>
                    <w:p>
                      <w:pPr>
                        <w:jc w:val="center"/>
                      </w:pPr>
                      <w:r>
                        <w:rPr>
                          <w:rFonts w:hint="eastAsia"/>
                        </w:rPr>
                        <w:t>图例</w:t>
                      </w:r>
                    </w:p>
                    <w:p>
                      <w:pPr>
                        <w:jc w:val="center"/>
                      </w:pPr>
                      <w:r>
                        <w:rPr>
                          <w:rFonts w:hint="eastAsia"/>
                          <w:color w:val="FF0000"/>
                        </w:rPr>
                        <w:t>★</w:t>
                      </w:r>
                    </w:p>
                    <w:p>
                      <w:pPr>
                        <w:jc w:val="center"/>
                      </w:pPr>
                      <w:r>
                        <w:rPr>
                          <w:rFonts w:hint="eastAsia"/>
                        </w:rPr>
                        <w:t>项目位置</w:t>
                      </w:r>
                    </w:p>
                  </w:txbxContent>
                </v:textbox>
              </v:shape>
            </w:pict>
          </mc:Fallback>
        </mc:AlternateContent>
      </w:r>
    </w:p>
    <w:bookmarkEnd w:id="16"/>
    <w:p>
      <w:pPr>
        <w:pStyle w:val="5"/>
        <w:keepNext/>
        <w:keepLines w:val="0"/>
        <w:pageBreakBefore w:val="0"/>
        <w:widowControl w:val="0"/>
        <w:kinsoku/>
        <w:wordWrap/>
        <w:overflowPunct w:val="0"/>
        <w:topLinePunct w:val="0"/>
        <w:autoSpaceDE/>
        <w:autoSpaceDN/>
        <w:bidi w:val="0"/>
        <w:adjustRightInd/>
        <w:snapToGrid w:val="0"/>
        <w:spacing w:line="260" w:lineRule="auto"/>
        <w:ind w:left="0" w:firstLine="0"/>
        <w:jc w:val="center"/>
        <w:textAlignment w:val="auto"/>
        <w:rPr>
          <w:rFonts w:hint="eastAsia" w:eastAsia="宋体"/>
          <w:color w:val="auto"/>
          <w:sz w:val="21"/>
          <w:szCs w:val="21"/>
          <w:highlight w:val="none"/>
          <w:lang w:eastAsia="zh-CN"/>
        </w:rPr>
      </w:pPr>
      <w:r>
        <w:rPr>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7378065</wp:posOffset>
                </wp:positionH>
                <wp:positionV relativeFrom="paragraph">
                  <wp:posOffset>4408805</wp:posOffset>
                </wp:positionV>
                <wp:extent cx="106680" cy="96520"/>
                <wp:effectExtent l="9525" t="9525" r="17145" b="27305"/>
                <wp:wrapNone/>
                <wp:docPr id="10" name="矩形 10"/>
                <wp:cNvGraphicFramePr/>
                <a:graphic xmlns:a="http://schemas.openxmlformats.org/drawingml/2006/main">
                  <a:graphicData uri="http://schemas.microsoft.com/office/word/2010/wordprocessingShape">
                    <wps:wsp>
                      <wps:cNvSpPr/>
                      <wps:spPr>
                        <a:xfrm>
                          <a:off x="0" y="0"/>
                          <a:ext cx="106680" cy="96520"/>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0.95pt;margin-top:347.15pt;height:7.6pt;width:8.4pt;z-index:251669504;v-text-anchor:middle;mso-width-relative:page;mso-height-relative:page;" filled="f" stroked="t" coordsize="21600,21600" o:gfxdata="UEsDBAoAAAAAAIdO4kAAAAAAAAAAAAAAAAAEAAAAZHJzL1BLAwQUAAAACACHTuJAEJSiK9kAAAAN&#10;AQAADwAAAGRycy9kb3ducmV2LnhtbE2Py07DMBBF90j8gzVI7KhtHnkRpxKVWLIggBC7aezGEfE4&#10;it0m/D3uCpZXc3TvmXq7upGdzBwGTwrkRgAz1Hk9UK/g/e35pgAWIpLG0ZNR8GMCbJvLixor7Rd6&#10;Nac29iyVUKhQgY1xqjgPnTUOw8ZPhtLt4GeHMcW553rGJZW7kd8KkXGHA6UFi5PZWdN9t0en4Iv8&#10;rvjw+ZNdy0OPy0vbZZ+tUtdXUjwCi2aNfzCc9ZM6NMlp74+kAxtTlpksE6sgK+/vgJ0RmRc5sL2C&#10;XJQPwJua//+i+QVQSwMEFAAAAAgAh07iQK+pou5aAgAAtAQAAA4AAABkcnMvZTJvRG9jLnhtbK1U&#10;zW4TMRC+I/EOlu90k6gNJGpSRY2KkCpaqSDOjtfOruQ/xk425WWQuPEQPA7iNfjs3f5QOPTAZTP2&#10;jL+Z+eabnJ4drGF7RbH1bsHHRyPOlJO+bt12wT9+uHj1hrOYhKuF8U4t+K2K/Gz58sVpF+Zq4htv&#10;akUMIC7Ou7DgTUphXlVRNsqKeOSDcnBqT1YkHGlb1SQ6oFtTTUajadV5qgN5qWLE7bp38gGRngPo&#10;tW6lWnu5s8qlHpWUEQktxaYNkS9LtVorma60jioxs+DoNJUvksDe5G+1PBXzLYnQtHIoQTynhCc9&#10;WdE6JL2HWosk2I7av6BsK8lHr9OR9LbqGymMoIvx6Ak3N40IqvQCqmO4Jz3+P1j5fn9NrK2hBFDi&#10;hMXEf339/vPHN4YLsNOFOEfQTbim4RRh5lYPmmz+RRPsUBi9vWdUHRKTuByPptM3AJZwzaYnkwJZ&#10;PbwNFNNb5S3LxoIT5lVoFPvLmJAPoXchOZXzF60xZWbGsQ74s9FJhhcQooYAYNqAZqLbcibMFgqX&#10;iQpk9Kat8/MMFGm7OTfE9gK6mE3WGaVP90dYzr0WsenjimsIMw7FZW56NrK18fUtuCTfiywGedHi&#10;/aWI6VoQVIVCsXfpCh9tPKr3g8VZ4+nLv+5zPIYNL2cdVIrOPu8EKc7MOwcZzMbHx4BN5XB88hoE&#10;M3rs2Tz2uJ0992h4jA0Pspg5Ppk7U5O3n7Ceq5wVLuEkcvccDofz1G8PFlyq1aqEQcpBpEt3E2QG&#10;7ye12iWv2zLEB3YG0iDmMtth8fK2PD6XqIc/m+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JSi&#10;K9kAAAANAQAADwAAAAAAAAABACAAAAAiAAAAZHJzL2Rvd25yZXYueG1sUEsBAhQAFAAAAAgAh07i&#10;QK+pou5aAgAAtAQAAA4AAAAAAAAAAQAgAAAAKAEAAGRycy9lMm9Eb2MueG1sUEsFBgAAAAAGAAYA&#10;WQEAAPQFAAAAAA==&#10;">
                <v:fill on="f" focussize="0,0"/>
                <v:stroke weight="1.5pt" color="#92D050 [3204]" joinstyle="round"/>
                <v:imagedata o:title=""/>
                <o:lock v:ext="edit" aspectratio="f"/>
              </v:rect>
            </w:pict>
          </mc:Fallback>
        </mc:AlternateContent>
      </w:r>
      <w:r>
        <w:rPr>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7275830</wp:posOffset>
                </wp:positionH>
                <wp:positionV relativeFrom="paragraph">
                  <wp:posOffset>3735070</wp:posOffset>
                </wp:positionV>
                <wp:extent cx="1406525" cy="866140"/>
                <wp:effectExtent l="4445" t="5080" r="17780" b="5080"/>
                <wp:wrapNone/>
                <wp:docPr id="7" name="文本框 7"/>
                <wp:cNvGraphicFramePr/>
                <a:graphic xmlns:a="http://schemas.openxmlformats.org/drawingml/2006/main">
                  <a:graphicData uri="http://schemas.microsoft.com/office/word/2010/wordprocessingShape">
                    <wps:wsp>
                      <wps:cNvSpPr txBox="1"/>
                      <wps:spPr>
                        <a:xfrm>
                          <a:off x="0" y="0"/>
                          <a:ext cx="1406525" cy="866140"/>
                        </a:xfrm>
                        <a:prstGeom prst="rect">
                          <a:avLst/>
                        </a:prstGeom>
                        <a:solidFill>
                          <a:srgbClr val="FFFFFF"/>
                        </a:solidFill>
                        <a:ln w="9525" cap="flat" cmpd="sng">
                          <a:solidFill>
                            <a:srgbClr val="0070C0"/>
                          </a:solidFill>
                          <a:prstDash val="solid"/>
                          <a:miter/>
                          <a:headEnd type="none" w="med" len="med"/>
                          <a:tailEnd type="none" w="med" len="med"/>
                        </a:ln>
                      </wps:spPr>
                      <wps:txbx>
                        <w:txbxContent>
                          <w:p>
                            <w:pPr>
                              <w:jc w:val="center"/>
                            </w:pPr>
                            <w:r>
                              <w:rPr>
                                <w:rFonts w:hint="eastAsia"/>
                              </w:rPr>
                              <w:t>图  例</w:t>
                            </w:r>
                          </w:p>
                          <w:p>
                            <w:r>
                              <w:rPr>
                                <w:rFonts w:hint="eastAsia"/>
                                <w:b/>
                                <w:bCs/>
                                <w:color w:val="FF0000"/>
                              </w:rPr>
                              <w:sym w:font="Wingdings 2" w:char="00A3"/>
                            </w:r>
                            <w:r>
                              <w:rPr>
                                <w:rFonts w:hint="eastAsia"/>
                              </w:rPr>
                              <w:t>项目位置</w:t>
                            </w:r>
                          </w:p>
                          <w:p>
                            <w:r>
                              <w:rPr>
                                <w:rFonts w:hint="eastAsia"/>
                                <w:b/>
                                <w:bCs/>
                                <w:color w:val="0070C0"/>
                              </w:rPr>
                              <w:sym w:font="Wingdings 2" w:char="00A3"/>
                            </w:r>
                            <w:r>
                              <w:rPr>
                                <w:rFonts w:hint="eastAsia"/>
                              </w:rPr>
                              <w:t>声环境保护范围</w:t>
                            </w:r>
                          </w:p>
                          <w:p>
                            <w:pPr>
                              <w:ind w:firstLine="210" w:firstLineChars="100"/>
                            </w:pPr>
                            <w:r>
                              <w:rPr>
                                <w:rFonts w:hint="eastAsia"/>
                              </w:rPr>
                              <w:t>大气环境保护范围</w:t>
                            </w:r>
                          </w:p>
                          <w:p>
                            <w:pPr>
                              <w:jc w:val="cente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572.9pt;margin-top:294.1pt;height:68.2pt;width:110.75pt;z-index:251668480;mso-width-relative:page;mso-height-relative:page;" fillcolor="#FFFFFF" filled="t" stroked="t" coordsize="21600,21600" o:gfxdata="UEsDBAoAAAAAAIdO4kAAAAAAAAAAAAAAAAAEAAAAZHJzL1BLAwQUAAAACACHTuJAgreMddsAAAAN&#10;AQAADwAAAGRycy9kb3ducmV2LnhtbE2P0UvDMBjE3wX/h/AJvrmkXZeWrulARRBBhqvsOWtiW02+&#10;lCbrtv/e7EkfjzvufldtztaQWU9+cCggWTAgGlunBuwEfDYvDwUQHyQqaRxqARftYVPf3lSyVO6E&#10;H3rehY7EEvSlFNCHMJaU+rbXVvqFGzVG78tNVoYop46qSZ5iuTU0ZYxTKweMC70c9VOv25/d0Qp4&#10;b5gy382evyWP+fYy81e/fc6EuL9L2BpI0OfwF4YrfkSHOjId3BGVJybqJFtF9iBgVRQpkGtkyfMl&#10;kIOAPM040Lqi/1/Uv1BLAwQUAAAACACHTuJADzVT/wwCAAA2BAAADgAAAGRycy9lMm9Eb2MueG1s&#10;rVPNjtMwEL4j8Q6W7zTZim2XqOlKbCkXBEgLD+DaTmLJf/K4TfoC8AacuHDnufY5duy03e1y6YEc&#10;nLFn/M0334wXt4PRZCcDKGdrejUpKZGWO6FsW9Pv39ZvbiiByKxg2llZ070Eert8/WrR+0pOXee0&#10;kIEgiIWq9zXtYvRVUQDvpGEwcV5adDYuGBZxG9pCBNYjutHFtCxnRe+C8MFxCYCnq9FJD4jhEkDX&#10;NIrLleNbI20cUYPULGJJ0CkPdJnZNo3k8UvTgIxE1xQrjXnFJGhv0losF6xqA/Od4gcK7BIKL2oy&#10;TFlMeoJascjINqh/oIziwYFr4oQ7U4yFZEWwiqvyhTb3HfMy14JSgz+JDv8Pln/efQ1EiZrOKbHM&#10;YMMffv18+P334c8PMk/y9B4qjLr3GBeH927AoTmeAx6mqocmmPTHegj6Udz9SVw5RMLTpbfl7Hp6&#10;TQlH381shvsEUzzd9gHiR+kMSUZNAzYva8p2nyCOoceQlAycVmKttM6b0G7udCA7ho1e5++Afham&#10;Lelr+m7kwXB6G5wapGQ8KgC2zfnObsBz4LKcl3dH2mdhidiKQTcSyK6Un1VGRRmy1UkmPlhB4t6j&#10;yhYfF01kjBSUaIlvMVk5MjKlL4lE7bRFCVOLxlYkKw6bAWGSuXFij23b+qDaDiXNjcvhOE5Z+8Po&#10;p3l9vs+gT899+Qh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t4x12wAAAA0BAAAPAAAAAAAAAAEA&#10;IAAAACIAAABkcnMvZG93bnJldi54bWxQSwECFAAUAAAACACHTuJADzVT/wwCAAA2BAAADgAAAAAA&#10;AAABACAAAAAqAQAAZHJzL2Uyb0RvYy54bWxQSwUGAAAAAAYABgBZAQAAqAUAAAAA&#10;">
                <v:fill on="t" focussize="0,0"/>
                <v:stroke color="#0070C0" joinstyle="miter"/>
                <v:imagedata o:title=""/>
                <o:lock v:ext="edit" aspectratio="f"/>
                <v:textbox>
                  <w:txbxContent>
                    <w:p>
                      <w:pPr>
                        <w:jc w:val="center"/>
                      </w:pPr>
                      <w:r>
                        <w:rPr>
                          <w:rFonts w:hint="eastAsia"/>
                        </w:rPr>
                        <w:t>图  例</w:t>
                      </w:r>
                    </w:p>
                    <w:p>
                      <w:r>
                        <w:rPr>
                          <w:rFonts w:hint="eastAsia"/>
                          <w:b/>
                          <w:bCs/>
                          <w:color w:val="FF0000"/>
                        </w:rPr>
                        <w:sym w:font="Wingdings 2" w:char="00A3"/>
                      </w:r>
                      <w:r>
                        <w:rPr>
                          <w:rFonts w:hint="eastAsia"/>
                        </w:rPr>
                        <w:t>项目位置</w:t>
                      </w:r>
                    </w:p>
                    <w:p>
                      <w:r>
                        <w:rPr>
                          <w:rFonts w:hint="eastAsia"/>
                          <w:b/>
                          <w:bCs/>
                          <w:color w:val="0070C0"/>
                        </w:rPr>
                        <w:sym w:font="Wingdings 2" w:char="00A3"/>
                      </w:r>
                      <w:r>
                        <w:rPr>
                          <w:rFonts w:hint="eastAsia"/>
                        </w:rPr>
                        <w:t>声环境保护范围</w:t>
                      </w:r>
                    </w:p>
                    <w:p>
                      <w:pPr>
                        <w:ind w:firstLine="210" w:firstLineChars="100"/>
                      </w:pPr>
                      <w:r>
                        <w:rPr>
                          <w:rFonts w:hint="eastAsia"/>
                        </w:rPr>
                        <w:t>大气环境保护范围</w:t>
                      </w:r>
                    </w:p>
                    <w:p>
                      <w:pPr>
                        <w:jc w:val="center"/>
                        <w:rPr>
                          <w:rFonts w:hint="eastAsia" w:eastAsia="宋体"/>
                          <w:lang w:eastAsia="zh-CN"/>
                        </w:rPr>
                      </w:pPr>
                    </w:p>
                  </w:txbxContent>
                </v:textbox>
              </v:shape>
            </w:pict>
          </mc:Fallback>
        </mc:AlternateContent>
      </w:r>
      <w:r>
        <w:rPr>
          <w:rFonts w:hint="default" w:ascii="Times New Roman" w:hAnsi="Times New Roman" w:cs="Times New Roman"/>
          <w:b/>
          <w:bCs/>
          <w:color w:val="auto"/>
          <w:highlight w:val="none"/>
        </w:rPr>
        <w:drawing>
          <wp:anchor distT="0" distB="0" distL="114300" distR="114300" simplePos="0" relativeHeight="251666432" behindDoc="0" locked="0" layoutInCell="1" allowOverlap="1">
            <wp:simplePos x="0" y="0"/>
            <wp:positionH relativeFrom="column">
              <wp:posOffset>8237220</wp:posOffset>
            </wp:positionH>
            <wp:positionV relativeFrom="paragraph">
              <wp:posOffset>28575</wp:posOffset>
            </wp:positionV>
            <wp:extent cx="412750" cy="689610"/>
            <wp:effectExtent l="0" t="0" r="6350" b="15240"/>
            <wp:wrapNone/>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12750" cy="689610"/>
                    </a:xfrm>
                    <a:prstGeom prst="rect">
                      <a:avLst/>
                    </a:prstGeom>
                    <a:noFill/>
                    <a:ln>
                      <a:noFill/>
                    </a:ln>
                  </pic:spPr>
                </pic:pic>
              </a:graphicData>
            </a:graphic>
          </wp:anchor>
        </w:drawing>
      </w:r>
      <w:bookmarkStart w:id="17" w:name="_Toc30150"/>
      <w:r>
        <w:rPr>
          <w:rFonts w:hint="default" w:ascii="Times New Roman" w:hAnsi="Times New Roman" w:eastAsia="宋体" w:cs="Times New Roman"/>
          <w:color w:val="auto"/>
          <w:sz w:val="21"/>
          <w:szCs w:val="21"/>
          <w:highlight w:val="none"/>
        </w:rPr>
        <w:drawing>
          <wp:inline distT="0" distB="0" distL="114300" distR="114300">
            <wp:extent cx="8710295" cy="4632325"/>
            <wp:effectExtent l="0" t="0" r="14605" b="15875"/>
            <wp:docPr id="15" name="图片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
                    <pic:cNvPicPr>
                      <a:picLocks noChangeAspect="1"/>
                    </pic:cNvPicPr>
                  </pic:nvPicPr>
                  <pic:blipFill>
                    <a:blip r:embed="rId55"/>
                    <a:stretch>
                      <a:fillRect/>
                    </a:stretch>
                  </pic:blipFill>
                  <pic:spPr>
                    <a:xfrm>
                      <a:off x="0" y="0"/>
                      <a:ext cx="8710295" cy="4632325"/>
                    </a:xfrm>
                    <a:prstGeom prst="rect">
                      <a:avLst/>
                    </a:prstGeom>
                  </pic:spPr>
                </pic:pic>
              </a:graphicData>
            </a:graphic>
          </wp:inline>
        </w:drawing>
      </w: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2 </w:t>
      </w:r>
      <w:r>
        <w:rPr>
          <w:rFonts w:hint="eastAsia" w:ascii="宋体" w:hAnsi="宋体" w:eastAsia="宋体" w:cs="宋体"/>
          <w:b/>
          <w:bCs/>
          <w:color w:val="auto"/>
          <w:sz w:val="21"/>
          <w:szCs w:val="21"/>
          <w:highlight w:val="none"/>
        </w:rPr>
        <w:t>周围环境保护目标分布图</w:t>
      </w:r>
    </w:p>
    <w:bookmarkEnd w:id="17"/>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6"/>
        <w:gridCol w:w="4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eastAsia" w:eastAsia="宋体"/>
                <w:b/>
                <w:bCs/>
                <w:color w:val="auto"/>
                <w:highlight w:val="none"/>
                <w:lang w:eastAsia="zh-CN"/>
              </w:rPr>
              <w:drawing>
                <wp:inline distT="0" distB="0" distL="114300" distR="114300">
                  <wp:extent cx="2731135" cy="1440180"/>
                  <wp:effectExtent l="0" t="0" r="12065" b="7620"/>
                  <wp:docPr id="54" name="图片 54" descr="厂址北侧隔堡旭大道为哈尔滨对鹿饮品有限公司及哈尔滨麦莎亚麻纺织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厂址北侧隔堡旭大道为哈尔滨对鹿饮品有限公司及哈尔滨麦莎亚麻纺织有限公司"/>
                          <pic:cNvPicPr>
                            <a:picLocks noChangeAspect="1"/>
                          </pic:cNvPicPr>
                        </pic:nvPicPr>
                        <pic:blipFill>
                          <a:blip r:embed="rId56"/>
                          <a:stretch>
                            <a:fillRect/>
                          </a:stretch>
                        </pic:blipFill>
                        <pic:spPr>
                          <a:xfrm>
                            <a:off x="0" y="0"/>
                            <a:ext cx="2731135" cy="1440180"/>
                          </a:xfrm>
                          <a:prstGeom prst="rect">
                            <a:avLst/>
                          </a:prstGeom>
                        </pic:spPr>
                      </pic:pic>
                    </a:graphicData>
                  </a:graphic>
                </wp:inline>
              </w:drawing>
            </w:r>
          </w:p>
        </w:tc>
        <w:tc>
          <w:tcPr>
            <w:tcW w:w="4530" w:type="dxa"/>
            <w:noWrap w:val="0"/>
            <w:vAlign w:val="center"/>
          </w:tcPr>
          <w:p>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eastAsia" w:eastAsia="宋体"/>
                <w:b/>
                <w:bCs/>
                <w:color w:val="auto"/>
                <w:highlight w:val="none"/>
                <w:lang w:eastAsia="zh-CN"/>
              </w:rPr>
              <w:drawing>
                <wp:inline distT="0" distB="0" distL="114300" distR="114300">
                  <wp:extent cx="2731135" cy="1440180"/>
                  <wp:effectExtent l="0" t="0" r="12065" b="7620"/>
                  <wp:docPr id="56" name="图片 56" descr="厂址南侧娃哈哈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厂址南侧娃哈哈公司"/>
                          <pic:cNvPicPr>
                            <a:picLocks noChangeAspect="1"/>
                          </pic:cNvPicPr>
                        </pic:nvPicPr>
                        <pic:blipFill>
                          <a:blip r:embed="rId57"/>
                          <a:stretch>
                            <a:fillRect/>
                          </a:stretch>
                        </pic:blipFill>
                        <pic:spPr>
                          <a:xfrm>
                            <a:off x="0" y="0"/>
                            <a:ext cx="273113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厂区北侧</w:t>
            </w:r>
          </w:p>
        </w:tc>
        <w:tc>
          <w:tcPr>
            <w:tcW w:w="4530" w:type="dxa"/>
            <w:noWrap w:val="0"/>
            <w:vAlign w:val="center"/>
          </w:tcPr>
          <w:p>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eastAsia" w:eastAsia="宋体"/>
                <w:b/>
                <w:bCs/>
                <w:color w:val="auto"/>
                <w:highlight w:val="none"/>
                <w:lang w:eastAsia="zh-CN"/>
              </w:rPr>
              <w:drawing>
                <wp:inline distT="0" distB="0" distL="114300" distR="114300">
                  <wp:extent cx="2731135" cy="1440180"/>
                  <wp:effectExtent l="0" t="0" r="12065" b="7620"/>
                  <wp:docPr id="55" name="图片 55" descr="厂址东侧娃哈哈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厂址东侧娃哈哈公司"/>
                          <pic:cNvPicPr>
                            <a:picLocks noChangeAspect="1"/>
                          </pic:cNvPicPr>
                        </pic:nvPicPr>
                        <pic:blipFill>
                          <a:blip r:embed="rId58"/>
                          <a:stretch>
                            <a:fillRect/>
                          </a:stretch>
                        </pic:blipFill>
                        <pic:spPr>
                          <a:xfrm>
                            <a:off x="0" y="0"/>
                            <a:ext cx="2731135" cy="1440180"/>
                          </a:xfrm>
                          <a:prstGeom prst="rect">
                            <a:avLst/>
                          </a:prstGeom>
                        </pic:spPr>
                      </pic:pic>
                    </a:graphicData>
                  </a:graphic>
                </wp:inline>
              </w:drawing>
            </w:r>
          </w:p>
        </w:tc>
        <w:tc>
          <w:tcPr>
            <w:tcW w:w="4530" w:type="dxa"/>
            <w:noWrap w:val="0"/>
            <w:vAlign w:val="center"/>
          </w:tcPr>
          <w:p>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eastAsia" w:eastAsia="宋体"/>
                <w:b/>
                <w:bCs/>
                <w:color w:val="auto"/>
                <w:highlight w:val="none"/>
                <w:lang w:eastAsia="zh-CN"/>
              </w:rPr>
              <w:drawing>
                <wp:inline distT="0" distB="0" distL="114300" distR="114300">
                  <wp:extent cx="2731135" cy="1440180"/>
                  <wp:effectExtent l="0" t="0" r="12065" b="7620"/>
                  <wp:docPr id="58" name="图片 58" descr="厂址西侧隔旺旺路为旺旺食品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厂址西侧隔旺旺路为旺旺食品公司"/>
                          <pic:cNvPicPr>
                            <a:picLocks noChangeAspect="1"/>
                          </pic:cNvPicPr>
                        </pic:nvPicPr>
                        <pic:blipFill>
                          <a:blip r:embed="rId59"/>
                          <a:stretch>
                            <a:fillRect/>
                          </a:stretch>
                        </pic:blipFill>
                        <pic:spPr>
                          <a:xfrm>
                            <a:off x="0" y="0"/>
                            <a:ext cx="2731135" cy="1440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厂区东侧</w:t>
            </w:r>
          </w:p>
        </w:tc>
        <w:tc>
          <w:tcPr>
            <w:tcW w:w="4530" w:type="dxa"/>
            <w:noWrap w:val="0"/>
            <w:vAlign w:val="center"/>
          </w:tcPr>
          <w:p>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厂区西侧</w:t>
            </w:r>
          </w:p>
        </w:tc>
      </w:tr>
    </w:tbl>
    <w:p>
      <w:pPr>
        <w:pStyle w:val="5"/>
        <w:bidi w:val="0"/>
        <w:jc w:val="center"/>
        <w:rPr>
          <w:rFonts w:hint="default" w:ascii="Times New Roman" w:hAnsi="Times New Roman" w:eastAsia="宋体" w:cs="Times New Roman"/>
          <w:color w:val="auto"/>
          <w:sz w:val="21"/>
          <w:szCs w:val="21"/>
          <w:highlight w:val="none"/>
          <w:lang w:val="en-US" w:eastAsia="zh-CN"/>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lang w:val="en-US" w:eastAsia="zh-CN"/>
        </w:rPr>
        <w:t>附图3 厂区四周图</w:t>
      </w:r>
    </w:p>
    <w:p>
      <w:pPr>
        <w:jc w:val="center"/>
        <w:rPr>
          <w:rFonts w:hint="default"/>
          <w:color w:val="auto"/>
          <w:sz w:val="21"/>
          <w:szCs w:val="21"/>
          <w:highlight w:val="none"/>
        </w:rPr>
      </w:pPr>
      <w:r>
        <w:rPr>
          <w:rFonts w:hint="default"/>
          <w:color w:val="auto"/>
          <w:sz w:val="21"/>
          <w:szCs w:val="21"/>
          <w:highlight w:val="none"/>
        </w:rPr>
        <w:object>
          <v:shape id="_x0000_i1040" o:spt="75" type="#_x0000_t75" style="height:267pt;width:480.75pt;" o:ole="t" filled="f" o:preferrelative="t" stroked="f" coordsize="21600,21600">
            <v:path/>
            <v:fill on="f" focussize="0,0"/>
            <v:stroke on="f"/>
            <v:imagedata r:id="rId61" o:title=""/>
            <o:lock v:ext="edit" aspectratio="f"/>
            <w10:wrap type="none"/>
            <w10:anchorlock/>
          </v:shape>
          <o:OLEObject Type="Embed" ProgID="Visio.Drawing.11" ShapeID="_x0000_i1040" DrawAspect="Content" ObjectID="_1468075740" r:id="rId60">
            <o:LockedField>false</o:LockedField>
          </o:OLEObject>
        </w:object>
      </w:r>
    </w:p>
    <w:p>
      <w:pPr>
        <w:bidi w:val="0"/>
        <w:rPr>
          <w:rFonts w:hint="default"/>
          <w:color w:val="auto"/>
          <w:highlight w:val="none"/>
          <w:lang w:eastAsia="zh-CN"/>
        </w:rPr>
      </w:pPr>
    </w:p>
    <w:p>
      <w:pPr>
        <w:pStyle w:val="5"/>
        <w:bidi w:val="0"/>
        <w:jc w:val="center"/>
        <w:rPr>
          <w:rFonts w:hint="default"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4 生产车间平面布置图（1层）</w:t>
      </w:r>
    </w:p>
    <w:p>
      <w:pPr>
        <w:rPr>
          <w:rFonts w:hint="eastAsia" w:eastAsia="宋体" w:cs="Times New Roman"/>
          <w:color w:val="auto"/>
          <w:sz w:val="21"/>
          <w:szCs w:val="21"/>
          <w:highlight w:val="none"/>
          <w:lang w:val="en-US" w:eastAsia="zh-CN"/>
        </w:rPr>
      </w:pPr>
    </w:p>
    <w:p>
      <w:pPr>
        <w:pStyle w:val="2"/>
        <w:rPr>
          <w:rFonts w:hint="eastAsia" w:eastAsia="宋体" w:cs="Times New Roman"/>
          <w:color w:val="auto"/>
          <w:sz w:val="21"/>
          <w:szCs w:val="21"/>
          <w:highlight w:val="none"/>
          <w:lang w:val="en-US" w:eastAsia="zh-CN"/>
        </w:rPr>
      </w:pPr>
    </w:p>
    <w:p>
      <w:pPr>
        <w:pStyle w:val="3"/>
        <w:rPr>
          <w:rFonts w:hint="eastAsia" w:eastAsia="宋体" w:cs="Times New Roman"/>
          <w:color w:val="auto"/>
          <w:sz w:val="21"/>
          <w:szCs w:val="21"/>
          <w:highlight w:val="none"/>
          <w:lang w:val="en-US" w:eastAsia="zh-CN"/>
        </w:rPr>
      </w:pPr>
    </w:p>
    <w:p>
      <w:pPr>
        <w:pStyle w:val="4"/>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pStyle w:val="2"/>
        <w:rPr>
          <w:rFonts w:hint="eastAsia" w:eastAsia="宋体" w:cs="Times New Roman"/>
          <w:color w:val="auto"/>
          <w:sz w:val="21"/>
          <w:szCs w:val="21"/>
          <w:highlight w:val="none"/>
          <w:lang w:val="en-US" w:eastAsia="zh-CN"/>
        </w:rPr>
      </w:pPr>
    </w:p>
    <w:p>
      <w:pPr>
        <w:pStyle w:val="3"/>
        <w:jc w:val="center"/>
        <w:rPr>
          <w:rFonts w:hint="eastAsia"/>
          <w:color w:val="auto"/>
          <w:lang w:val="en-US" w:eastAsia="zh-CN"/>
        </w:rPr>
      </w:pPr>
      <w:r>
        <w:rPr>
          <w:rFonts w:hint="eastAsia"/>
          <w:color w:val="auto"/>
          <w:lang w:val="en-US" w:eastAsia="zh-CN"/>
        </w:rPr>
        <w:object>
          <v:shape id="_x0000_i1041" o:spt="75" type="#_x0000_t75" style="height:267pt;width:450pt;" o:ole="t" filled="f" o:preferrelative="t" stroked="f" coordsize="21600,21600">
            <v:path/>
            <v:fill on="f" focussize="0,0"/>
            <v:stroke on="f"/>
            <v:imagedata r:id="rId63" o:title=""/>
            <o:lock v:ext="edit" aspectratio="f"/>
            <w10:wrap type="none"/>
            <w10:anchorlock/>
          </v:shape>
          <o:OLEObject Type="Embed" ProgID="Visio.Drawing.11" ShapeID="_x0000_i1041" DrawAspect="Content" ObjectID="_1468075741" r:id="rId62">
            <o:LockedField>false</o:LockedField>
          </o:OLEObject>
        </w:object>
      </w: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pStyle w:val="5"/>
        <w:bidi w:val="0"/>
        <w:jc w:val="center"/>
        <w:rPr>
          <w:rFonts w:hint="default"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ascii="Times New Roman" w:hAnsi="Times New Roman" w:eastAsia="宋体" w:cs="Times New Roman"/>
          <w:color w:val="auto"/>
          <w:sz w:val="21"/>
          <w:szCs w:val="21"/>
          <w:highlight w:val="none"/>
          <w:lang w:val="en-US" w:eastAsia="zh-CN"/>
        </w:rPr>
        <w:t>5</w:t>
      </w:r>
      <w:r>
        <w:rPr>
          <w:rFonts w:hint="eastAsia" w:eastAsia="宋体" w:cs="Times New Roman"/>
          <w:color w:val="auto"/>
          <w:sz w:val="21"/>
          <w:szCs w:val="21"/>
          <w:highlight w:val="none"/>
          <w:lang w:val="en-US" w:eastAsia="zh-CN"/>
        </w:rPr>
        <w:t xml:space="preserve"> 生产车间平面布置图（2层）</w:t>
      </w: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rPr>
          <w:rFonts w:hint="eastAsia" w:eastAsia="宋体" w:cs="Times New Roman"/>
          <w:color w:val="auto"/>
          <w:sz w:val="21"/>
          <w:szCs w:val="21"/>
          <w:highlight w:val="none"/>
          <w:lang w:val="en-US" w:eastAsia="zh-CN"/>
        </w:rPr>
      </w:pPr>
    </w:p>
    <w:p>
      <w:pPr>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object>
          <v:shape id="_x0000_i1042" o:spt="75" type="#_x0000_t75" style="height:373.5pt;width:407.3pt;" o:ole="t" filled="f" o:preferrelative="t" stroked="f" coordsize="21600,21600">
            <v:path/>
            <v:fill on="f" focussize="0,0"/>
            <v:stroke on="f"/>
            <v:imagedata r:id="rId65" o:title=""/>
            <o:lock v:ext="edit" aspectratio="f"/>
            <w10:wrap type="none"/>
            <w10:anchorlock/>
          </v:shape>
          <o:OLEObject Type="Embed" ProgID="Visio.Drawing.11" ShapeID="_x0000_i1042" DrawAspect="Content" ObjectID="_1468075742" r:id="rId64">
            <o:LockedField>false</o:LockedField>
          </o:OLEObject>
        </w:object>
      </w:r>
    </w:p>
    <w:p>
      <w:pPr>
        <w:pStyle w:val="5"/>
        <w:bidi w:val="0"/>
        <w:jc w:val="center"/>
        <w:rPr>
          <w:rFonts w:hint="default"/>
          <w:lang w:val="en-US" w:eastAsia="zh-CN"/>
        </w:rPr>
      </w:pPr>
      <w:r>
        <w:rPr>
          <w:rFonts w:hint="eastAsia"/>
          <w:sz w:val="21"/>
          <w:szCs w:val="21"/>
          <w:lang w:val="en-US" w:eastAsia="zh-CN"/>
        </w:rPr>
        <w:t>附图6厂区平面布置图</w:t>
      </w:r>
    </w:p>
    <w:p>
      <w:pPr>
        <w:pStyle w:val="2"/>
        <w:rPr>
          <w:rFonts w:hint="default"/>
          <w:color w:val="auto"/>
          <w:highlight w:val="none"/>
        </w:rPr>
      </w:pPr>
    </w:p>
    <w:p>
      <w:pPr>
        <w:jc w:val="center"/>
        <w:rPr>
          <w:rFonts w:hint="default"/>
          <w:color w:val="auto"/>
          <w:highlight w:val="none"/>
        </w:rPr>
      </w:pPr>
      <w:r>
        <w:rPr>
          <w:rFonts w:hint="default"/>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937260</wp:posOffset>
                </wp:positionH>
                <wp:positionV relativeFrom="paragraph">
                  <wp:posOffset>1928495</wp:posOffset>
                </wp:positionV>
                <wp:extent cx="773430" cy="361315"/>
                <wp:effectExtent l="4445" t="4445" r="269875" b="262890"/>
                <wp:wrapNone/>
                <wp:docPr id="31" name="圆角矩形标注 31"/>
                <wp:cNvGraphicFramePr/>
                <a:graphic xmlns:a="http://schemas.openxmlformats.org/drawingml/2006/main">
                  <a:graphicData uri="http://schemas.microsoft.com/office/word/2010/wordprocessingShape">
                    <wps:wsp>
                      <wps:cNvSpPr/>
                      <wps:spPr>
                        <a:xfrm>
                          <a:off x="0" y="0"/>
                          <a:ext cx="773430" cy="361315"/>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73.8pt;margin-top:151.85pt;height:28.45pt;width:60.9pt;z-index:251662336;mso-width-relative:page;mso-height-relative:page;" fillcolor="#FFFFFF" filled="t" stroked="t" coordsize="21600,21600" o:gfxdata="UEsDBAoAAAAAAIdO4kAAAAAAAAAAAAAAAAAEAAAAZHJzL1BLAwQUAAAACACHTuJAuysKG9kAAAAL&#10;AQAADwAAAGRycy9kb3ducmV2LnhtbE2P3U7DMAxG75F4h8hI3LFkP8q20nRCSIAQQoixB8gar61o&#10;nNJk2Xh7zBVcfvbR5+Nyc/a9yDjGLpCB6USBQKqD66gxsPt4uFmBiMmSs30gNPCNETbV5UVpCxdO&#10;9I55mxrBJRQLa6BNaSikjHWL3sZJGJB4dwijt4nj2Eg32hOX+17OlNLS2474QmsHvG+x/twevYF1&#10;84I50+7u8QtX9ZN/zer58GbM9dVU3YJIeE5/MPzqszpU7LQPR3JR9JwXS82ogbmaL0EwMdPrBYg9&#10;T7TSIKtS/v+h+gFQSwMEFAAAAAgAh07iQLy0bt9YAgAAywQAAA4AAABkcnMvZTJvRG9jLnhtbK1U&#10;y3LTMBTdM8M/aLQnju0mKZk4XTSEDQOdFj5AsWRbjF4jKXHyA7BnzQwMG2DNms9p4TO4kk2atCy6&#10;wAv7Sro6OufcK8/OtlKgDbOOa1XgdDDEiKlSU67qAr95vXxyipHzRFEitGIF3jGHz+aPH81aM2WZ&#10;brSgzCIAUW7amgI33ptpkriyYZK4gTZMwWKlrSQehrZOqCUtoEuRZMPhOGm1pcbqkjkHs4tuEfeI&#10;9iGAuqp4yRa6XEumfIdqmSAeJLmGG4fnkW1VsdK/qirHPBIFBqU+vuEQiFfhncxnZFpbYhpe9hTI&#10;Qyjc0SQJV3DoHmpBPEFry+9BSV5a7XTlB6WWSSckOgIq0uEdb64aYljUAlY7szfd/T/Y8uXmwiJO&#10;C5ynGCkioeLXH9/9/vrh16fv1z+/3Hx+f/PjG4JFcKo1bgobrsyF7UcOwiB7W1kZviAIbaO7u727&#10;bOtRCZOTSX6Sg+8lLOXjNE9HATO53Wys88+ZligEBW4ZrdmlXit6CWU8J0LotY8mk80L56PbtKdM&#10;6FugX0kBxdsQgSan2UneF/cgJzvMSdNJlk/uJ+VHSePxOOYAz/5YiP4yDRycFpwuuRBxYOvVubAI&#10;OBR4GZ9e5FGaUKgt8NNRNgI7CFyiCpoXQmmgEE7VUeXRDncIPIzPv4ADsQVxTUcgInQCJffMxmZv&#10;GKHPFEV+Z6DWCu44DmQkoxgJBr+EEMVMT7h4SCYYIlRQz+KFg9qEuoZm6dojRH672sJsCFea7qDn&#10;1sbyuoE6x9aK6dDjsSH6+xgu0eE4gt7+g+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srChvZ&#10;AAAACwEAAA8AAAAAAAAAAQAgAAAAIgAAAGRycy9kb3ducmV2LnhtbFBLAQIUABQAAAAIAIdO4kC8&#10;tG7fWAIAAMsEAAAOAAAAAAAAAAEAIAAAACgBAABkcnMvZTJvRG9jLnhtbFBLBQYAAAAABgAGAFkB&#10;AADyBQAAAAA=&#10;" adj="27700,36123,14400">
                <v:fill on="t" focussize="0,0"/>
                <v:stroke color="#000000" joinstyle="miter"/>
                <v:imagedata o:title=""/>
                <o:lock v:ext="edit" aspectratio="f"/>
                <v:textbox>
                  <w:txbxContent>
                    <w:p>
                      <w:pPr>
                        <w:rPr>
                          <w:rFonts w:ascii="Calibri" w:hAnsi="Calibri"/>
                        </w:rPr>
                      </w:pPr>
                      <w:r>
                        <w:rPr>
                          <w:rFonts w:ascii="Calibri" w:hAnsi="Calibri"/>
                        </w:rPr>
                        <w:t>项目</w:t>
                      </w:r>
                      <w:r>
                        <w:rPr>
                          <w:rFonts w:hint="eastAsia" w:ascii="Calibri" w:hAnsi="Calibri"/>
                        </w:rPr>
                        <w:t>位置</w:t>
                      </w:r>
                    </w:p>
                  </w:txbxContent>
                </v:textbox>
              </v:shape>
            </w:pict>
          </mc:Fallback>
        </mc:AlternateContent>
      </w:r>
      <w:r>
        <w:rPr>
          <w:color w:val="auto"/>
          <w:highlight w:val="none"/>
        </w:rPr>
        <w:drawing>
          <wp:inline distT="0" distB="0" distL="114300" distR="114300">
            <wp:extent cx="6951345" cy="4915535"/>
            <wp:effectExtent l="0" t="0" r="1905" b="18415"/>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66"/>
                    <a:stretch>
                      <a:fillRect/>
                    </a:stretch>
                  </pic:blipFill>
                  <pic:spPr>
                    <a:xfrm>
                      <a:off x="0" y="0"/>
                      <a:ext cx="6951345" cy="4915535"/>
                    </a:xfrm>
                    <a:prstGeom prst="rect">
                      <a:avLst/>
                    </a:prstGeom>
                    <a:noFill/>
                    <a:ln>
                      <a:noFill/>
                    </a:ln>
                  </pic:spPr>
                </pic:pic>
              </a:graphicData>
            </a:graphic>
          </wp:inline>
        </w:drawing>
      </w:r>
      <w:r>
        <w:rPr>
          <w:rFonts w:hint="default"/>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1858010</wp:posOffset>
                </wp:positionH>
                <wp:positionV relativeFrom="paragraph">
                  <wp:posOffset>2509520</wp:posOffset>
                </wp:positionV>
                <wp:extent cx="133985" cy="94615"/>
                <wp:effectExtent l="19050" t="12065" r="18415" b="26670"/>
                <wp:wrapNone/>
                <wp:docPr id="23" name="五角星 23"/>
                <wp:cNvGraphicFramePr/>
                <a:graphic xmlns:a="http://schemas.openxmlformats.org/drawingml/2006/main">
                  <a:graphicData uri="http://schemas.microsoft.com/office/word/2010/wordprocessingShape">
                    <wps:wsp>
                      <wps:cNvSpPr/>
                      <wps:spPr>
                        <a:xfrm>
                          <a:off x="0" y="0"/>
                          <a:ext cx="133985" cy="94615"/>
                        </a:xfrm>
                        <a:prstGeom prst="star5">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146.3pt;margin-top:197.6pt;height:7.45pt;width:10.55pt;z-index:251663360;mso-width-relative:page;mso-height-relative:page;" fillcolor="#FF0000" filled="t" stroked="t" coordsize="133985,94615" o:gfxdata="UEsDBAoAAAAAAIdO4kAAAAAAAAAAAAAAAAAEAAAAZHJzL1BLAwQUAAAACACHTuJALEPiU9sAAAAL&#10;AQAADwAAAGRycy9kb3ducmV2LnhtbE2Py07DMBBF90j8gzVI7KidpBQaMqmqSiyARUUpEstJPCRR&#10;YzuKnT7+HrOC5ege3XumWJ1NL448+s5ZhGSmQLCtne5sg7D/eL57BOEDWU29s4xwYQ+r8vqqoFy7&#10;k33n4y40IpZYnxNCG8KQS+nrlg35mRvYxuzbjYZCPMdG6pFOsdz0MlVqIQ11Ni60NPCm5fqwmwyC&#10;15u37etlLb9eDH/u13NVTXRAvL1J1BOIwOfwB8OvflSHMjpVbrLaix4hXaaLiCJky/sURCSyJHsA&#10;USHME5WALAv5/4fyB1BLAwQUAAAACACHTuJAfxyiOQgCAAAwBAAADgAAAGRycy9lMm9Eb2MueG1s&#10;rVPNjtMwEL4j8Q6W7zRpS1e7UdM9UMoFwUoLD+DaTmLJf/K4TfsaiAM3jrwDz4PQPgZjJ5TuwqEH&#10;cnBm7PE3830zXt4ejCZ7GUA5W9PppKREWu6Esm1NP37YvLimBCKzgmlnZU2PEujt6vmzZe8rOXOd&#10;00IGgiAWqt7XtIvRV0UBvJOGwcR5afGwccGwiG5oCxFYj+hGF7OyvCp6F4QPjksA3F0Ph3REDJcA&#10;uqZRXK4d3xlp44AapGYRKUGnPNBVrrZpJI/vmwZkJLqmyDTmFZOgvU1rsVqyqg3Md4qPJbBLSnjC&#10;yTBlMekJas0iI7ug/oIyigcHrokT7kwxEMmKIItp+USb+455mbmg1OBPosP/g+Xv9neBKFHT2ZwS&#10;ywx2/Mf3zw/fPv388pXgHgrUe6gw7t7fhdEDNBPbQxNM+iMPcsiiHk+iykMkHDen8/nN9YISjkc3&#10;L6+miwRZ/LnrA8Q30hmSjJri6IVFlpLt30IcYn/HpFzgtBIbpXV2Qrt9pQPZM+zvZlPiN8I/CtOW&#10;9Jh9MUt1MBzaBocFTeORONg253t0A86BE+y/gVNhawbdUEBGSPlZZVSUSS1WdZKJ11aQePSorcU3&#10;RVMxRgpKtMQnmKwcGZnSl0SieNomaJkHfFQpdWnoS7K2ThyxsTsfVNuhrNMsSzrBQcr6j0OfJvXc&#10;R/v8oa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D4lPbAAAACwEAAA8AAAAAAAAAAQAgAAAA&#10;IgAAAGRycy9kb3ducmV2LnhtbFBLAQIUABQAAAAIAIdO4kB/HKI5CAIAADAEAAAOAAAAAAAAAAEA&#10;IAAAACoBAABkcnMvZTJvRG9jLnhtbFBLBQYAAAAABgAGAFkBAACkBQAAAAA=&#10;" path="m0,36139l51177,36139,66992,0,82807,36139,133984,36139,92580,58475,108396,94614,66992,72278,25588,94614,41404,58475xe">
                <v:path o:connectlocs="66992,0;0,36139;25588,94614;108396,94614;133984,36139" o:connectangles="247,164,82,82,0"/>
                <v:fill on="t" focussize="0,0"/>
                <v:stroke color="#000000" joinstyle="miter"/>
                <v:imagedata o:title=""/>
                <o:lock v:ext="edit" aspectratio="f"/>
              </v:shape>
            </w:pict>
          </mc:Fallback>
        </mc:AlternateContent>
      </w:r>
      <w:bookmarkStart w:id="18" w:name="_Toc29471"/>
    </w:p>
    <w:p>
      <w:pPr>
        <w:pStyle w:val="5"/>
        <w:jc w:val="center"/>
        <w:rPr>
          <w:rFonts w:hint="eastAsia"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7 </w:t>
      </w:r>
      <w:r>
        <w:rPr>
          <w:rFonts w:hint="default" w:ascii="Times New Roman" w:hAnsi="Times New Roman" w:eastAsia="宋体" w:cs="Times New Roman"/>
          <w:color w:val="auto"/>
          <w:sz w:val="21"/>
          <w:szCs w:val="21"/>
          <w:highlight w:val="none"/>
        </w:rPr>
        <w:t>哈尔滨市</w:t>
      </w:r>
      <w:bookmarkEnd w:id="18"/>
      <w:r>
        <w:rPr>
          <w:rFonts w:hint="eastAsia" w:eastAsia="宋体" w:cs="Times New Roman"/>
          <w:color w:val="auto"/>
          <w:sz w:val="21"/>
          <w:szCs w:val="21"/>
          <w:highlight w:val="none"/>
          <w:lang w:eastAsia="zh-CN"/>
        </w:rPr>
        <w:t>环境分区管控单元图</w:t>
      </w:r>
    </w:p>
    <w:p>
      <w:pPr>
        <w:rPr>
          <w:rFonts w:hint="eastAsia" w:eastAsia="宋体" w:cs="Times New Roman"/>
          <w:color w:val="auto"/>
          <w:sz w:val="21"/>
          <w:szCs w:val="21"/>
          <w:highlight w:val="none"/>
          <w:lang w:eastAsia="zh-CN"/>
        </w:rPr>
      </w:pPr>
    </w:p>
    <w:p>
      <w:pPr>
        <w:rPr>
          <w:rFonts w:hint="eastAsia" w:eastAsia="宋体" w:cs="Times New Roman"/>
          <w:color w:val="auto"/>
          <w:sz w:val="21"/>
          <w:szCs w:val="21"/>
          <w:highlight w:val="none"/>
          <w:lang w:eastAsia="zh-CN"/>
        </w:rPr>
      </w:pPr>
    </w:p>
    <w:p>
      <w:pPr>
        <w:jc w:val="center"/>
        <w:rPr>
          <w:color w:val="auto"/>
        </w:rPr>
      </w:pPr>
      <w:r>
        <w:rPr>
          <w:rFonts w:hint="default"/>
          <w:color w:val="auto"/>
          <w:highlight w:val="none"/>
        </w:rPr>
        <mc:AlternateContent>
          <mc:Choice Requires="wps">
            <w:drawing>
              <wp:anchor distT="0" distB="0" distL="114300" distR="114300" simplePos="0" relativeHeight="251677696" behindDoc="0" locked="0" layoutInCell="1" allowOverlap="1">
                <wp:simplePos x="0" y="0"/>
                <wp:positionH relativeFrom="column">
                  <wp:posOffset>1070610</wp:posOffset>
                </wp:positionH>
                <wp:positionV relativeFrom="paragraph">
                  <wp:posOffset>1861185</wp:posOffset>
                </wp:positionV>
                <wp:extent cx="773430" cy="361315"/>
                <wp:effectExtent l="4445" t="4445" r="269875" b="262890"/>
                <wp:wrapNone/>
                <wp:docPr id="13" name="圆角矩形标注 13"/>
                <wp:cNvGraphicFramePr/>
                <a:graphic xmlns:a="http://schemas.openxmlformats.org/drawingml/2006/main">
                  <a:graphicData uri="http://schemas.microsoft.com/office/word/2010/wordprocessingShape">
                    <wps:wsp>
                      <wps:cNvSpPr/>
                      <wps:spPr>
                        <a:xfrm>
                          <a:off x="0" y="0"/>
                          <a:ext cx="773430" cy="361315"/>
                        </a:xfrm>
                        <a:prstGeom prst="wedgeRoundRectCallout">
                          <a:avLst>
                            <a:gd name="adj1" fmla="val 78243"/>
                            <a:gd name="adj2" fmla="val 11723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rPr>
                                <w:rFonts w:ascii="Calibri" w:hAnsi="Calibri"/>
                              </w:rPr>
                            </w:pPr>
                            <w:r>
                              <w:rPr>
                                <w:rFonts w:ascii="Calibri" w:hAnsi="Calibri"/>
                              </w:rPr>
                              <w:t>项目</w:t>
                            </w:r>
                            <w:r>
                              <w:rPr>
                                <w:rFonts w:hint="eastAsia" w:ascii="Calibri" w:hAnsi="Calibri"/>
                              </w:rPr>
                              <w:t>位置</w:t>
                            </w:r>
                          </w:p>
                        </w:txbxContent>
                      </wps:txbx>
                      <wps:bodyPr upright="1"/>
                    </wps:wsp>
                  </a:graphicData>
                </a:graphic>
              </wp:anchor>
            </w:drawing>
          </mc:Choice>
          <mc:Fallback>
            <w:pict>
              <v:shape id="_x0000_s1026" o:spid="_x0000_s1026" o:spt="62" type="#_x0000_t62" style="position:absolute;left:0pt;margin-left:84.3pt;margin-top:146.55pt;height:28.45pt;width:60.9pt;z-index:251677696;mso-width-relative:page;mso-height-relative:page;" fillcolor="#FFFFFF" filled="t" stroked="t" coordsize="21600,21600" o:gfxdata="UEsDBAoAAAAAAIdO4kAAAAAAAAAAAAAAAAAEAAAAZHJzL1BLAwQUAAAACACHTuJAOQHEstkAAAAL&#10;AQAADwAAAGRycy9kb3ducmV2LnhtbE2P0UrDQBBF3wX/YZmCb3Y3qYYkZlNEUBERsfYDtsk0Cc3O&#10;xux2W//e8UkfL3O490y1PttRRJz94EhDslQgkBrXDtRp2H4+XucgfDDUmtERavhGD+v68qIyZetO&#10;9IFxEzrBJeRLo6EPYSql9E2P1vilm5D4tnezNYHj3Ml2Nicut6NMlcqkNQPxQm8mfOixOWyOVkPR&#10;vWKMtL1/+sK8ebZvUb3s37W+WiTqDkTAc/iD4Vef1aFmp507UuvFyDnLM0Y1pMUqAcFEWqgbEDsN&#10;q1ulQNaV/P9D/QNQSwMEFAAAAAgAh07iQF+d6CldAgAAywQAAA4AAABkcnMvZTJvRG9jLnhtbK1U&#10;y3LTMBTdM8M/aLQnjp0mKZk4XTSEDQOdFj5AsWRbjF4jKbHzA7BnzQwdNsCaNZ/TwmdwJZskLSy6&#10;wAv7Sro6OufcK8/PWinQllnHtcpxOhhixFShKVdVjt+8Xj05xch5oigRWrEc75jDZ4vHj+aNmbFM&#10;11pQZhGAKDdrTI5r780sSVxRM0ncQBumYLHUVhIPQ1sl1JIG0KVIsuFwkjTaUmN1wZyD2WW3iHtE&#10;+xBAXZa8YEtdbCRTvkO1TBAPklzNjcOLyLYsWeFflaVjHokcg1If33AIxOvwThZzMqssMTUvegrk&#10;IRTuaZKEKzh0D7UknqCN5X9BSV5Y7XTpB4WWSSckOgIq0uE9b65qYljUAlY7szfd/T/Y4uX2wiJO&#10;oRNGGCkioeI3H9/9+vLh56dvNz8+316/v/3+FcEiONUYN4MNV+bC9iMHYZDdllaGLwhCbXR3t3eX&#10;tR4VMDmdjk5G4HsBS6NJOkrHATM5bDbW+edMSxSCHDeMVuxSbxS9hDKeEyH0xkeTyfaF89Ft2lMm&#10;9G2KUSkFFG9LBJqeZieRMlTkKCc7zknTaTaa9h1wlAQ+HIDSyWQSc4BnfyxEf5gGDk4LTldciDiw&#10;1fpcWAQccryKTy/yTppQqMnx03E2BjsIXKISmhdCaaAQTlVR5Z0d7hh4GJ9/AQdiS+LqjkBE6ARK&#10;7pmNzV4zQp8pivzOQK0V3HEcyEhGMRIMfgkhipmecPGQTDBEqKCexQsHtQl1Dc3StUeIfLtuYTaE&#10;a0130HMbY3lVQ53TKCSsQI/HhujvY7hEx+MIevgHLX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QHEstkAAAALAQAADwAAAAAAAAABACAAAAAiAAAAZHJzL2Rvd25yZXYueG1sUEsBAhQAFAAAAAgA&#10;h07iQF+d6CldAgAAywQAAA4AAAAAAAAAAQAgAAAAKAEAAGRycy9lMm9Eb2MueG1sUEsFBgAAAAAG&#10;AAYAWQEAAPcFAAAAAA==&#10;" adj="27700,36123,14400">
                <v:fill on="t" focussize="0,0"/>
                <v:stroke color="#000000" joinstyle="miter"/>
                <v:imagedata o:title=""/>
                <o:lock v:ext="edit" aspectratio="f"/>
                <v:textbox>
                  <w:txbxContent>
                    <w:p>
                      <w:pPr>
                        <w:rPr>
                          <w:rFonts w:ascii="Calibri" w:hAnsi="Calibri"/>
                        </w:rPr>
                      </w:pPr>
                      <w:r>
                        <w:rPr>
                          <w:rFonts w:ascii="Calibri" w:hAnsi="Calibri"/>
                        </w:rPr>
                        <w:t>项目</w:t>
                      </w:r>
                      <w:r>
                        <w:rPr>
                          <w:rFonts w:hint="eastAsia" w:ascii="Calibri" w:hAnsi="Calibri"/>
                        </w:rPr>
                        <w:t>位置</w:t>
                      </w:r>
                    </w:p>
                  </w:txbxContent>
                </v:textbox>
              </v:shape>
            </w:pict>
          </mc:Fallback>
        </mc:AlternateContent>
      </w:r>
      <w:r>
        <w:rPr>
          <w:rFonts w:hint="default"/>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2000885</wp:posOffset>
                </wp:positionH>
                <wp:positionV relativeFrom="paragraph">
                  <wp:posOffset>2413635</wp:posOffset>
                </wp:positionV>
                <wp:extent cx="133985" cy="94615"/>
                <wp:effectExtent l="19050" t="12065" r="18415" b="26670"/>
                <wp:wrapNone/>
                <wp:docPr id="6" name="五角星 6"/>
                <wp:cNvGraphicFramePr/>
                <a:graphic xmlns:a="http://schemas.openxmlformats.org/drawingml/2006/main">
                  <a:graphicData uri="http://schemas.microsoft.com/office/word/2010/wordprocessingShape">
                    <wps:wsp>
                      <wps:cNvSpPr/>
                      <wps:spPr>
                        <a:xfrm>
                          <a:off x="0" y="0"/>
                          <a:ext cx="133985" cy="94615"/>
                        </a:xfrm>
                        <a:prstGeom prst="star5">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157.55pt;margin-top:190.05pt;height:7.45pt;width:10.55pt;z-index:251676672;mso-width-relative:page;mso-height-relative:page;" fillcolor="#FF0000" filled="t" stroked="t" coordsize="133985,94615" o:gfxdata="UEsDBAoAAAAAAIdO4kAAAAAAAAAAAAAAAAAEAAAAZHJzL1BLAwQUAAAACACHTuJAwdkOvtkAAAAL&#10;AQAADwAAAGRycy9kb3ducmV2LnhtbE2PTU/DMAyG70j7D5En7caSrmwapek0TdoBOCDGkDi6jWmr&#10;NUnVpPv495gT3B7Lr14/zjdX24kzDaH1TkMyVyDIVd60rtZw/Njfr0GEiM5g5x1puFGATTG5yzEz&#10;/uLe6XyIteASFzLU0MTYZ1KGqiGLYe57crz79oPFyONQSzPghcttJxdKraTF1vGFBnvaNVSdDqPV&#10;EMzu9e3ltpVfz5Y+j9sHVY540no2TdQTiEjX+BeGX31Wh4KdSj86E0SnIU2WCUcZ1oqBE2m6WoAo&#10;GR6XCmSRy/8/FD9QSwMEFAAAAAgAh07iQBEbJYcGAgAALgQAAA4AAABkcnMvZTJvRG9jLnhtbK1T&#10;zY7TMBC+I/EOlu80aZdWu1HTPVDKBcFKCw8wtZ3Ekv9ku037GogDN468A8+D0D4GYyeU7sKhB3Jw&#10;ZuzxN/N9M17eHrQie+GDtKam00lJiTDMcmnamn78sHlxTUmIYDgoa0RNjyLQ29XzZ8veVWJmO6u4&#10;8ARBTKh6V9MuRlcVRWCd0BAm1gmDh431GiK6vi24hx7RtSpmZbkoeuu585aJEHB3PRzSEdFfAmib&#10;RjKxtmynhYkDqhcKIlIKnXSBrnK1TSNYfN80QUSiaopMY14xCdrbtBarJVStB9dJNpYAl5TwhJMG&#10;aTDpCWoNEcjOy7+gtGTeBtvECbO6GIhkRZDFtHyizX0HTmQuKHVwJ9HD/4Nl7/Z3nkhe0wUlBjQ2&#10;/Mf3zw/fPv388pUskjy9CxVG3bs7P3oBzcT10Hid/siCHLKkx5Ok4hAJw83p1dXN9ZwShkc3LxfT&#10;eYIs/tx1PsQ3wmqSjJri4Pl5FhL2b0McYn/HpFzBKsk3Uqns+Hb7SnmyB+zuZlPiN8I/ClOG9Jh9&#10;Pkt1AI5sg6OCpnZIO5g253t0I5wDJ9h/A6fC1hC6oYCMkPJDpWUUSS2oOgH8teEkHh1Ka/BF0VSM&#10;FpwSJfABJitHRpDqkkgUT5kELfJ4jyqlLg19SdbW8iO2dee8bDuUdZplSSc4Rln/ceTTnJ77aJ8/&#10;89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dkOvtkAAAALAQAADwAAAAAAAAABACAAAAAiAAAA&#10;ZHJzL2Rvd25yZXYueG1sUEsBAhQAFAAAAAgAh07iQBEbJYcGAgAALgQAAA4AAAAAAAAAAQAgAAAA&#10;KAEAAGRycy9lMm9Eb2MueG1sUEsFBgAAAAAGAAYAWQEAAKAFAAAAAA==&#10;" path="m0,36139l51177,36139,66992,0,82807,36139,133984,36139,92580,58475,108396,94614,66992,72278,25588,94614,41404,58475xe">
                <v:path o:connectlocs="66992,0;0,36139;25588,94614;108396,94614;133984,36139" o:connectangles="247,164,82,82,0"/>
                <v:fill on="t" focussize="0,0"/>
                <v:stroke color="#000000" joinstyle="miter"/>
                <v:imagedata o:title=""/>
                <o:lock v:ext="edit" aspectratio="f"/>
              </v:shape>
            </w:pict>
          </mc:Fallback>
        </mc:AlternateContent>
      </w:r>
      <w:r>
        <w:rPr>
          <w:color w:val="auto"/>
        </w:rPr>
        <w:drawing>
          <wp:inline distT="0" distB="0" distL="114300" distR="114300">
            <wp:extent cx="6544310" cy="4627245"/>
            <wp:effectExtent l="0" t="0" r="8890" b="190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67"/>
                    <a:stretch>
                      <a:fillRect/>
                    </a:stretch>
                  </pic:blipFill>
                  <pic:spPr>
                    <a:xfrm>
                      <a:off x="0" y="0"/>
                      <a:ext cx="6544310" cy="4627245"/>
                    </a:xfrm>
                    <a:prstGeom prst="rect">
                      <a:avLst/>
                    </a:prstGeom>
                    <a:noFill/>
                    <a:ln>
                      <a:noFill/>
                    </a:ln>
                  </pic:spPr>
                </pic:pic>
              </a:graphicData>
            </a:graphic>
          </wp:inline>
        </w:drawing>
      </w:r>
    </w:p>
    <w:p>
      <w:pPr>
        <w:pStyle w:val="5"/>
        <w:bidi w:val="0"/>
        <w:jc w:val="center"/>
        <w:rPr>
          <w:rFonts w:hint="eastAsia"/>
          <w:b/>
          <w:bCs/>
          <w:color w:val="auto"/>
          <w:lang w:eastAsia="zh-CN"/>
        </w:rPr>
        <w:sectPr>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b/>
          <w:bCs/>
          <w:color w:val="auto"/>
          <w:sz w:val="21"/>
          <w:szCs w:val="21"/>
          <w:highlight w:val="none"/>
        </w:rPr>
        <w:t>附图</w:t>
      </w:r>
      <w:r>
        <w:rPr>
          <w:rFonts w:hint="eastAsia" w:ascii="Times New Roman" w:hAnsi="Times New Roman" w:eastAsia="宋体" w:cs="Times New Roman"/>
          <w:b/>
          <w:bCs/>
          <w:color w:val="auto"/>
          <w:sz w:val="21"/>
          <w:szCs w:val="21"/>
          <w:highlight w:val="none"/>
          <w:lang w:val="en-US" w:eastAsia="zh-CN"/>
        </w:rPr>
        <w:t>8</w:t>
      </w:r>
      <w:r>
        <w:rPr>
          <w:rFonts w:hint="eastAsia"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哈尔滨市</w:t>
      </w:r>
      <w:r>
        <w:rPr>
          <w:rFonts w:hint="eastAsia" w:eastAsia="宋体" w:cs="Times New Roman"/>
          <w:b/>
          <w:bCs/>
          <w:color w:val="auto"/>
          <w:sz w:val="21"/>
          <w:szCs w:val="21"/>
          <w:highlight w:val="none"/>
          <w:lang w:val="en-US" w:eastAsia="zh-CN"/>
        </w:rPr>
        <w:t>生态保护红线分布</w:t>
      </w:r>
      <w:r>
        <w:rPr>
          <w:rFonts w:hint="eastAsia" w:eastAsia="宋体" w:cs="Times New Roman"/>
          <w:b/>
          <w:bCs/>
          <w:color w:val="auto"/>
          <w:sz w:val="21"/>
          <w:szCs w:val="21"/>
          <w:highlight w:val="none"/>
          <w:lang w:eastAsia="zh-CN"/>
        </w:rPr>
        <w:t>图</w:t>
      </w:r>
    </w:p>
    <w:p>
      <w:pPr>
        <w:bidi w:val="0"/>
        <w:jc w:val="center"/>
        <w:rPr>
          <w:rFonts w:hint="default"/>
          <w:color w:val="auto"/>
          <w:highlight w:val="none"/>
          <w:lang w:val="en-US" w:eastAsia="zh-CN"/>
        </w:rPr>
      </w:pP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3101975</wp:posOffset>
                </wp:positionH>
                <wp:positionV relativeFrom="paragraph">
                  <wp:posOffset>1944370</wp:posOffset>
                </wp:positionV>
                <wp:extent cx="1190625" cy="294640"/>
                <wp:effectExtent l="5080" t="4445" r="4445" b="329565"/>
                <wp:wrapNone/>
                <wp:docPr id="40" name="矩形标注 40"/>
                <wp:cNvGraphicFramePr/>
                <a:graphic xmlns:a="http://schemas.openxmlformats.org/drawingml/2006/main">
                  <a:graphicData uri="http://schemas.microsoft.com/office/word/2010/wordprocessingShape">
                    <wps:wsp>
                      <wps:cNvSpPr/>
                      <wps:spPr>
                        <a:xfrm>
                          <a:off x="0" y="0"/>
                          <a:ext cx="1190625" cy="294640"/>
                        </a:xfrm>
                        <a:prstGeom prst="wedgeRectCallout">
                          <a:avLst>
                            <a:gd name="adj1" fmla="val -41253"/>
                            <a:gd name="adj2" fmla="val 153232"/>
                          </a:avLst>
                        </a:prstGeom>
                        <a:noFill/>
                        <a:ln w="9525" cap="flat" cmpd="sng">
                          <a:solidFill>
                            <a:schemeClr val="tx1"/>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本项目所在位置</w:t>
                            </w:r>
                          </w:p>
                        </w:txbxContent>
                      </wps:txbx>
                      <wps:bodyPr upright="1"/>
                    </wps:wsp>
                  </a:graphicData>
                </a:graphic>
              </wp:anchor>
            </w:drawing>
          </mc:Choice>
          <mc:Fallback>
            <w:pict>
              <v:shape id="_x0000_s1026" o:spid="_x0000_s1026" o:spt="61" type="#_x0000_t61" style="position:absolute;left:0pt;margin-left:244.25pt;margin-top:153.1pt;height:23.2pt;width:93.75pt;z-index:251671552;mso-width-relative:page;mso-height-relative:page;" filled="f" stroked="t" coordsize="21600,21600" o:gfxdata="UEsDBAoAAAAAAIdO4kAAAAAAAAAAAAAAAAAEAAAAZHJzL1BLAwQUAAAACACHTuJArIIpldgAAAAL&#10;AQAADwAAAGRycy9kb3ducmV2LnhtbE2Py07DMBBF90j8gzWV2FGngZooxKl4rqouCP0AJ54mUeJx&#10;FLsP+HqGFSxn5urMucXm4kZxwjn0njSslgkIpMbbnloN+8/32wxEiIasGT2hhi8MsCmvrwqTW3+m&#10;DzxVsRUMoZAbDV2MUy5laDp0Jiz9hMS3g5+diTzOrbSzOTPcjTJNEiWd6Yk/dGbClw6boTo6Dff4&#10;1L7tht77qanVdl99D8/bV61vFqvkEUTES/wLw68+q0PJTrU/kg1iZEaWrTmq4S5RKQhOqAfF7Wre&#10;rFMFsizk/w7lD1BLAwQUAAAACACHTuJA3YZD4DQCAABnBAAADgAAAGRycy9lMm9Eb2MueG1srVRL&#10;ktMwEN1TxR1U2k8cO58iqTizmDBsKJhimAMokmyL0q8kJXZOwDGgWMF61hyH4RrTkk0mDJssyMJp&#10;Wa3X771ueXXZKYn23HlhdInz0RgjrqlhQtclvvt4ffEKIx+IZkQazUt84B5frl++WLV2yQvTGMm4&#10;QwCi/bK1JW5CsMss87ThiviRsVzDZmWcIgGWrs6YIy2gK5kV4/E8a41j1hnKvYe3m34TD4juHEBT&#10;VYLyjaE7xXXoUR2XJIAk3wjr8TqxrSpOw/uq8jwgWWJQGtITikC8jc9svSLL2hHbCDpQIOdQeKZJ&#10;EaGh6BFqQwJBOyf+gVKCOuNNFUbUqKwXkhwBFfn4mTe3DbE8aQGrvT2a7v8fLH23v3FIsBJPwRJN&#10;FHT895cfv35+e/j6+eH+O4LX4FFr/RJSb+2NG1Yewii4q5yK/yAFdcnXw9FX3gVE4WWeL8bzYoYR&#10;hb1iMZ33oNnTaet8eMONQjEocctZzT9A866IlGYXkrVk/9aH5DEbiBL2KceoUhJaticSXUzzYjYZ&#10;enqSVJwm5bNJMSliEtQfMCH6wyAW0OZaSJlGQ2rUlngxS+wJjHsFYwZClAXLvK4TM2+kYPFIPOxd&#10;vb2SDgEhMCL9hmJ/pcV6G+KbPi9t9cSVCNyl2g0n7LVmKBwsdEXDbcSRjOIMI8nh8sYoZQYi5DmZ&#10;oFNqEB7b2TcwRqHbdgATw61hB5iHnXWibqAReaIed2D+kmPDXYkDfrpOoE/fh/U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rIIpldgAAAALAQAADwAAAAAAAAABACAAAAAiAAAAZHJzL2Rvd25yZXYu&#10;eG1sUEsBAhQAFAAAAAgAh07iQN2GQ+A0AgAAZwQAAA4AAAAAAAAAAQAgAAAAJwEAAGRycy9lMm9E&#10;b2MueG1sUEsFBgAAAAAGAAYAWQEAAM0FAAAAAA==&#10;" adj="1889,43898">
                <v:fill on="f" focussize="0,0"/>
                <v:stroke color="#000000 [3213]" joinstyle="miter"/>
                <v:imagedata o:title=""/>
                <o:lock v:ext="edit" aspectratio="f"/>
                <v:textbox>
                  <w:txbxContent>
                    <w:p>
                      <w:pPr>
                        <w:rPr>
                          <w:rFonts w:hint="default" w:eastAsia="宋体"/>
                          <w:lang w:val="en-US" w:eastAsia="zh-CN"/>
                        </w:rPr>
                      </w:pPr>
                      <w:r>
                        <w:rPr>
                          <w:rFonts w:hint="eastAsia"/>
                          <w:lang w:val="en-US" w:eastAsia="zh-CN"/>
                        </w:rPr>
                        <w:t>本项目所在位置</w:t>
                      </w:r>
                    </w:p>
                  </w:txbxContent>
                </v:textbox>
              </v:shape>
            </w:pict>
          </mc:Fallback>
        </mc:AlternateContent>
      </w: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3101340</wp:posOffset>
                </wp:positionH>
                <wp:positionV relativeFrom="paragraph">
                  <wp:posOffset>2515235</wp:posOffset>
                </wp:positionV>
                <wp:extent cx="158750" cy="169545"/>
                <wp:effectExtent l="12700" t="12700" r="19050" b="27305"/>
                <wp:wrapNone/>
                <wp:docPr id="41" name="五角星 41"/>
                <wp:cNvGraphicFramePr/>
                <a:graphic xmlns:a="http://schemas.openxmlformats.org/drawingml/2006/main">
                  <a:graphicData uri="http://schemas.microsoft.com/office/word/2010/wordprocessingShape">
                    <wps:wsp>
                      <wps:cNvSpPr/>
                      <wps:spPr>
                        <a:xfrm>
                          <a:off x="1609090" y="4474845"/>
                          <a:ext cx="158750" cy="16954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4.2pt;margin-top:198.05pt;height:13.35pt;width:12.5pt;z-index:251670528;v-text-anchor:middle;mso-width-relative:page;mso-height-relative:page;" fillcolor="#FF0000" filled="t" stroked="t" coordsize="158750,169545" o:gfxdata="UEsDBAoAAAAAAIdO4kAAAAAAAAAAAAAAAAAEAAAAZHJzL1BLAwQUAAAACACHTuJAV+9qrdsAAAAL&#10;AQAADwAAAGRycy9kb3ducmV2LnhtbE2Py07DMBBF90j8gzVI7KjzKFGaxqkEqEJIXbQF0a0bT5OI&#10;2I5sJyl/z7CC5cw9unOm3Fx1zyZ0vrNGQLyIgKGprepMI+DjffuQA/NBGiV7a1DAN3rYVLc3pSyU&#10;nc0Bp2NoGJUYX0gBbQhDwbmvW9TSL+yAhrKLdVoGGl3DlZMzleueJ1GUcS07QxdaOeBzi/XXcdQC&#10;kt3LeFq5eb/7zML26e0wpa/8IsT9XRytgQW8hj8YfvVJHSpyOtvRKM96Acs8XxIqIF1lMTAiHuOU&#10;NmeKkiQHXpX8/w/VD1BLAwQUAAAACACHTuJAu3iSonMCAADuBAAADgAAAGRycy9lMm9Eb2MueG1s&#10;rVTNbtNAEL4j8Q6rvVMnkd2fqE4VNQpCqmilgjhv1uvY0v6xu4lTHgNx4MaRd+B5EOIx+HbtNmnh&#10;0AOJZM/szH4z882Mzy92SpKtcL41uqTjoxElQnNTtXpd0vfvlq9OKfGB6YpJo0VJ74SnF7OXL847&#10;OxUT0xhZCUcAov20syVtQrDTLPO8EYr5I2OFhrE2TrEA1a2zyrEO6Epmk9HoOOuMq6wzXHiP00Vv&#10;pAOiew6gqeuWi4XhGyV06FGdkCygJN+01tNZyrauBQ/Xde1FILKkqDSkJ4JAXsVnNjtn07Vjtmn5&#10;kAJ7TgpPalKs1Qj6ALVggZGNa/+CUi13xps6HHGjsr6QxAiqGI+ecHPbMCtSLaDa2wfS/f+D5W+3&#10;N460VUnzMSWaKXT8548vv79//vX1G8EZCOqsn8Lv1t64QfMQY7W72qn4Rh1kh2E6Hp3hT8kd4PKT&#10;/DQveoLFLhAeHYrTkwJ2Dofx8VnR27M9kHU+vBZGkSiUFHPoisQr2175gOjwvfeJgb2RbbVspUyK&#10;W68upSNbhmYvlyP8YnhceeQmNelKOilymAlnGOEaowNRWdDg9ZoSJtfYDR5civ3otn9ekJjkgvmm&#10;TyYhDLlIjZQipT2JUVqZ6g5dcKYfT2/5ssX9K+bDDXOYRySKjQ3XeNTSIHszSJQ0xn3613n0x5jA&#10;SkmH+UZlHzfMCUrkG40BOhvnOWBDUvLiZALFHVpWhxa9UZcGrGJGkF0So3+Q92LtjPqAxZ7HqDAx&#10;zRG753BQLkO/d/g0cDGfJzcsgWXhSt9aHsFjF7WZb4Kp29TtPTsDaViD1NFhZeOeHerJa/+Zmv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9qrdsAAAALAQAADwAAAAAAAAABACAAAAAiAAAAZHJz&#10;L2Rvd25yZXYueG1sUEsBAhQAFAAAAAgAh07iQLt4kqJzAgAA7gQAAA4AAAAAAAAAAQAgAAAAKgEA&#10;AGRycy9lMm9Eb2MueG1sUEsFBgAAAAAGAAYAWQEAAA8GAAAAAA==&#10;" path="m0,64760l60637,64760,79375,0,98112,64760,158749,64760,109693,104784,128431,169544,79375,129519,30318,169544,49056,104784xe">
                <v:path o:connectlocs="79375,0;0,64760;30318,169544;128431,169544;158749,64760" o:connectangles="247,164,82,82,0"/>
                <v:fill on="t" focussize="0,0"/>
                <v:stroke weight="2pt" color="#FF0000 [3204]" joinstyle="round"/>
                <v:imagedata o:title=""/>
                <o:lock v:ext="edit" aspectratio="f"/>
              </v:shape>
            </w:pict>
          </mc:Fallback>
        </mc:AlternateContent>
      </w:r>
      <w:r>
        <w:rPr>
          <w:rFonts w:hint="default"/>
          <w:color w:val="auto"/>
          <w:highlight w:val="none"/>
          <w:lang w:val="en-US" w:eastAsia="zh-CN"/>
        </w:rPr>
        <w:drawing>
          <wp:inline distT="0" distB="0" distL="114300" distR="114300">
            <wp:extent cx="5186680" cy="7135495"/>
            <wp:effectExtent l="0" t="0" r="13970" b="8255"/>
            <wp:docPr id="59" name="图片 59" descr="附图8 双城园区总体规划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附图8 双城园区总体规划图 拷贝"/>
                    <pic:cNvPicPr>
                      <a:picLocks noChangeAspect="1"/>
                    </pic:cNvPicPr>
                  </pic:nvPicPr>
                  <pic:blipFill>
                    <a:blip r:embed="rId68"/>
                    <a:stretch>
                      <a:fillRect/>
                    </a:stretch>
                  </pic:blipFill>
                  <pic:spPr>
                    <a:xfrm>
                      <a:off x="0" y="0"/>
                      <a:ext cx="5186680" cy="71354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附图</w:t>
      </w:r>
      <w:r>
        <w:rPr>
          <w:rFonts w:hint="eastAsia" w:cs="Times New Roman"/>
          <w:b/>
          <w:bCs/>
          <w:color w:val="auto"/>
          <w:highlight w:val="none"/>
          <w:lang w:val="en-US" w:eastAsia="zh-CN"/>
        </w:rPr>
        <w:t>9</w:t>
      </w:r>
      <w:r>
        <w:rPr>
          <w:rFonts w:hint="default" w:ascii="Times New Roman" w:hAnsi="Times New Roman" w:cs="Times New Roman"/>
          <w:b/>
          <w:bCs/>
          <w:color w:val="auto"/>
          <w:highlight w:val="none"/>
          <w:lang w:val="en-US" w:eastAsia="zh-CN"/>
        </w:rPr>
        <w:t xml:space="preserve"> 双城经济开发区双城园区总体规划图</w:t>
      </w:r>
    </w:p>
    <w:p>
      <w:pPr>
        <w:pStyle w:val="42"/>
        <w:jc w:val="center"/>
        <w:rPr>
          <w:rFonts w:hint="default"/>
          <w:color w:val="auto"/>
          <w:highlight w:val="none"/>
          <w:lang w:val="en-US" w:eastAsia="zh-CN"/>
        </w:rPr>
      </w:pP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3111500</wp:posOffset>
                </wp:positionH>
                <wp:positionV relativeFrom="paragraph">
                  <wp:posOffset>2096770</wp:posOffset>
                </wp:positionV>
                <wp:extent cx="1190625" cy="294640"/>
                <wp:effectExtent l="5080" t="4445" r="4445" b="329565"/>
                <wp:wrapNone/>
                <wp:docPr id="61" name="矩形标注 61"/>
                <wp:cNvGraphicFramePr/>
                <a:graphic xmlns:a="http://schemas.openxmlformats.org/drawingml/2006/main">
                  <a:graphicData uri="http://schemas.microsoft.com/office/word/2010/wordprocessingShape">
                    <wps:wsp>
                      <wps:cNvSpPr/>
                      <wps:spPr>
                        <a:xfrm>
                          <a:off x="0" y="0"/>
                          <a:ext cx="1190625" cy="294640"/>
                        </a:xfrm>
                        <a:prstGeom prst="wedgeRectCallout">
                          <a:avLst>
                            <a:gd name="adj1" fmla="val -41253"/>
                            <a:gd name="adj2" fmla="val 153232"/>
                          </a:avLst>
                        </a:prstGeom>
                        <a:noFill/>
                        <a:ln w="9525" cap="flat" cmpd="sng">
                          <a:solidFill>
                            <a:schemeClr val="tx1"/>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本项目所在位置</w:t>
                            </w:r>
                          </w:p>
                        </w:txbxContent>
                      </wps:txbx>
                      <wps:bodyPr upright="1"/>
                    </wps:wsp>
                  </a:graphicData>
                </a:graphic>
              </wp:anchor>
            </w:drawing>
          </mc:Choice>
          <mc:Fallback>
            <w:pict>
              <v:shape id="_x0000_s1026" o:spid="_x0000_s1026" o:spt="61" type="#_x0000_t61" style="position:absolute;left:0pt;margin-left:245pt;margin-top:165.1pt;height:23.2pt;width:93.75pt;z-index:251672576;mso-width-relative:page;mso-height-relative:page;" filled="f" stroked="t" coordsize="21600,21600" o:gfxdata="UEsDBAoAAAAAAIdO4kAAAAAAAAAAAAAAAAAEAAAAZHJzL1BLAwQUAAAACACHTuJAGOwriNgAAAAL&#10;AQAADwAAAGRycy9kb3ducmV2LnhtbE2Py07EMAxF90j8Q2QkdkwyM5BCaTriuRqxoMwHpI1pqzZO&#10;1WQe8PWYFSxtXx2fW2xOfhQHnGMfyMByoUAgNcH11BrYfbxe3YKIyZKzYyA08IURNuX5WWFzF470&#10;jocqtYIhFHNroEtpyqWMTYfexkWYkPj2GWZvE49zK91sjwz3o1wppaW3PfGHzk741GEzVHtv4Bof&#10;2pe3oQ9hamq93VXfw+P22ZjLi6W6B5HwlP7C8KvP6lCyUx325KIYmXGnuEsysF6rFQhO6Cy7AVHz&#10;JtMaZFnI/x3KH1BLAwQUAAAACACHTuJAXOprKjUCAABnBAAADgAAAGRycy9lMm9Eb2MueG1srVRL&#10;ktMwEN1TxR1U2k8cO58iqTizmDBsKJhimAMokmyL0q8kJXZOwDGgWMF61hyH4RrTkk0mDJssyMJp&#10;Wa3X771ueXXZKYn23HlhdInz0RgjrqlhQtclvvt4ffEKIx+IZkQazUt84B5frl++WLV2yQvTGMm4&#10;QwCi/bK1JW5CsMss87ThiviRsVzDZmWcIgGWrs6YIy2gK5kV4/E8a41j1hnKvYe3m34TD4juHEBT&#10;VYLyjaE7xXXoUR2XJIAk3wjr8TqxrSpOw/uq8jwgWWJQGtITikC8jc9svSLL2hHbCDpQIOdQeKZJ&#10;EaGh6BFqQwJBOyf+gVKCOuNNFUbUqKwXkhwBFfn4mTe3DbE8aQGrvT2a7v8fLH23v3FIsBLPc4w0&#10;UdDx319+/Pr57eHr54f77wheg0et9UtIvbU3blh5CKPgrnIq/oMU1CVfD0dfeRcQhZd5vhjPixlG&#10;FPaKxXQ+TcZnT6et8+ENNwrFoMQtZzX/AM27IlKaXUjWkv1bH5LHbCBK2CcgXSkJLdsTiS6meTGb&#10;DD09SSpOk/LZpJgUMQnqD5gQ/WEQC2hzLaRMoyE1aku8mCX2BMa9gjEDIcqCZV7XiZk3UrB4JB72&#10;rt5eSYeAEBiRfkOxv9JivQ3xTZ+XtnriSgTuUu2GE/ZaMxQOFrqi4TbiSEZxhpHkcHljlDIDEfKc&#10;TNApNQiP7ewbGKPQbTuAieHWsAPMw846UTfQiNT8lA7zlxwb7koc8NN1An36Pqwf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jsK4jYAAAACwEAAA8AAAAAAAAAAQAgAAAAIgAAAGRycy9kb3ducmV2&#10;LnhtbFBLAQIUABQAAAAIAIdO4kBc6msqNQIAAGcEAAAOAAAAAAAAAAEAIAAAACcBAABkcnMvZTJv&#10;RG9jLnhtbFBLBQYAAAAABgAGAFkBAADOBQAAAAA=&#10;" adj="1889,43898">
                <v:fill on="f" focussize="0,0"/>
                <v:stroke color="#000000 [3213]" joinstyle="miter"/>
                <v:imagedata o:title=""/>
                <o:lock v:ext="edit" aspectratio="f"/>
                <v:textbox>
                  <w:txbxContent>
                    <w:p>
                      <w:pPr>
                        <w:rPr>
                          <w:rFonts w:hint="default" w:eastAsia="宋体"/>
                          <w:lang w:val="en-US" w:eastAsia="zh-CN"/>
                        </w:rPr>
                      </w:pPr>
                      <w:r>
                        <w:rPr>
                          <w:rFonts w:hint="eastAsia"/>
                          <w:lang w:val="en-US" w:eastAsia="zh-CN"/>
                        </w:rPr>
                        <w:t>本项目所在位置</w:t>
                      </w:r>
                    </w:p>
                  </w:txbxContent>
                </v:textbox>
              </v:shape>
            </w:pict>
          </mc:Fallback>
        </mc:AlternateContent>
      </w:r>
      <w:r>
        <w:rPr>
          <w:rFonts w:hint="default"/>
          <w:color w:val="auto"/>
          <w:highlight w:val="none"/>
          <w:lang w:val="en-US" w:eastAsia="zh-CN"/>
        </w:rPr>
        <w:drawing>
          <wp:inline distT="0" distB="0" distL="114300" distR="114300">
            <wp:extent cx="5399405" cy="7200900"/>
            <wp:effectExtent l="0" t="0" r="10795" b="0"/>
            <wp:docPr id="60" name="图片 60" descr="在园区大概这个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在园区大概这个位置"/>
                    <pic:cNvPicPr>
                      <a:picLocks noChangeAspect="1"/>
                    </pic:cNvPicPr>
                  </pic:nvPicPr>
                  <pic:blipFill>
                    <a:blip r:embed="rId69"/>
                    <a:stretch>
                      <a:fillRect/>
                    </a:stretch>
                  </pic:blipFill>
                  <pic:spPr>
                    <a:xfrm>
                      <a:off x="0" y="0"/>
                      <a:ext cx="5399405" cy="7200900"/>
                    </a:xfrm>
                    <a:prstGeom prst="rect">
                      <a:avLst/>
                    </a:prstGeom>
                  </pic:spPr>
                </pic:pic>
              </a:graphicData>
            </a:graphic>
          </wp:inline>
        </w:drawing>
      </w:r>
    </w:p>
    <w:p>
      <w:pPr>
        <w:pStyle w:val="5"/>
        <w:bidi w:val="0"/>
        <w:jc w:val="center"/>
        <w:rPr>
          <w:rFonts w:hint="default" w:ascii="Times New Roman" w:hAnsi="Times New Roman" w:eastAsia="宋体" w:cs="Times New Roman"/>
          <w:color w:val="auto"/>
          <w:sz w:val="21"/>
          <w:szCs w:val="21"/>
          <w:highlight w:val="none"/>
          <w:lang w:val="en-US" w:eastAsia="zh-CN"/>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 xml:space="preserve"> 双城经济开发区双城园区功能分区规划图</w:t>
      </w:r>
    </w:p>
    <w:p>
      <w:pPr>
        <w:pStyle w:val="42"/>
        <w:rPr>
          <w:rFonts w:hint="eastAsia" w:ascii="Times New Roman" w:hAnsi="Times New Roman" w:cs="Times New Roman"/>
          <w:b/>
          <w:bCs/>
          <w:color w:val="auto"/>
          <w:highlight w:val="none"/>
          <w:lang w:val="en-US" w:eastAsia="zh-CN"/>
        </w:rPr>
      </w:pPr>
    </w:p>
    <w:p>
      <w:pPr>
        <w:pStyle w:val="42"/>
        <w:jc w:val="center"/>
        <w:rPr>
          <w:rFonts w:hint="default" w:ascii="Times New Roman" w:hAnsi="Times New Roman" w:cs="Times New Roman"/>
          <w:b/>
          <w:bCs/>
          <w:color w:val="auto"/>
          <w:highlight w:val="none"/>
          <w:lang w:val="en-US" w:eastAsia="zh-CN"/>
        </w:rPr>
      </w:pPr>
      <w:r>
        <w:rPr>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3349625</wp:posOffset>
                </wp:positionH>
                <wp:positionV relativeFrom="paragraph">
                  <wp:posOffset>1800860</wp:posOffset>
                </wp:positionV>
                <wp:extent cx="1190625" cy="294640"/>
                <wp:effectExtent l="5080" t="4445" r="4445" b="329565"/>
                <wp:wrapNone/>
                <wp:docPr id="9" name="矩形标注 9"/>
                <wp:cNvGraphicFramePr/>
                <a:graphic xmlns:a="http://schemas.openxmlformats.org/drawingml/2006/main">
                  <a:graphicData uri="http://schemas.microsoft.com/office/word/2010/wordprocessingShape">
                    <wps:wsp>
                      <wps:cNvSpPr/>
                      <wps:spPr>
                        <a:xfrm>
                          <a:off x="0" y="0"/>
                          <a:ext cx="1190625" cy="294640"/>
                        </a:xfrm>
                        <a:prstGeom prst="wedgeRectCallout">
                          <a:avLst>
                            <a:gd name="adj1" fmla="val -41253"/>
                            <a:gd name="adj2" fmla="val 153232"/>
                          </a:avLst>
                        </a:prstGeom>
                        <a:noFill/>
                        <a:ln w="9525" cap="flat" cmpd="sng">
                          <a:solidFill>
                            <a:schemeClr val="tx1"/>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本项目所在位置</w:t>
                            </w:r>
                          </w:p>
                        </w:txbxContent>
                      </wps:txbx>
                      <wps:bodyPr upright="1"/>
                    </wps:wsp>
                  </a:graphicData>
                </a:graphic>
              </wp:anchor>
            </w:drawing>
          </mc:Choice>
          <mc:Fallback>
            <w:pict>
              <v:shape id="_x0000_s1026" o:spid="_x0000_s1026" o:spt="61" type="#_x0000_t61" style="position:absolute;left:0pt;margin-left:263.75pt;margin-top:141.8pt;height:23.2pt;width:93.75pt;z-index:251674624;mso-width-relative:page;mso-height-relative:page;" filled="f" stroked="t" coordsize="21600,21600" o:gfxdata="UEsDBAoAAAAAAIdO4kAAAAAAAAAAAAAAAAAEAAAAZHJzL1BLAwQUAAAACACHTuJAeFeu4tkAAAAL&#10;AQAADwAAAGRycy9kb3ducmV2LnhtbE2Py26DMBBF95X6D9ZU6q6xgUIiion6XEVdlOYDDEwBgccI&#10;O4/26ztdNcvRHN17brE920kccfGDIw3RSoFAalw7UKdh//l2twHhg6HWTI5Qwzd62JbXV4XJW3ei&#10;DzxWoRMcQj43GvoQ5lxK3/RojV+5GYl/X26xJvC5dLJdzInD7SRjpTJpzUDc0JsZn3tsxupgNdzj&#10;Y/f6Pg7OzU2d7fbVz/i0e9H69iZSDyACnsM/DH/6rA4lO9XuQK0Xk4Y0XqeMaog3SQaCiXWU8rpa&#10;Q5IoBbIs5OWG8hdQSwMEFAAAAAgAh07iQMmQz540AgAAZQQAAA4AAABkcnMvZTJvRG9jLnhtbK1U&#10;S5LTMBDdU8UdVNpPHDufIqk4s5gwbCiYYpgDKJJsi9KvJCV2TsAxoFjBetYch+Ea05JNJgybLMjC&#10;aVmt1++9bnl12SmJ9tx5YXSJ89EYI66pYULXJb77eH3xCiMfiGZEGs1LfOAeX65fvli1dskL0xjJ&#10;uEMAov2ytSVuQrDLLPO04Yr4kbFcw2ZlnCIBlq7OmCMtoCuZFePxPGuNY9YZyr2Ht5t+Ew+I7hxA&#10;U1WC8o2hO8V16FEdlySAJN8I6/E6sa0qTsP7qvI8IFliUBrSE4pAvI3PbL0iy9oR2wg6UCDnUHim&#10;SRGhoegRakMCQTsn/oFSgjrjTRVG1KisF5IcARX5+Jk3tw2xPGkBq709mu7/Hyx9t79xSLASLzDS&#10;REHDf3/58evnt4evnx/uv6NFdKi1fgmJt/bGDSsPYZTbVU7FfxCCuuTq4egq7wKi8DLPF+N5McOI&#10;wl6xmM6nyfbs6bR1PrzhRqEYlLjlrOYfoHVXREqzC8lYsn/rQ3KYDTwJ+5RjVCkJDdsTiS6meTGb&#10;DB09SSpOk/LZpJgUMQnqD5gQ/WEQC2hzLaRMgyE1asGZWWJPYNgrGDIQoiwY5nWdmHkjBYtH4mHv&#10;6u2VdAgIgRHpNxT7Ky3W2xDf9HlpqyeuROAu1W44Ya81Q+FgoSka7iKOZBRnGEkOVzdGKTMQIc/J&#10;BJ1Sg/DYzr6BMQrdtgOYGG4NO8A07KwTdQONyBP1uAPTlxwbbkoc79N1An36Oqwf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hXruLZAAAACwEAAA8AAAAAAAAAAQAgAAAAIgAAAGRycy9kb3ducmV2&#10;LnhtbFBLAQIUABQAAAAIAIdO4kDJkM+eNAIAAGUEAAAOAAAAAAAAAAEAIAAAACgBAABkcnMvZTJv&#10;RG9jLnhtbFBLBQYAAAAABgAGAFkBAADOBQAAAAA=&#10;" adj="1889,43898">
                <v:fill on="f" focussize="0,0"/>
                <v:stroke color="#000000 [3213]" joinstyle="miter"/>
                <v:imagedata o:title=""/>
                <o:lock v:ext="edit" aspectratio="f"/>
                <v:textbox>
                  <w:txbxContent>
                    <w:p>
                      <w:pPr>
                        <w:rPr>
                          <w:rFonts w:hint="default" w:eastAsia="宋体"/>
                          <w:lang w:val="en-US" w:eastAsia="zh-CN"/>
                        </w:rPr>
                      </w:pPr>
                      <w:r>
                        <w:rPr>
                          <w:rFonts w:hint="eastAsia"/>
                          <w:lang w:val="en-US" w:eastAsia="zh-CN"/>
                        </w:rPr>
                        <w:t>本项目所在位置</w:t>
                      </w:r>
                    </w:p>
                  </w:txbxContent>
                </v:textbox>
              </v:shape>
            </w:pict>
          </mc:Fallback>
        </mc:AlternateContent>
      </w:r>
      <w:r>
        <w:rPr>
          <w:color w:val="auto"/>
          <w:sz w:val="21"/>
          <w:highlight w:val="none"/>
        </w:rPr>
        <mc:AlternateContent>
          <mc:Choice Requires="wps">
            <w:drawing>
              <wp:anchor distT="0" distB="0" distL="114300" distR="114300" simplePos="0" relativeHeight="251673600" behindDoc="0" locked="0" layoutInCell="1" allowOverlap="1">
                <wp:simplePos x="0" y="0"/>
                <wp:positionH relativeFrom="column">
                  <wp:posOffset>3339465</wp:posOffset>
                </wp:positionH>
                <wp:positionV relativeFrom="paragraph">
                  <wp:posOffset>2334260</wp:posOffset>
                </wp:positionV>
                <wp:extent cx="158750" cy="169545"/>
                <wp:effectExtent l="12700" t="12700" r="19050" b="27305"/>
                <wp:wrapNone/>
                <wp:docPr id="8" name="五角星 8"/>
                <wp:cNvGraphicFramePr/>
                <a:graphic xmlns:a="http://schemas.openxmlformats.org/drawingml/2006/main">
                  <a:graphicData uri="http://schemas.microsoft.com/office/word/2010/wordprocessingShape">
                    <wps:wsp>
                      <wps:cNvSpPr/>
                      <wps:spPr>
                        <a:xfrm>
                          <a:off x="0" y="0"/>
                          <a:ext cx="158750" cy="16954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2.95pt;margin-top:183.8pt;height:13.35pt;width:12.5pt;z-index:251673600;v-text-anchor:middle;mso-width-relative:page;mso-height-relative:page;" fillcolor="#FF0000" filled="t" stroked="t" coordsize="158750,169545" o:gfxdata="UEsDBAoAAAAAAIdO4kAAAAAAAAAAAAAAAAAEAAAAZHJzL1BLAwQUAAAACACHTuJAim9RT9sAAAAL&#10;AQAADwAAAGRycy9kb3ducmV2LnhtbE2PwU7DMAyG70i8Q2QkbixZS8tamk4CNCGkHdiY4Jo1WVvR&#10;OFWTtuPt8U5w9O9Pvz8X67Pt2GQG3zqUsFwIYAYrp1usJRw+NncrYD4o1KpzaCT8GA/r8vqqULl2&#10;M+7MtA81oxL0uZLQhNDnnPuqMVb5hesN0u7kBqsCjUPN9aBmKrcdj4RIuVUt0oVG9ea5MdX3frQS&#10;ou3L+JUN8/v2Mw2bp7fdFL/yk5S3N0vxCCyYc/iD4aJP6lCS09GNqD3rJCRRkhEqIU4fUmBEJImg&#10;5EhJdh8DLwv+/4fyF1BLAwQUAAAACACHTuJAs5clJGUCAADgBAAADgAAAGRycy9lMm9Eb2MueG1s&#10;rVTNbhMxEL4j8Q6W73STKNufqJsqahSEVNFKBXF2vN6sJf9hO9mUx0AcuHHkHXgehHgMPnu3v3Do&#10;gT14Zzzjb2Y+z/j0bK8V2QkfpDUVHR+MKBGG21qaTUXfv1u9OqYkRGZqpqwRFb0RgZ7NX7447dxM&#10;TGxrVS08AYgJs85VtI3RzYoi8FZoFg6sEwbGxnrNIlS/KWrPOqBrVUxGo8Ois7523nIRAnaXvZEO&#10;iP45gLZpJBdLy7damNijeqFYREmhlS7Qec62aQSPl00TRCSqoqg05hVBIK/TWsxP2WzjmWslH1Jg&#10;z0nhSU2aSYOgd1BLFhnZevkXlJbc22CbeMCtLvpCMiOoYjx6ws11y5zItYDq4O5ID/8Plr/dXXki&#10;64ri2g3TuPCfP778/v7519dv5DjR07kwg9e1u/KDFiCmWveN1+mPKsg+U3pzR6nYR8KxOS6Pj0qQ&#10;zWEaH56U0zJhFveHnQ/xtbCaJKGi6DxfZibZ7iLE3vfWJwULVsl6JZXKit+sz5UnO4brXa1G+Ab4&#10;R27KkK6ik3IKM+EMTdugWSBqh8KD2VDC1AbTwKPPsR+dDs8LkpJcstD2yWSEIRdlUHGisScuSWtb&#10;34B3b/uGDI6vJM5fsBCvmEcHIlHMaLzE0iiL7O0gUdJa/+lf+8kfjQErJR06GpV93DIvKFFvDFrm&#10;ZDydAjZmZVoeTaD4h5b1Q4vZ6nMLVsd4DRzPYvKP6lZsvNUfMMqLFBUmZjhi9xwOynnsJw2PAReL&#10;RXZD2zsWL8y14wk83aKxi220jcy3fc/OQBoaPzfMMKRpsh7q2ev+YZ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pvUU/bAAAACwEAAA8AAAAAAAAAAQAgAAAAIgAAAGRycy9kb3ducmV2LnhtbFBL&#10;AQIUABQAAAAIAIdO4kCzlyUkZQIAAOAEAAAOAAAAAAAAAAEAIAAAACoBAABkcnMvZTJvRG9jLnht&#10;bFBLBQYAAAAABgAGAFkBAAABBgAAAAA=&#10;" path="m0,64760l60637,64760,79375,0,98112,64760,158749,64760,109693,104784,128431,169544,79375,129519,30318,169544,49056,104784xe">
                <v:path o:connectlocs="79375,0;0,64760;30318,169544;128431,169544;158749,64760" o:connectangles="247,164,82,82,0"/>
                <v:fill on="t" focussize="0,0"/>
                <v:stroke weight="2pt" color="#FF0000 [3204]" joinstyle="round"/>
                <v:imagedata o:title=""/>
                <o:lock v:ext="edit" aspectratio="f"/>
              </v:shape>
            </w:pict>
          </mc:Fallback>
        </mc:AlternateContent>
      </w:r>
      <w:r>
        <w:rPr>
          <w:rFonts w:hint="default" w:ascii="Times New Roman" w:hAnsi="Times New Roman" w:cs="Times New Roman"/>
          <w:b/>
          <w:bCs/>
          <w:color w:val="auto"/>
          <w:highlight w:val="none"/>
          <w:lang w:val="en-US" w:eastAsia="zh-CN"/>
        </w:rPr>
        <w:drawing>
          <wp:inline distT="0" distB="0" distL="114300" distR="114300">
            <wp:extent cx="5578475" cy="4871085"/>
            <wp:effectExtent l="0" t="0" r="3175" b="5715"/>
            <wp:docPr id="11" name="图片 11" descr="微信图片_2023091714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30917144655"/>
                    <pic:cNvPicPr>
                      <a:picLocks noChangeAspect="1"/>
                    </pic:cNvPicPr>
                  </pic:nvPicPr>
                  <pic:blipFill>
                    <a:blip r:embed="rId70"/>
                    <a:stretch>
                      <a:fillRect/>
                    </a:stretch>
                  </pic:blipFill>
                  <pic:spPr>
                    <a:xfrm>
                      <a:off x="0" y="0"/>
                      <a:ext cx="5578475" cy="4871085"/>
                    </a:xfrm>
                    <a:prstGeom prst="rect">
                      <a:avLst/>
                    </a:prstGeom>
                  </pic:spPr>
                </pic:pic>
              </a:graphicData>
            </a:graphic>
          </wp:inline>
        </w:drawing>
      </w:r>
    </w:p>
    <w:p>
      <w:pPr>
        <w:pStyle w:val="5"/>
        <w:bidi w:val="0"/>
        <w:jc w:val="center"/>
        <w:rPr>
          <w:rFonts w:hint="default" w:ascii="Times New Roman" w:hAnsi="Times New Roman" w:cs="Times New Roman"/>
          <w:b/>
          <w:bCs/>
          <w:color w:val="auto"/>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哈尔滨市双城区声环境功能区划分图</w:t>
      </w:r>
    </w:p>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7DC8CA3D-88DE-4738-8F7D-C14B77C7B59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068B88BB-EE2E-4714-8D72-AAE4C7485BC5}"/>
  </w:font>
  <w:font w:name="华文行楷">
    <w:panose1 w:val="02010800040101010101"/>
    <w:charset w:val="86"/>
    <w:family w:val="auto"/>
    <w:pitch w:val="default"/>
    <w:sig w:usb0="00000001" w:usb1="080F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embedRegular r:id="rId3" w:fontKey="{B2D6645F-1588-4338-B671-A0DB0C34C897}"/>
  </w:font>
  <w:font w:name="仿宋_GB2312">
    <w:panose1 w:val="02010609030101010101"/>
    <w:charset w:val="86"/>
    <w:family w:val="modern"/>
    <w:pitch w:val="default"/>
    <w:sig w:usb0="00000001" w:usb1="080E0000" w:usb2="00000000" w:usb3="00000000" w:csb0="00040000" w:csb1="00000000"/>
    <w:embedRegular r:id="rId4" w:fontKey="{AED1ADD1-FB51-4387-AB97-1A2FA7C832E8}"/>
  </w:font>
  <w:font w:name="new times roma">
    <w:altName w:val="Times New Roman"/>
    <w:panose1 w:val="00000000000000000000"/>
    <w:charset w:val="00"/>
    <w:family w:val="auto"/>
    <w:pitch w:val="default"/>
    <w:sig w:usb0="00000000" w:usb1="00000000" w:usb2="00000000" w:usb3="00000000" w:csb0="00040001" w:csb1="00000000"/>
  </w:font>
  <w:font w:name="方正小标宋_GBK">
    <w:panose1 w:val="02000000000000000000"/>
    <w:charset w:val="86"/>
    <w:family w:val="script"/>
    <w:pitch w:val="default"/>
    <w:sig w:usb0="A00002BF" w:usb1="38CF7CFA" w:usb2="00082016" w:usb3="00000000" w:csb0="00040001" w:csb1="00000000"/>
    <w:embedRegular r:id="rId5" w:fontKey="{027F1640-E1DD-41FF-9344-17271883464E}"/>
  </w:font>
  <w:font w:name="楷体_GB2312">
    <w:panose1 w:val="02010609030101010101"/>
    <w:charset w:val="86"/>
    <w:family w:val="modern"/>
    <w:pitch w:val="default"/>
    <w:sig w:usb0="00000001" w:usb1="080E0000" w:usb2="00000000" w:usb3="00000000" w:csb0="00040000" w:csb1="00000000"/>
    <w:embedRegular r:id="rId6" w:fontKey="{910DADBC-DDD2-49E9-B072-C89B0D3E206A}"/>
  </w:font>
  <w:font w:name="华文仿宋">
    <w:panose1 w:val="02010600040101010101"/>
    <w:charset w:val="86"/>
    <w:family w:val="auto"/>
    <w:pitch w:val="default"/>
    <w:sig w:usb0="00000287" w:usb1="080F0000" w:usb2="00000000" w:usb3="00000000" w:csb0="0004009F" w:csb1="DFD70000"/>
    <w:embedRegular r:id="rId7" w:fontKey="{BF296A8D-4C93-43F8-B8EF-14AB2F7FC431}"/>
  </w:font>
  <w:font w:name="仿宋">
    <w:panose1 w:val="02010609060101010101"/>
    <w:charset w:val="86"/>
    <w:family w:val="auto"/>
    <w:pitch w:val="default"/>
    <w:sig w:usb0="800002BF" w:usb1="38CF7CFA" w:usb2="00000016" w:usb3="00000000" w:csb0="00040001" w:csb1="00000000"/>
    <w:embedRegular r:id="rId8" w:fontKey="{11A65CEC-6AB4-49E7-BFF5-77A2C85981B8}"/>
  </w:font>
  <w:font w:name="Wingdings 2">
    <w:panose1 w:val="05020102010507070707"/>
    <w:charset w:val="02"/>
    <w:family w:val="roman"/>
    <w:pitch w:val="default"/>
    <w:sig w:usb0="00000000" w:usb1="00000000" w:usb2="00000000" w:usb3="00000000" w:csb0="80000000" w:csb1="00000000"/>
    <w:embedRegular r:id="rId9" w:fontKey="{04BA4BD1-ACD8-47D2-BF35-13B5E87AF357}"/>
  </w:font>
  <w:font w:name="Times New Roman Regular">
    <w:altName w:val="Times New Roman"/>
    <w:panose1 w:val="02020503050405090304"/>
    <w:charset w:val="00"/>
    <w:family w:val="auto"/>
    <w:pitch w:val="default"/>
    <w:sig w:usb0="00000000" w:usb1="00000000" w:usb2="00000001" w:usb3="00000000" w:csb0="400001BF" w:csb1="DFF70000"/>
    <w:embedRegular r:id="rId10" w:fontKey="{0F7D82E2-9637-4E27-B61B-62E690629FDB}"/>
  </w:font>
  <w:font w:name="宋体-WinCharSetFFFF-H">
    <w:altName w:val="宋体"/>
    <w:panose1 w:val="00000000000000000000"/>
    <w:charset w:val="00"/>
    <w:family w:val="auto"/>
    <w:pitch w:val="default"/>
    <w:sig w:usb0="00000000" w:usb1="00000000" w:usb2="00000000" w:usb3="00000000" w:csb0="00000000" w:csb1="00000000"/>
    <w:embedRegular r:id="rId11" w:fontKey="{8F55849B-BB1D-48C9-9552-C558FE5625F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tabs>
        <w:tab w:val="center" w:pos="4121"/>
        <w:tab w:val="clear" w:pos="4153"/>
      </w:tabs>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tabs>
        <w:tab w:val="center" w:pos="4121"/>
        <w:tab w:val="clear" w:pos="4153"/>
        <w:tab w:val="clear" w:pos="8306"/>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EBC67A"/>
    <w:multiLevelType w:val="singleLevel"/>
    <w:tmpl w:val="88EBC67A"/>
    <w:lvl w:ilvl="0" w:tentative="0">
      <w:start w:val="1"/>
      <w:numFmt w:val="decimal"/>
      <w:suff w:val="nothing"/>
      <w:lvlText w:val="%1、"/>
      <w:lvlJc w:val="left"/>
    </w:lvl>
  </w:abstractNum>
  <w:abstractNum w:abstractNumId="1">
    <w:nsid w:val="8FC3F996"/>
    <w:multiLevelType w:val="singleLevel"/>
    <w:tmpl w:val="8FC3F996"/>
    <w:lvl w:ilvl="0" w:tentative="0">
      <w:start w:val="1"/>
      <w:numFmt w:val="chineseCounting"/>
      <w:suff w:val="nothing"/>
      <w:lvlText w:val="%1、"/>
      <w:lvlJc w:val="left"/>
      <w:pPr>
        <w:ind w:left="0"/>
      </w:pPr>
      <w:rPr>
        <w:rFonts w:hint="eastAsia"/>
      </w:rPr>
    </w:lvl>
  </w:abstractNum>
  <w:abstractNum w:abstractNumId="2">
    <w:nsid w:val="98314F57"/>
    <w:multiLevelType w:val="singleLevel"/>
    <w:tmpl w:val="98314F57"/>
    <w:lvl w:ilvl="0" w:tentative="0">
      <w:start w:val="2"/>
      <w:numFmt w:val="chineseCounting"/>
      <w:suff w:val="nothing"/>
      <w:lvlText w:val="（%1）"/>
      <w:lvlJc w:val="left"/>
      <w:pPr>
        <w:ind w:left="360" w:firstLine="0"/>
      </w:pPr>
      <w:rPr>
        <w:rFonts w:hint="eastAsia"/>
      </w:rPr>
    </w:lvl>
  </w:abstractNum>
  <w:abstractNum w:abstractNumId="3">
    <w:nsid w:val="A2F8ED4F"/>
    <w:multiLevelType w:val="singleLevel"/>
    <w:tmpl w:val="A2F8ED4F"/>
    <w:lvl w:ilvl="0" w:tentative="0">
      <w:start w:val="2"/>
      <w:numFmt w:val="decimal"/>
      <w:pStyle w:val="131"/>
      <w:suff w:val="nothing"/>
      <w:lvlText w:val="（%1）"/>
      <w:lvlJc w:val="left"/>
    </w:lvl>
  </w:abstractNum>
  <w:abstractNum w:abstractNumId="4">
    <w:nsid w:val="A8B5BDB0"/>
    <w:multiLevelType w:val="singleLevel"/>
    <w:tmpl w:val="A8B5BDB0"/>
    <w:lvl w:ilvl="0" w:tentative="0">
      <w:start w:val="2"/>
      <w:numFmt w:val="decimal"/>
      <w:suff w:val="nothing"/>
      <w:lvlText w:val="（%1）"/>
      <w:lvlJc w:val="left"/>
    </w:lvl>
  </w:abstractNum>
  <w:abstractNum w:abstractNumId="5">
    <w:nsid w:val="C427CC84"/>
    <w:multiLevelType w:val="singleLevel"/>
    <w:tmpl w:val="C427CC84"/>
    <w:lvl w:ilvl="0" w:tentative="0">
      <w:start w:val="5"/>
      <w:numFmt w:val="decimal"/>
      <w:suff w:val="nothing"/>
      <w:lvlText w:val="%1）"/>
      <w:lvlJc w:val="left"/>
    </w:lvl>
  </w:abstractNum>
  <w:abstractNum w:abstractNumId="6">
    <w:nsid w:val="D53E88B3"/>
    <w:multiLevelType w:val="singleLevel"/>
    <w:tmpl w:val="D53E88B3"/>
    <w:lvl w:ilvl="0" w:tentative="0">
      <w:start w:val="1"/>
      <w:numFmt w:val="decimal"/>
      <w:suff w:val="nothing"/>
      <w:lvlText w:val="%1、"/>
      <w:lvlJc w:val="left"/>
    </w:lvl>
  </w:abstractNum>
  <w:abstractNum w:abstractNumId="7">
    <w:nsid w:val="DCFE715B"/>
    <w:multiLevelType w:val="singleLevel"/>
    <w:tmpl w:val="DCFE715B"/>
    <w:lvl w:ilvl="0" w:tentative="0">
      <w:start w:val="3"/>
      <w:numFmt w:val="decimal"/>
      <w:suff w:val="nothing"/>
      <w:lvlText w:val="（%1）"/>
      <w:lvlJc w:val="left"/>
      <w:rPr>
        <w:rFonts w:hint="default" w:ascii="Times New Roman" w:hAnsi="Times New Roman" w:cs="Times New Roman"/>
      </w:rPr>
    </w:lvl>
  </w:abstractNum>
  <w:abstractNum w:abstractNumId="8">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9">
    <w:nsid w:val="47C032C3"/>
    <w:multiLevelType w:val="singleLevel"/>
    <w:tmpl w:val="47C032C3"/>
    <w:lvl w:ilvl="0" w:tentative="0">
      <w:start w:val="1"/>
      <w:numFmt w:val="decimal"/>
      <w:suff w:val="nothing"/>
      <w:lvlText w:val="%1、"/>
      <w:lvlJc w:val="left"/>
    </w:lvl>
  </w:abstractNum>
  <w:abstractNum w:abstractNumId="10">
    <w:nsid w:val="4FFD0C1F"/>
    <w:multiLevelType w:val="singleLevel"/>
    <w:tmpl w:val="4FFD0C1F"/>
    <w:lvl w:ilvl="0" w:tentative="0">
      <w:start w:val="1"/>
      <w:numFmt w:val="chineseCounting"/>
      <w:suff w:val="nothing"/>
      <w:lvlText w:val="%1、"/>
      <w:lvlJc w:val="left"/>
      <w:rPr>
        <w:rFonts w:hint="eastAsia"/>
      </w:rPr>
    </w:lvl>
  </w:abstractNum>
  <w:abstractNum w:abstractNumId="11">
    <w:nsid w:val="7A905E9D"/>
    <w:multiLevelType w:val="singleLevel"/>
    <w:tmpl w:val="7A905E9D"/>
    <w:lvl w:ilvl="0" w:tentative="0">
      <w:start w:val="2"/>
      <w:numFmt w:val="decimal"/>
      <w:suff w:val="nothing"/>
      <w:lvlText w:val="%1、"/>
      <w:lvlJc w:val="left"/>
    </w:lvl>
  </w:abstractNum>
  <w:num w:numId="1">
    <w:abstractNumId w:val="8"/>
  </w:num>
  <w:num w:numId="2">
    <w:abstractNumId w:val="3"/>
  </w:num>
  <w:num w:numId="3">
    <w:abstractNumId w:val="0"/>
  </w:num>
  <w:num w:numId="4">
    <w:abstractNumId w:val="7"/>
  </w:num>
  <w:num w:numId="5">
    <w:abstractNumId w:val="1"/>
  </w:num>
  <w:num w:numId="6">
    <w:abstractNumId w:val="11"/>
  </w:num>
  <w:num w:numId="7">
    <w:abstractNumId w:val="6"/>
  </w:num>
  <w:num w:numId="8">
    <w:abstractNumId w:val="9"/>
  </w:num>
  <w:num w:numId="9">
    <w:abstractNumId w:val="5"/>
  </w:num>
  <w:num w:numId="10">
    <w:abstractNumId w:val="4"/>
  </w:num>
  <w:num w:numId="11">
    <w:abstractNumId w:val="2"/>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4OWZiOTBiMTA5MzJiMTA1MjI2Yjk4NmZkMWMxN2Y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7E"/>
    <w:rsid w:val="000B058F"/>
    <w:rsid w:val="000B693F"/>
    <w:rsid w:val="000C09AC"/>
    <w:rsid w:val="000C0A63"/>
    <w:rsid w:val="000C437E"/>
    <w:rsid w:val="000E5F16"/>
    <w:rsid w:val="000F4452"/>
    <w:rsid w:val="000F6DA1"/>
    <w:rsid w:val="000F6F68"/>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64C4"/>
    <w:rsid w:val="001A7D2A"/>
    <w:rsid w:val="001B574C"/>
    <w:rsid w:val="001C0AF9"/>
    <w:rsid w:val="001C155A"/>
    <w:rsid w:val="001C48C0"/>
    <w:rsid w:val="001D1BE5"/>
    <w:rsid w:val="001D6726"/>
    <w:rsid w:val="001E600B"/>
    <w:rsid w:val="001F3347"/>
    <w:rsid w:val="001F4440"/>
    <w:rsid w:val="001F69E4"/>
    <w:rsid w:val="00206A65"/>
    <w:rsid w:val="00212D31"/>
    <w:rsid w:val="002130C7"/>
    <w:rsid w:val="00217428"/>
    <w:rsid w:val="002218A8"/>
    <w:rsid w:val="0022306D"/>
    <w:rsid w:val="00226574"/>
    <w:rsid w:val="002278EC"/>
    <w:rsid w:val="002357C7"/>
    <w:rsid w:val="002367C4"/>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7681"/>
    <w:rsid w:val="003F0809"/>
    <w:rsid w:val="003F611C"/>
    <w:rsid w:val="003F6A92"/>
    <w:rsid w:val="003F755C"/>
    <w:rsid w:val="00406F01"/>
    <w:rsid w:val="00411B36"/>
    <w:rsid w:val="004121D7"/>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43BF"/>
    <w:rsid w:val="004E5B30"/>
    <w:rsid w:val="004E7D88"/>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4603"/>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2ECF"/>
    <w:rsid w:val="00892F06"/>
    <w:rsid w:val="00894285"/>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312B"/>
    <w:rsid w:val="00904961"/>
    <w:rsid w:val="0091736D"/>
    <w:rsid w:val="009269A2"/>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D3880"/>
    <w:rsid w:val="009E399C"/>
    <w:rsid w:val="009E43C1"/>
    <w:rsid w:val="009E7E95"/>
    <w:rsid w:val="009F116F"/>
    <w:rsid w:val="009F329E"/>
    <w:rsid w:val="009F5089"/>
    <w:rsid w:val="009F7ED3"/>
    <w:rsid w:val="00A03607"/>
    <w:rsid w:val="00A047FF"/>
    <w:rsid w:val="00A04FEF"/>
    <w:rsid w:val="00A122CD"/>
    <w:rsid w:val="00A12A32"/>
    <w:rsid w:val="00A14248"/>
    <w:rsid w:val="00A14947"/>
    <w:rsid w:val="00A1745D"/>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3CEC"/>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60426"/>
    <w:rsid w:val="00B622DD"/>
    <w:rsid w:val="00B63522"/>
    <w:rsid w:val="00B76F1D"/>
    <w:rsid w:val="00B92A19"/>
    <w:rsid w:val="00B93F2F"/>
    <w:rsid w:val="00B9544C"/>
    <w:rsid w:val="00BA29E9"/>
    <w:rsid w:val="00BB3618"/>
    <w:rsid w:val="00BC0C9E"/>
    <w:rsid w:val="00BC32DC"/>
    <w:rsid w:val="00BD1B51"/>
    <w:rsid w:val="00BD47F6"/>
    <w:rsid w:val="00BE312D"/>
    <w:rsid w:val="00BE3FCA"/>
    <w:rsid w:val="00BF720C"/>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A6F52"/>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010593"/>
    <w:rsid w:val="01017684"/>
    <w:rsid w:val="010A6538"/>
    <w:rsid w:val="01192C1F"/>
    <w:rsid w:val="011B6997"/>
    <w:rsid w:val="011C62C9"/>
    <w:rsid w:val="01211AD4"/>
    <w:rsid w:val="012D0479"/>
    <w:rsid w:val="012F41F1"/>
    <w:rsid w:val="01323CE1"/>
    <w:rsid w:val="01415CD2"/>
    <w:rsid w:val="014F4893"/>
    <w:rsid w:val="0151367A"/>
    <w:rsid w:val="01527EDF"/>
    <w:rsid w:val="01697764"/>
    <w:rsid w:val="016D6AC7"/>
    <w:rsid w:val="01804A4C"/>
    <w:rsid w:val="018362EB"/>
    <w:rsid w:val="018B32D0"/>
    <w:rsid w:val="01910A08"/>
    <w:rsid w:val="019422A6"/>
    <w:rsid w:val="0194674A"/>
    <w:rsid w:val="0196601E"/>
    <w:rsid w:val="019F1F35"/>
    <w:rsid w:val="01A717A9"/>
    <w:rsid w:val="01AD5116"/>
    <w:rsid w:val="01B110AA"/>
    <w:rsid w:val="01C2082B"/>
    <w:rsid w:val="01C44B91"/>
    <w:rsid w:val="01D30B9A"/>
    <w:rsid w:val="01D31020"/>
    <w:rsid w:val="01D46B46"/>
    <w:rsid w:val="01D6466C"/>
    <w:rsid w:val="01E62463"/>
    <w:rsid w:val="01E764AF"/>
    <w:rsid w:val="01E9759B"/>
    <w:rsid w:val="01EA0118"/>
    <w:rsid w:val="01EC0334"/>
    <w:rsid w:val="01ED7C29"/>
    <w:rsid w:val="01EF3980"/>
    <w:rsid w:val="01F42D45"/>
    <w:rsid w:val="02070CCA"/>
    <w:rsid w:val="02077A8A"/>
    <w:rsid w:val="020D4CA4"/>
    <w:rsid w:val="020F7B7E"/>
    <w:rsid w:val="02117D9A"/>
    <w:rsid w:val="0213766F"/>
    <w:rsid w:val="02145195"/>
    <w:rsid w:val="021740F7"/>
    <w:rsid w:val="021E7DCE"/>
    <w:rsid w:val="02291B07"/>
    <w:rsid w:val="022E26FA"/>
    <w:rsid w:val="023B0973"/>
    <w:rsid w:val="02441F1E"/>
    <w:rsid w:val="024B6E08"/>
    <w:rsid w:val="025657AD"/>
    <w:rsid w:val="02595DB9"/>
    <w:rsid w:val="02693733"/>
    <w:rsid w:val="026C4FD1"/>
    <w:rsid w:val="026E2029"/>
    <w:rsid w:val="027125E7"/>
    <w:rsid w:val="02756840"/>
    <w:rsid w:val="02783976"/>
    <w:rsid w:val="027C5214"/>
    <w:rsid w:val="02816E42"/>
    <w:rsid w:val="0295277A"/>
    <w:rsid w:val="02A14633"/>
    <w:rsid w:val="02A40196"/>
    <w:rsid w:val="02A97FD3"/>
    <w:rsid w:val="02AB3D4B"/>
    <w:rsid w:val="02B50726"/>
    <w:rsid w:val="02B6369A"/>
    <w:rsid w:val="02C60B85"/>
    <w:rsid w:val="02C941D1"/>
    <w:rsid w:val="02CE4CF7"/>
    <w:rsid w:val="02D908B8"/>
    <w:rsid w:val="02E2723F"/>
    <w:rsid w:val="02E42DB9"/>
    <w:rsid w:val="02EF1E8A"/>
    <w:rsid w:val="02F54FC6"/>
    <w:rsid w:val="02F76F90"/>
    <w:rsid w:val="02FD4D40"/>
    <w:rsid w:val="0301396B"/>
    <w:rsid w:val="03031491"/>
    <w:rsid w:val="03206072"/>
    <w:rsid w:val="03253AFD"/>
    <w:rsid w:val="032558AB"/>
    <w:rsid w:val="03265180"/>
    <w:rsid w:val="032F5C6D"/>
    <w:rsid w:val="03367AB9"/>
    <w:rsid w:val="03391357"/>
    <w:rsid w:val="033A0C2B"/>
    <w:rsid w:val="033A62E9"/>
    <w:rsid w:val="033C40A2"/>
    <w:rsid w:val="033E4BBF"/>
    <w:rsid w:val="034321D6"/>
    <w:rsid w:val="034A70C0"/>
    <w:rsid w:val="034E72B8"/>
    <w:rsid w:val="035148F2"/>
    <w:rsid w:val="03547F3F"/>
    <w:rsid w:val="035717DD"/>
    <w:rsid w:val="036B7087"/>
    <w:rsid w:val="037212ED"/>
    <w:rsid w:val="0374413D"/>
    <w:rsid w:val="0385634A"/>
    <w:rsid w:val="038C592B"/>
    <w:rsid w:val="03927D69"/>
    <w:rsid w:val="039B791C"/>
    <w:rsid w:val="039C407F"/>
    <w:rsid w:val="039C5442"/>
    <w:rsid w:val="03A013D6"/>
    <w:rsid w:val="03A2514E"/>
    <w:rsid w:val="03A72764"/>
    <w:rsid w:val="03B978B9"/>
    <w:rsid w:val="03C42CC6"/>
    <w:rsid w:val="03C9309C"/>
    <w:rsid w:val="03CA6453"/>
    <w:rsid w:val="03CC265C"/>
    <w:rsid w:val="03E017D2"/>
    <w:rsid w:val="03E54254"/>
    <w:rsid w:val="03E56DE9"/>
    <w:rsid w:val="03E80687"/>
    <w:rsid w:val="03F62DA4"/>
    <w:rsid w:val="04001FDF"/>
    <w:rsid w:val="040D5F94"/>
    <w:rsid w:val="040E27E3"/>
    <w:rsid w:val="040E4592"/>
    <w:rsid w:val="042C4A18"/>
    <w:rsid w:val="042E253E"/>
    <w:rsid w:val="043A5387"/>
    <w:rsid w:val="043B510F"/>
    <w:rsid w:val="043D09D3"/>
    <w:rsid w:val="043D29C9"/>
    <w:rsid w:val="04553F6E"/>
    <w:rsid w:val="045B70AB"/>
    <w:rsid w:val="045F2DCA"/>
    <w:rsid w:val="045F6B9B"/>
    <w:rsid w:val="046B3BE8"/>
    <w:rsid w:val="047343F5"/>
    <w:rsid w:val="04777A0C"/>
    <w:rsid w:val="047C599F"/>
    <w:rsid w:val="04812FB5"/>
    <w:rsid w:val="048B5BE2"/>
    <w:rsid w:val="048D3235"/>
    <w:rsid w:val="04912D27"/>
    <w:rsid w:val="04974587"/>
    <w:rsid w:val="049802FF"/>
    <w:rsid w:val="04984EBD"/>
    <w:rsid w:val="04AE18D1"/>
    <w:rsid w:val="04B36EE7"/>
    <w:rsid w:val="04B70785"/>
    <w:rsid w:val="04BF1806"/>
    <w:rsid w:val="04BF763A"/>
    <w:rsid w:val="04DF250D"/>
    <w:rsid w:val="04EB042F"/>
    <w:rsid w:val="04ED41A7"/>
    <w:rsid w:val="04F75026"/>
    <w:rsid w:val="05045994"/>
    <w:rsid w:val="05047743"/>
    <w:rsid w:val="051C683A"/>
    <w:rsid w:val="051E7732"/>
    <w:rsid w:val="052027CE"/>
    <w:rsid w:val="05235E1B"/>
    <w:rsid w:val="052B4CCF"/>
    <w:rsid w:val="052D1694"/>
    <w:rsid w:val="05322502"/>
    <w:rsid w:val="053C0C8A"/>
    <w:rsid w:val="05404C1F"/>
    <w:rsid w:val="05412FEB"/>
    <w:rsid w:val="05453FE3"/>
    <w:rsid w:val="0547556E"/>
    <w:rsid w:val="054F58B7"/>
    <w:rsid w:val="05557F9E"/>
    <w:rsid w:val="05561E22"/>
    <w:rsid w:val="05575AC4"/>
    <w:rsid w:val="055E7FA4"/>
    <w:rsid w:val="056B77C2"/>
    <w:rsid w:val="056F72DE"/>
    <w:rsid w:val="05742AC8"/>
    <w:rsid w:val="057C377D"/>
    <w:rsid w:val="05852BDA"/>
    <w:rsid w:val="058663AA"/>
    <w:rsid w:val="058873D6"/>
    <w:rsid w:val="058979DF"/>
    <w:rsid w:val="05917228"/>
    <w:rsid w:val="05942874"/>
    <w:rsid w:val="059E36F3"/>
    <w:rsid w:val="05A50F26"/>
    <w:rsid w:val="05AB5C72"/>
    <w:rsid w:val="05B13426"/>
    <w:rsid w:val="05BB6053"/>
    <w:rsid w:val="05C57BB2"/>
    <w:rsid w:val="05CF7D50"/>
    <w:rsid w:val="05D90BCF"/>
    <w:rsid w:val="05D9472B"/>
    <w:rsid w:val="05EE2510"/>
    <w:rsid w:val="05EE467B"/>
    <w:rsid w:val="05F52F17"/>
    <w:rsid w:val="05F862B3"/>
    <w:rsid w:val="05F902FF"/>
    <w:rsid w:val="05FD48BE"/>
    <w:rsid w:val="06057FE3"/>
    <w:rsid w:val="06127C3D"/>
    <w:rsid w:val="0616597F"/>
    <w:rsid w:val="0616772D"/>
    <w:rsid w:val="06174FC9"/>
    <w:rsid w:val="061A40F4"/>
    <w:rsid w:val="062E0F1B"/>
    <w:rsid w:val="062F6A41"/>
    <w:rsid w:val="063400E4"/>
    <w:rsid w:val="06352F05"/>
    <w:rsid w:val="0637015B"/>
    <w:rsid w:val="063E7D85"/>
    <w:rsid w:val="064047AA"/>
    <w:rsid w:val="064C13A1"/>
    <w:rsid w:val="06514C09"/>
    <w:rsid w:val="06523C1B"/>
    <w:rsid w:val="0659586C"/>
    <w:rsid w:val="065B7836"/>
    <w:rsid w:val="06604169"/>
    <w:rsid w:val="06693D01"/>
    <w:rsid w:val="066C559F"/>
    <w:rsid w:val="068B1EC9"/>
    <w:rsid w:val="068D62C8"/>
    <w:rsid w:val="069E1EDD"/>
    <w:rsid w:val="06A27213"/>
    <w:rsid w:val="06A42F8B"/>
    <w:rsid w:val="06BC02D5"/>
    <w:rsid w:val="06C07699"/>
    <w:rsid w:val="06C12665"/>
    <w:rsid w:val="06C6670B"/>
    <w:rsid w:val="06C9323D"/>
    <w:rsid w:val="06CB64FF"/>
    <w:rsid w:val="06CD24E2"/>
    <w:rsid w:val="06D179D1"/>
    <w:rsid w:val="06DE46EF"/>
    <w:rsid w:val="06F21D26"/>
    <w:rsid w:val="06F832D7"/>
    <w:rsid w:val="06FC6923"/>
    <w:rsid w:val="070875E0"/>
    <w:rsid w:val="070F2026"/>
    <w:rsid w:val="07100621"/>
    <w:rsid w:val="071E2D3E"/>
    <w:rsid w:val="07293586"/>
    <w:rsid w:val="07295285"/>
    <w:rsid w:val="072D2F81"/>
    <w:rsid w:val="072D508B"/>
    <w:rsid w:val="072F22BE"/>
    <w:rsid w:val="07322345"/>
    <w:rsid w:val="073562D9"/>
    <w:rsid w:val="073A569E"/>
    <w:rsid w:val="073B6467"/>
    <w:rsid w:val="073E518E"/>
    <w:rsid w:val="07464042"/>
    <w:rsid w:val="07483BF5"/>
    <w:rsid w:val="074C0E53"/>
    <w:rsid w:val="074E2EF7"/>
    <w:rsid w:val="07526D7F"/>
    <w:rsid w:val="075A189C"/>
    <w:rsid w:val="075A7AEE"/>
    <w:rsid w:val="076F6FBB"/>
    <w:rsid w:val="077639A5"/>
    <w:rsid w:val="07770C56"/>
    <w:rsid w:val="07797F74"/>
    <w:rsid w:val="077C1812"/>
    <w:rsid w:val="07812C00"/>
    <w:rsid w:val="07943F08"/>
    <w:rsid w:val="0794648D"/>
    <w:rsid w:val="07A23A55"/>
    <w:rsid w:val="07A64AE1"/>
    <w:rsid w:val="07A66D5A"/>
    <w:rsid w:val="07A73637"/>
    <w:rsid w:val="07A84FDE"/>
    <w:rsid w:val="07AA0EFE"/>
    <w:rsid w:val="07AC5A1F"/>
    <w:rsid w:val="07AF4ECA"/>
    <w:rsid w:val="07B0158F"/>
    <w:rsid w:val="07B01DD8"/>
    <w:rsid w:val="07B216D8"/>
    <w:rsid w:val="07B96BED"/>
    <w:rsid w:val="07D26499"/>
    <w:rsid w:val="07DD10FF"/>
    <w:rsid w:val="07DF4305"/>
    <w:rsid w:val="07ED2710"/>
    <w:rsid w:val="07F13FAE"/>
    <w:rsid w:val="07F27D26"/>
    <w:rsid w:val="07F92E63"/>
    <w:rsid w:val="08033CE1"/>
    <w:rsid w:val="08111A6D"/>
    <w:rsid w:val="08114650"/>
    <w:rsid w:val="08123F24"/>
    <w:rsid w:val="081C4DA3"/>
    <w:rsid w:val="081D4626"/>
    <w:rsid w:val="08226344"/>
    <w:rsid w:val="08255A35"/>
    <w:rsid w:val="08262F95"/>
    <w:rsid w:val="08316AA1"/>
    <w:rsid w:val="083818D9"/>
    <w:rsid w:val="084661C6"/>
    <w:rsid w:val="084A5DB4"/>
    <w:rsid w:val="084F4E8A"/>
    <w:rsid w:val="0854453D"/>
    <w:rsid w:val="086D316B"/>
    <w:rsid w:val="086F380C"/>
    <w:rsid w:val="087109F5"/>
    <w:rsid w:val="087A4C54"/>
    <w:rsid w:val="088210AA"/>
    <w:rsid w:val="08850A8D"/>
    <w:rsid w:val="08874912"/>
    <w:rsid w:val="08894C98"/>
    <w:rsid w:val="0898267C"/>
    <w:rsid w:val="08AC299F"/>
    <w:rsid w:val="08B03E69"/>
    <w:rsid w:val="08B576D2"/>
    <w:rsid w:val="08BD0334"/>
    <w:rsid w:val="08C05347"/>
    <w:rsid w:val="08CE42EF"/>
    <w:rsid w:val="08D538D0"/>
    <w:rsid w:val="08E104C7"/>
    <w:rsid w:val="08E92932"/>
    <w:rsid w:val="08F53CDB"/>
    <w:rsid w:val="090221EB"/>
    <w:rsid w:val="0913264A"/>
    <w:rsid w:val="09153C1F"/>
    <w:rsid w:val="09197523"/>
    <w:rsid w:val="092217DD"/>
    <w:rsid w:val="09240154"/>
    <w:rsid w:val="09265BCD"/>
    <w:rsid w:val="092B7C9F"/>
    <w:rsid w:val="09300B06"/>
    <w:rsid w:val="09371E95"/>
    <w:rsid w:val="093A7294"/>
    <w:rsid w:val="09401129"/>
    <w:rsid w:val="09510A7C"/>
    <w:rsid w:val="095742E5"/>
    <w:rsid w:val="0969226A"/>
    <w:rsid w:val="09694018"/>
    <w:rsid w:val="096D3B08"/>
    <w:rsid w:val="09714C67"/>
    <w:rsid w:val="097A7FD3"/>
    <w:rsid w:val="098350DA"/>
    <w:rsid w:val="0984611E"/>
    <w:rsid w:val="098470A4"/>
    <w:rsid w:val="09886B94"/>
    <w:rsid w:val="098B0432"/>
    <w:rsid w:val="098C5B93"/>
    <w:rsid w:val="098E3A7F"/>
    <w:rsid w:val="098F7F23"/>
    <w:rsid w:val="09926E4D"/>
    <w:rsid w:val="099346C1"/>
    <w:rsid w:val="099A2423"/>
    <w:rsid w:val="099E0166"/>
    <w:rsid w:val="099F7A3A"/>
    <w:rsid w:val="09A137B2"/>
    <w:rsid w:val="09A17C56"/>
    <w:rsid w:val="09A35B15"/>
    <w:rsid w:val="09AA1703"/>
    <w:rsid w:val="09BB6819"/>
    <w:rsid w:val="09BE1A52"/>
    <w:rsid w:val="09C120A6"/>
    <w:rsid w:val="09C53944"/>
    <w:rsid w:val="09D121EF"/>
    <w:rsid w:val="09DF68E3"/>
    <w:rsid w:val="09E35B78"/>
    <w:rsid w:val="09E60BF4"/>
    <w:rsid w:val="09E75B73"/>
    <w:rsid w:val="09EB0ED1"/>
    <w:rsid w:val="09EB65C7"/>
    <w:rsid w:val="09F77876"/>
    <w:rsid w:val="09FC4E8C"/>
    <w:rsid w:val="09FF584F"/>
    <w:rsid w:val="0A026946"/>
    <w:rsid w:val="0A083831"/>
    <w:rsid w:val="0A0A75A9"/>
    <w:rsid w:val="0A0B50CF"/>
    <w:rsid w:val="0A173A74"/>
    <w:rsid w:val="0A1755E4"/>
    <w:rsid w:val="0A1C108A"/>
    <w:rsid w:val="0A1E3055"/>
    <w:rsid w:val="0A392EC5"/>
    <w:rsid w:val="0A3D5178"/>
    <w:rsid w:val="0A430D0D"/>
    <w:rsid w:val="0A4707FD"/>
    <w:rsid w:val="0A4D1921"/>
    <w:rsid w:val="0A56459C"/>
    <w:rsid w:val="0A595E3B"/>
    <w:rsid w:val="0A6C2012"/>
    <w:rsid w:val="0A6D18E6"/>
    <w:rsid w:val="0A6D7B38"/>
    <w:rsid w:val="0A762E91"/>
    <w:rsid w:val="0A7C2668"/>
    <w:rsid w:val="0A8530D4"/>
    <w:rsid w:val="0A8A2498"/>
    <w:rsid w:val="0A8F3F52"/>
    <w:rsid w:val="0A8F5D00"/>
    <w:rsid w:val="0A9B6453"/>
    <w:rsid w:val="0AA413E9"/>
    <w:rsid w:val="0AA51080"/>
    <w:rsid w:val="0AA6225D"/>
    <w:rsid w:val="0AAB0D8C"/>
    <w:rsid w:val="0ABD286D"/>
    <w:rsid w:val="0ACB4F8A"/>
    <w:rsid w:val="0AD33E3F"/>
    <w:rsid w:val="0AD630BE"/>
    <w:rsid w:val="0ADE5D3C"/>
    <w:rsid w:val="0AE41BA8"/>
    <w:rsid w:val="0AE71698"/>
    <w:rsid w:val="0AEB5587"/>
    <w:rsid w:val="0AEC6CAF"/>
    <w:rsid w:val="0AF049F1"/>
    <w:rsid w:val="0AF40E28"/>
    <w:rsid w:val="0AFA761E"/>
    <w:rsid w:val="0B01749D"/>
    <w:rsid w:val="0B04049C"/>
    <w:rsid w:val="0B0C7351"/>
    <w:rsid w:val="0B1D330C"/>
    <w:rsid w:val="0B24469B"/>
    <w:rsid w:val="0B424B21"/>
    <w:rsid w:val="0B494101"/>
    <w:rsid w:val="0B5F1B77"/>
    <w:rsid w:val="0B646908"/>
    <w:rsid w:val="0B696551"/>
    <w:rsid w:val="0B6E3B68"/>
    <w:rsid w:val="0B723658"/>
    <w:rsid w:val="0B745622"/>
    <w:rsid w:val="0B7A4555"/>
    <w:rsid w:val="0B84410E"/>
    <w:rsid w:val="0B870F82"/>
    <w:rsid w:val="0B974E6D"/>
    <w:rsid w:val="0B9A495D"/>
    <w:rsid w:val="0B9F6417"/>
    <w:rsid w:val="0BA43585"/>
    <w:rsid w:val="0BA74B97"/>
    <w:rsid w:val="0BB21CA6"/>
    <w:rsid w:val="0BB94E6C"/>
    <w:rsid w:val="0BC55E7E"/>
    <w:rsid w:val="0BD27BF6"/>
    <w:rsid w:val="0BD3667B"/>
    <w:rsid w:val="0BD7795F"/>
    <w:rsid w:val="0BD845F9"/>
    <w:rsid w:val="0BDA11FD"/>
    <w:rsid w:val="0BDC31C7"/>
    <w:rsid w:val="0BE1258C"/>
    <w:rsid w:val="0BE67BA2"/>
    <w:rsid w:val="0BE856C8"/>
    <w:rsid w:val="0BF978D5"/>
    <w:rsid w:val="0BFA364D"/>
    <w:rsid w:val="0C1464BD"/>
    <w:rsid w:val="0C186B5B"/>
    <w:rsid w:val="0C1B3CF0"/>
    <w:rsid w:val="0C1E0947"/>
    <w:rsid w:val="0C1E558E"/>
    <w:rsid w:val="0C2529C5"/>
    <w:rsid w:val="0C260CA9"/>
    <w:rsid w:val="0C324046"/>
    <w:rsid w:val="0C357A56"/>
    <w:rsid w:val="0C4F3999"/>
    <w:rsid w:val="0C517711"/>
    <w:rsid w:val="0C523489"/>
    <w:rsid w:val="0C645AF4"/>
    <w:rsid w:val="0C6A07D3"/>
    <w:rsid w:val="0C6A432F"/>
    <w:rsid w:val="0C6D3E1F"/>
    <w:rsid w:val="0C6F1945"/>
    <w:rsid w:val="0C721436"/>
    <w:rsid w:val="0C7E65A6"/>
    <w:rsid w:val="0C8A2C23"/>
    <w:rsid w:val="0C8D626F"/>
    <w:rsid w:val="0C9615C8"/>
    <w:rsid w:val="0C9E00D7"/>
    <w:rsid w:val="0C9E02D7"/>
    <w:rsid w:val="0CA44632"/>
    <w:rsid w:val="0CB11F59"/>
    <w:rsid w:val="0CB67574"/>
    <w:rsid w:val="0CBB102F"/>
    <w:rsid w:val="0CBB4B8B"/>
    <w:rsid w:val="0CDA2FAD"/>
    <w:rsid w:val="0CDD2D53"/>
    <w:rsid w:val="0CDD48B1"/>
    <w:rsid w:val="0CE642FD"/>
    <w:rsid w:val="0CE73BD2"/>
    <w:rsid w:val="0CEB1914"/>
    <w:rsid w:val="0CEE6D0E"/>
    <w:rsid w:val="0D026C5D"/>
    <w:rsid w:val="0D081CA7"/>
    <w:rsid w:val="0D0A78C0"/>
    <w:rsid w:val="0D0C2411"/>
    <w:rsid w:val="0D0D0C68"/>
    <w:rsid w:val="0D0E73B0"/>
    <w:rsid w:val="0D0F4ED6"/>
    <w:rsid w:val="0D136775"/>
    <w:rsid w:val="0D1A101C"/>
    <w:rsid w:val="0D1C7D1F"/>
    <w:rsid w:val="0D1F336B"/>
    <w:rsid w:val="0D2A3ABE"/>
    <w:rsid w:val="0D336E17"/>
    <w:rsid w:val="0D34161D"/>
    <w:rsid w:val="0D352B8F"/>
    <w:rsid w:val="0D3859A2"/>
    <w:rsid w:val="0D3D37F2"/>
    <w:rsid w:val="0D3F57BC"/>
    <w:rsid w:val="0D411050"/>
    <w:rsid w:val="0D4903E8"/>
    <w:rsid w:val="0D4A1E5A"/>
    <w:rsid w:val="0D554FDF"/>
    <w:rsid w:val="0D55637F"/>
    <w:rsid w:val="0D6214AA"/>
    <w:rsid w:val="0D646FD0"/>
    <w:rsid w:val="0D73168E"/>
    <w:rsid w:val="0D735465"/>
    <w:rsid w:val="0D7C3B01"/>
    <w:rsid w:val="0D892919"/>
    <w:rsid w:val="0D892EDB"/>
    <w:rsid w:val="0D93340D"/>
    <w:rsid w:val="0D9773A6"/>
    <w:rsid w:val="0D9C49BC"/>
    <w:rsid w:val="0DA05C1B"/>
    <w:rsid w:val="0DA10224"/>
    <w:rsid w:val="0DB42355"/>
    <w:rsid w:val="0DB51118"/>
    <w:rsid w:val="0DBA3094"/>
    <w:rsid w:val="0DC108C7"/>
    <w:rsid w:val="0DC45CC1"/>
    <w:rsid w:val="0DC53105"/>
    <w:rsid w:val="0DC932D7"/>
    <w:rsid w:val="0DC9777B"/>
    <w:rsid w:val="0DCD445C"/>
    <w:rsid w:val="0DD028B8"/>
    <w:rsid w:val="0DD34156"/>
    <w:rsid w:val="0DD73C46"/>
    <w:rsid w:val="0DDC057E"/>
    <w:rsid w:val="0DEE2D3E"/>
    <w:rsid w:val="0DF06AB6"/>
    <w:rsid w:val="0DFC545B"/>
    <w:rsid w:val="0DFD5C6B"/>
    <w:rsid w:val="0E0B5706"/>
    <w:rsid w:val="0E0D7668"/>
    <w:rsid w:val="0E110D06"/>
    <w:rsid w:val="0E1C78AB"/>
    <w:rsid w:val="0E214EC1"/>
    <w:rsid w:val="0E2873B4"/>
    <w:rsid w:val="0E301273"/>
    <w:rsid w:val="0E303356"/>
    <w:rsid w:val="0E320723"/>
    <w:rsid w:val="0E364E11"/>
    <w:rsid w:val="0E3746E5"/>
    <w:rsid w:val="0E3A0F99"/>
    <w:rsid w:val="0E3A5F83"/>
    <w:rsid w:val="0E4376A8"/>
    <w:rsid w:val="0E4F1A2E"/>
    <w:rsid w:val="0E574D87"/>
    <w:rsid w:val="0E715E49"/>
    <w:rsid w:val="0E72510F"/>
    <w:rsid w:val="0E790B75"/>
    <w:rsid w:val="0E8F4521"/>
    <w:rsid w:val="0E905A81"/>
    <w:rsid w:val="0E912047"/>
    <w:rsid w:val="0E927B6D"/>
    <w:rsid w:val="0E9D17C6"/>
    <w:rsid w:val="0E9E29B6"/>
    <w:rsid w:val="0EA004DC"/>
    <w:rsid w:val="0EA37FCC"/>
    <w:rsid w:val="0EC85224"/>
    <w:rsid w:val="0ECB1C73"/>
    <w:rsid w:val="0ECC12D1"/>
    <w:rsid w:val="0EE526EA"/>
    <w:rsid w:val="0EE7120F"/>
    <w:rsid w:val="0EE859DF"/>
    <w:rsid w:val="0EF80E8F"/>
    <w:rsid w:val="0F046CBD"/>
    <w:rsid w:val="0F111837"/>
    <w:rsid w:val="0F13775A"/>
    <w:rsid w:val="0F1A028E"/>
    <w:rsid w:val="0F205C7F"/>
    <w:rsid w:val="0F2E09A0"/>
    <w:rsid w:val="0F317386"/>
    <w:rsid w:val="0F346E76"/>
    <w:rsid w:val="0F3C025F"/>
    <w:rsid w:val="0F3F5FF6"/>
    <w:rsid w:val="0F3F7CF5"/>
    <w:rsid w:val="0F452E31"/>
    <w:rsid w:val="0F580DB7"/>
    <w:rsid w:val="0F6634D4"/>
    <w:rsid w:val="0F676B13"/>
    <w:rsid w:val="0F7200CA"/>
    <w:rsid w:val="0F7D25CB"/>
    <w:rsid w:val="0F87169C"/>
    <w:rsid w:val="0F8B4CE8"/>
    <w:rsid w:val="0F932BA2"/>
    <w:rsid w:val="0F9928EF"/>
    <w:rsid w:val="0F9A050E"/>
    <w:rsid w:val="0F9A112B"/>
    <w:rsid w:val="0FA07BF0"/>
    <w:rsid w:val="0FA1275E"/>
    <w:rsid w:val="0FAF4135"/>
    <w:rsid w:val="0FB01208"/>
    <w:rsid w:val="0FB56209"/>
    <w:rsid w:val="0FB57FB7"/>
    <w:rsid w:val="0FBD6E6C"/>
    <w:rsid w:val="0FC54AD9"/>
    <w:rsid w:val="0FD22917"/>
    <w:rsid w:val="0FE8038D"/>
    <w:rsid w:val="0FED7687"/>
    <w:rsid w:val="0FF1044E"/>
    <w:rsid w:val="0FF7237E"/>
    <w:rsid w:val="10086339"/>
    <w:rsid w:val="100910F7"/>
    <w:rsid w:val="100920B1"/>
    <w:rsid w:val="100D1BA1"/>
    <w:rsid w:val="101051ED"/>
    <w:rsid w:val="10172A20"/>
    <w:rsid w:val="10202516"/>
    <w:rsid w:val="10251AC8"/>
    <w:rsid w:val="10294501"/>
    <w:rsid w:val="103274FC"/>
    <w:rsid w:val="103449ED"/>
    <w:rsid w:val="1034712E"/>
    <w:rsid w:val="10360127"/>
    <w:rsid w:val="1037079D"/>
    <w:rsid w:val="103A58B2"/>
    <w:rsid w:val="104355C3"/>
    <w:rsid w:val="10507CE0"/>
    <w:rsid w:val="10525131"/>
    <w:rsid w:val="10532F3B"/>
    <w:rsid w:val="105968CE"/>
    <w:rsid w:val="105A46BB"/>
    <w:rsid w:val="1066305F"/>
    <w:rsid w:val="106D2F64"/>
    <w:rsid w:val="10720430"/>
    <w:rsid w:val="10790FE5"/>
    <w:rsid w:val="107E2A9F"/>
    <w:rsid w:val="10856F1B"/>
    <w:rsid w:val="108B0D18"/>
    <w:rsid w:val="108F6861"/>
    <w:rsid w:val="10944070"/>
    <w:rsid w:val="10991559"/>
    <w:rsid w:val="109C5456"/>
    <w:rsid w:val="10A5002C"/>
    <w:rsid w:val="10A832F4"/>
    <w:rsid w:val="10A83678"/>
    <w:rsid w:val="10AF1D60"/>
    <w:rsid w:val="10B05EDD"/>
    <w:rsid w:val="10B4201D"/>
    <w:rsid w:val="10B63710"/>
    <w:rsid w:val="10BA1AAE"/>
    <w:rsid w:val="10BB33AB"/>
    <w:rsid w:val="10C77FA2"/>
    <w:rsid w:val="10CA5CE4"/>
    <w:rsid w:val="10CD30DE"/>
    <w:rsid w:val="10CF355A"/>
    <w:rsid w:val="10D8227B"/>
    <w:rsid w:val="10D95F27"/>
    <w:rsid w:val="10E072B6"/>
    <w:rsid w:val="10E675D1"/>
    <w:rsid w:val="10E70644"/>
    <w:rsid w:val="10ED3781"/>
    <w:rsid w:val="10F863AD"/>
    <w:rsid w:val="10FB33EF"/>
    <w:rsid w:val="10FC5772"/>
    <w:rsid w:val="10FF6CE8"/>
    <w:rsid w:val="11056D1C"/>
    <w:rsid w:val="11143B39"/>
    <w:rsid w:val="111451B1"/>
    <w:rsid w:val="111C2F7A"/>
    <w:rsid w:val="112C24FB"/>
    <w:rsid w:val="112C6057"/>
    <w:rsid w:val="112E1DCF"/>
    <w:rsid w:val="113013DE"/>
    <w:rsid w:val="11447845"/>
    <w:rsid w:val="114E421F"/>
    <w:rsid w:val="115770D7"/>
    <w:rsid w:val="115929AD"/>
    <w:rsid w:val="11660972"/>
    <w:rsid w:val="116A6B7F"/>
    <w:rsid w:val="11717F0E"/>
    <w:rsid w:val="117618C6"/>
    <w:rsid w:val="1178129C"/>
    <w:rsid w:val="117A5014"/>
    <w:rsid w:val="117D68B3"/>
    <w:rsid w:val="117E185E"/>
    <w:rsid w:val="117F6ACF"/>
    <w:rsid w:val="11811732"/>
    <w:rsid w:val="118E0AC0"/>
    <w:rsid w:val="119C5AA8"/>
    <w:rsid w:val="11A05CA3"/>
    <w:rsid w:val="11A16A45"/>
    <w:rsid w:val="11B04EDA"/>
    <w:rsid w:val="11B232FE"/>
    <w:rsid w:val="11C54C7E"/>
    <w:rsid w:val="11C73FD2"/>
    <w:rsid w:val="11C75D80"/>
    <w:rsid w:val="11CC15E8"/>
    <w:rsid w:val="11CE752D"/>
    <w:rsid w:val="11D02E86"/>
    <w:rsid w:val="11EE77B0"/>
    <w:rsid w:val="11F0177A"/>
    <w:rsid w:val="11F72B09"/>
    <w:rsid w:val="11F76665"/>
    <w:rsid w:val="11FC1ECD"/>
    <w:rsid w:val="12042B30"/>
    <w:rsid w:val="12072620"/>
    <w:rsid w:val="12152F8F"/>
    <w:rsid w:val="121865DB"/>
    <w:rsid w:val="121A67F7"/>
    <w:rsid w:val="121E62E8"/>
    <w:rsid w:val="121F796A"/>
    <w:rsid w:val="122B06C2"/>
    <w:rsid w:val="122D7F4C"/>
    <w:rsid w:val="122E5DFF"/>
    <w:rsid w:val="12327017"/>
    <w:rsid w:val="1232769D"/>
    <w:rsid w:val="12380A2C"/>
    <w:rsid w:val="12394ECF"/>
    <w:rsid w:val="1240313D"/>
    <w:rsid w:val="12445622"/>
    <w:rsid w:val="124B4C03"/>
    <w:rsid w:val="124D2729"/>
    <w:rsid w:val="12575478"/>
    <w:rsid w:val="125A7AA6"/>
    <w:rsid w:val="125D0492"/>
    <w:rsid w:val="12635AA8"/>
    <w:rsid w:val="126A321F"/>
    <w:rsid w:val="126D2DCB"/>
    <w:rsid w:val="12744159"/>
    <w:rsid w:val="12791770"/>
    <w:rsid w:val="127B49BD"/>
    <w:rsid w:val="12810624"/>
    <w:rsid w:val="12844F29"/>
    <w:rsid w:val="128679E9"/>
    <w:rsid w:val="1289734F"/>
    <w:rsid w:val="128B3251"/>
    <w:rsid w:val="129E4D32"/>
    <w:rsid w:val="129F0AAB"/>
    <w:rsid w:val="129F5B09"/>
    <w:rsid w:val="12A143E4"/>
    <w:rsid w:val="12A604AE"/>
    <w:rsid w:val="12AB56A1"/>
    <w:rsid w:val="12B5308E"/>
    <w:rsid w:val="12BA4BDF"/>
    <w:rsid w:val="12C05E31"/>
    <w:rsid w:val="12C30D5F"/>
    <w:rsid w:val="12D138EB"/>
    <w:rsid w:val="12D44BF8"/>
    <w:rsid w:val="12DB7D35"/>
    <w:rsid w:val="12DC179C"/>
    <w:rsid w:val="12DD1CFF"/>
    <w:rsid w:val="12E267A6"/>
    <w:rsid w:val="12E7492B"/>
    <w:rsid w:val="12EA61CA"/>
    <w:rsid w:val="12EB3CF0"/>
    <w:rsid w:val="12F2507E"/>
    <w:rsid w:val="12F36DB2"/>
    <w:rsid w:val="12F6691D"/>
    <w:rsid w:val="130354DD"/>
    <w:rsid w:val="13071CE4"/>
    <w:rsid w:val="13076D7C"/>
    <w:rsid w:val="130A23C8"/>
    <w:rsid w:val="130C4392"/>
    <w:rsid w:val="130C5FE0"/>
    <w:rsid w:val="130F79DE"/>
    <w:rsid w:val="131119A8"/>
    <w:rsid w:val="13141499"/>
    <w:rsid w:val="13171F28"/>
    <w:rsid w:val="13182D37"/>
    <w:rsid w:val="131836D1"/>
    <w:rsid w:val="1319260B"/>
    <w:rsid w:val="13196AAF"/>
    <w:rsid w:val="131C5101"/>
    <w:rsid w:val="13201BEB"/>
    <w:rsid w:val="13272F7A"/>
    <w:rsid w:val="133D3E1D"/>
    <w:rsid w:val="133E6515"/>
    <w:rsid w:val="13460082"/>
    <w:rsid w:val="13495C7E"/>
    <w:rsid w:val="13637D2A"/>
    <w:rsid w:val="13702B73"/>
    <w:rsid w:val="13722A67"/>
    <w:rsid w:val="137361BF"/>
    <w:rsid w:val="13743CE5"/>
    <w:rsid w:val="1377358E"/>
    <w:rsid w:val="137B0136"/>
    <w:rsid w:val="137B5074"/>
    <w:rsid w:val="137D34C8"/>
    <w:rsid w:val="13871C6A"/>
    <w:rsid w:val="138C102F"/>
    <w:rsid w:val="138C54D3"/>
    <w:rsid w:val="139254CE"/>
    <w:rsid w:val="13951726"/>
    <w:rsid w:val="13B14F39"/>
    <w:rsid w:val="13B660AC"/>
    <w:rsid w:val="13BD38DE"/>
    <w:rsid w:val="13C1400A"/>
    <w:rsid w:val="13C277AD"/>
    <w:rsid w:val="13C30AFC"/>
    <w:rsid w:val="13CE4568"/>
    <w:rsid w:val="13CE7DBD"/>
    <w:rsid w:val="13F05A62"/>
    <w:rsid w:val="13FA243C"/>
    <w:rsid w:val="13FA68E0"/>
    <w:rsid w:val="14186D67"/>
    <w:rsid w:val="14197487"/>
    <w:rsid w:val="141E70C5"/>
    <w:rsid w:val="14213FC1"/>
    <w:rsid w:val="14215C1B"/>
    <w:rsid w:val="14221EEF"/>
    <w:rsid w:val="14261483"/>
    <w:rsid w:val="14270D58"/>
    <w:rsid w:val="142D2812"/>
    <w:rsid w:val="142E5135"/>
    <w:rsid w:val="14396509"/>
    <w:rsid w:val="143E4A1F"/>
    <w:rsid w:val="143F3336"/>
    <w:rsid w:val="1447165C"/>
    <w:rsid w:val="1448144A"/>
    <w:rsid w:val="14515DD5"/>
    <w:rsid w:val="14575AE1"/>
    <w:rsid w:val="145C4EA5"/>
    <w:rsid w:val="145E6E6F"/>
    <w:rsid w:val="14611454"/>
    <w:rsid w:val="14643D5A"/>
    <w:rsid w:val="146D0E60"/>
    <w:rsid w:val="147026FF"/>
    <w:rsid w:val="14733F9D"/>
    <w:rsid w:val="14756348"/>
    <w:rsid w:val="147E16A4"/>
    <w:rsid w:val="14860174"/>
    <w:rsid w:val="14885C9A"/>
    <w:rsid w:val="148F0807"/>
    <w:rsid w:val="14902DA1"/>
    <w:rsid w:val="149503B7"/>
    <w:rsid w:val="14A16D5C"/>
    <w:rsid w:val="14A300D8"/>
    <w:rsid w:val="14A960ED"/>
    <w:rsid w:val="14AD5701"/>
    <w:rsid w:val="14B06F9F"/>
    <w:rsid w:val="14B91001"/>
    <w:rsid w:val="14BA1BCC"/>
    <w:rsid w:val="14C1721D"/>
    <w:rsid w:val="14C842E9"/>
    <w:rsid w:val="14C91E0F"/>
    <w:rsid w:val="14D05CA0"/>
    <w:rsid w:val="14D47131"/>
    <w:rsid w:val="14D709D0"/>
    <w:rsid w:val="14DC7D94"/>
    <w:rsid w:val="14E05AD6"/>
    <w:rsid w:val="14E12169"/>
    <w:rsid w:val="14F1476F"/>
    <w:rsid w:val="15054F9B"/>
    <w:rsid w:val="1505553D"/>
    <w:rsid w:val="150D619F"/>
    <w:rsid w:val="150F1F18"/>
    <w:rsid w:val="151B539B"/>
    <w:rsid w:val="151C63E2"/>
    <w:rsid w:val="15202377"/>
    <w:rsid w:val="15205ED3"/>
    <w:rsid w:val="1526228F"/>
    <w:rsid w:val="153B2D0D"/>
    <w:rsid w:val="15451DDD"/>
    <w:rsid w:val="154871D8"/>
    <w:rsid w:val="154A11A2"/>
    <w:rsid w:val="154C6CC8"/>
    <w:rsid w:val="15521101"/>
    <w:rsid w:val="15542020"/>
    <w:rsid w:val="15570834"/>
    <w:rsid w:val="15595889"/>
    <w:rsid w:val="155C4C28"/>
    <w:rsid w:val="15634011"/>
    <w:rsid w:val="15744B16"/>
    <w:rsid w:val="157D4738"/>
    <w:rsid w:val="15877D00"/>
    <w:rsid w:val="15883A78"/>
    <w:rsid w:val="15897F1C"/>
    <w:rsid w:val="158C17BA"/>
    <w:rsid w:val="159468C1"/>
    <w:rsid w:val="15A40BEE"/>
    <w:rsid w:val="15A5287C"/>
    <w:rsid w:val="15AC59B8"/>
    <w:rsid w:val="15AE34DE"/>
    <w:rsid w:val="15C72C7C"/>
    <w:rsid w:val="15C90318"/>
    <w:rsid w:val="15CA4090"/>
    <w:rsid w:val="15CB06E2"/>
    <w:rsid w:val="15D76017"/>
    <w:rsid w:val="15E46F00"/>
    <w:rsid w:val="15F66C34"/>
    <w:rsid w:val="15FA2BC8"/>
    <w:rsid w:val="15FF1F8C"/>
    <w:rsid w:val="16077A7C"/>
    <w:rsid w:val="160B0931"/>
    <w:rsid w:val="160B1CC9"/>
    <w:rsid w:val="160E696E"/>
    <w:rsid w:val="16126189"/>
    <w:rsid w:val="16131283"/>
    <w:rsid w:val="16135A37"/>
    <w:rsid w:val="161C0D90"/>
    <w:rsid w:val="161C2B3E"/>
    <w:rsid w:val="161F262E"/>
    <w:rsid w:val="162419F3"/>
    <w:rsid w:val="162C6AF9"/>
    <w:rsid w:val="162D2B22"/>
    <w:rsid w:val="162E2871"/>
    <w:rsid w:val="16380A5A"/>
    <w:rsid w:val="163F4A7E"/>
    <w:rsid w:val="164707FC"/>
    <w:rsid w:val="1649352F"/>
    <w:rsid w:val="165266F1"/>
    <w:rsid w:val="16617428"/>
    <w:rsid w:val="166D55CB"/>
    <w:rsid w:val="166E0EC0"/>
    <w:rsid w:val="16777D74"/>
    <w:rsid w:val="167B7C4B"/>
    <w:rsid w:val="167C44F8"/>
    <w:rsid w:val="16826719"/>
    <w:rsid w:val="168B7CC4"/>
    <w:rsid w:val="1694148D"/>
    <w:rsid w:val="1695469E"/>
    <w:rsid w:val="169C5A2D"/>
    <w:rsid w:val="169E79F7"/>
    <w:rsid w:val="169F551D"/>
    <w:rsid w:val="169F72CB"/>
    <w:rsid w:val="16A81790"/>
    <w:rsid w:val="16AB2114"/>
    <w:rsid w:val="16AD19E8"/>
    <w:rsid w:val="16B014D8"/>
    <w:rsid w:val="16B207CA"/>
    <w:rsid w:val="16B26FFE"/>
    <w:rsid w:val="16B9038D"/>
    <w:rsid w:val="16BB3C28"/>
    <w:rsid w:val="16C44AD8"/>
    <w:rsid w:val="16C4566D"/>
    <w:rsid w:val="16DF3B6C"/>
    <w:rsid w:val="16F45869"/>
    <w:rsid w:val="16FB4332"/>
    <w:rsid w:val="17066928"/>
    <w:rsid w:val="17171557"/>
    <w:rsid w:val="172120C7"/>
    <w:rsid w:val="17215F32"/>
    <w:rsid w:val="17221F62"/>
    <w:rsid w:val="17285513"/>
    <w:rsid w:val="17312D11"/>
    <w:rsid w:val="173C34E8"/>
    <w:rsid w:val="1740285C"/>
    <w:rsid w:val="17465999"/>
    <w:rsid w:val="17577BA6"/>
    <w:rsid w:val="17666845"/>
    <w:rsid w:val="176C7FAF"/>
    <w:rsid w:val="176D1177"/>
    <w:rsid w:val="1770386E"/>
    <w:rsid w:val="177235B3"/>
    <w:rsid w:val="17735226"/>
    <w:rsid w:val="17842AD0"/>
    <w:rsid w:val="1787048B"/>
    <w:rsid w:val="178B7795"/>
    <w:rsid w:val="178D1819"/>
    <w:rsid w:val="179606CE"/>
    <w:rsid w:val="179C49C1"/>
    <w:rsid w:val="179E7583"/>
    <w:rsid w:val="17A06CE7"/>
    <w:rsid w:val="17A728DB"/>
    <w:rsid w:val="17A75F91"/>
    <w:rsid w:val="17AA4179"/>
    <w:rsid w:val="17B631A7"/>
    <w:rsid w:val="17B80644"/>
    <w:rsid w:val="17B91FA2"/>
    <w:rsid w:val="17BB3400"/>
    <w:rsid w:val="17D43BE0"/>
    <w:rsid w:val="17DA4A5F"/>
    <w:rsid w:val="17DE55A1"/>
    <w:rsid w:val="17E21B65"/>
    <w:rsid w:val="17EF6030"/>
    <w:rsid w:val="17F12BE8"/>
    <w:rsid w:val="18055854"/>
    <w:rsid w:val="18094A7F"/>
    <w:rsid w:val="18095344"/>
    <w:rsid w:val="180A2E6A"/>
    <w:rsid w:val="180D7C95"/>
    <w:rsid w:val="18100480"/>
    <w:rsid w:val="18147845"/>
    <w:rsid w:val="18295F5F"/>
    <w:rsid w:val="182E0907"/>
    <w:rsid w:val="18351C95"/>
    <w:rsid w:val="183A60CC"/>
    <w:rsid w:val="183D6D9C"/>
    <w:rsid w:val="183E57A4"/>
    <w:rsid w:val="1869193F"/>
    <w:rsid w:val="186B56B7"/>
    <w:rsid w:val="186F23AF"/>
    <w:rsid w:val="187529D9"/>
    <w:rsid w:val="187A1D9E"/>
    <w:rsid w:val="187F1162"/>
    <w:rsid w:val="18826EA4"/>
    <w:rsid w:val="18833979"/>
    <w:rsid w:val="188B5D59"/>
    <w:rsid w:val="18982224"/>
    <w:rsid w:val="18AF5EEB"/>
    <w:rsid w:val="18B21538"/>
    <w:rsid w:val="18B90B18"/>
    <w:rsid w:val="18BC23B6"/>
    <w:rsid w:val="18BF12FA"/>
    <w:rsid w:val="18C13529"/>
    <w:rsid w:val="18C63235"/>
    <w:rsid w:val="18C64FE3"/>
    <w:rsid w:val="18CD45C3"/>
    <w:rsid w:val="18CE20EA"/>
    <w:rsid w:val="18D07C10"/>
    <w:rsid w:val="18D72D4C"/>
    <w:rsid w:val="18DD40DB"/>
    <w:rsid w:val="18E35B95"/>
    <w:rsid w:val="18EB67F8"/>
    <w:rsid w:val="18F179C4"/>
    <w:rsid w:val="18FC6C57"/>
    <w:rsid w:val="190470B1"/>
    <w:rsid w:val="19094547"/>
    <w:rsid w:val="19103908"/>
    <w:rsid w:val="1910625E"/>
    <w:rsid w:val="19130CA3"/>
    <w:rsid w:val="19185113"/>
    <w:rsid w:val="192341E3"/>
    <w:rsid w:val="192D79FD"/>
    <w:rsid w:val="193208CA"/>
    <w:rsid w:val="19371A3D"/>
    <w:rsid w:val="19436634"/>
    <w:rsid w:val="194F7E45"/>
    <w:rsid w:val="19520625"/>
    <w:rsid w:val="19550115"/>
    <w:rsid w:val="19570331"/>
    <w:rsid w:val="19572D68"/>
    <w:rsid w:val="195C1FE7"/>
    <w:rsid w:val="19650358"/>
    <w:rsid w:val="1968609A"/>
    <w:rsid w:val="196A0064"/>
    <w:rsid w:val="1973708C"/>
    <w:rsid w:val="197762DD"/>
    <w:rsid w:val="19793E03"/>
    <w:rsid w:val="198B3B37"/>
    <w:rsid w:val="1990114D"/>
    <w:rsid w:val="199109E2"/>
    <w:rsid w:val="199E50E5"/>
    <w:rsid w:val="19A05834"/>
    <w:rsid w:val="19A31463"/>
    <w:rsid w:val="19A52E4A"/>
    <w:rsid w:val="19A74E14"/>
    <w:rsid w:val="19AC5F87"/>
    <w:rsid w:val="19AF7825"/>
    <w:rsid w:val="19B337B9"/>
    <w:rsid w:val="19B65058"/>
    <w:rsid w:val="19BB441C"/>
    <w:rsid w:val="19BD63E6"/>
    <w:rsid w:val="19BE5CBA"/>
    <w:rsid w:val="19C07C84"/>
    <w:rsid w:val="19D90D46"/>
    <w:rsid w:val="19E03E83"/>
    <w:rsid w:val="19E41BC5"/>
    <w:rsid w:val="19E96351"/>
    <w:rsid w:val="19F25F57"/>
    <w:rsid w:val="19F30585"/>
    <w:rsid w:val="19F33BB6"/>
    <w:rsid w:val="19F45B80"/>
    <w:rsid w:val="1A027F67"/>
    <w:rsid w:val="1A057D8D"/>
    <w:rsid w:val="1A09138C"/>
    <w:rsid w:val="1A0C2EC9"/>
    <w:rsid w:val="1A18361C"/>
    <w:rsid w:val="1A1C66C0"/>
    <w:rsid w:val="1A1F0E4F"/>
    <w:rsid w:val="1A27385F"/>
    <w:rsid w:val="1A2E4BEE"/>
    <w:rsid w:val="1A3F5F9B"/>
    <w:rsid w:val="1A42393B"/>
    <w:rsid w:val="1A4268EB"/>
    <w:rsid w:val="1A4A57A0"/>
    <w:rsid w:val="1A4B1C44"/>
    <w:rsid w:val="1A4E34E2"/>
    <w:rsid w:val="1A4E4600"/>
    <w:rsid w:val="1A526911"/>
    <w:rsid w:val="1A58610F"/>
    <w:rsid w:val="1A5A4033"/>
    <w:rsid w:val="1A5E6E65"/>
    <w:rsid w:val="1A6745A4"/>
    <w:rsid w:val="1A6751A7"/>
    <w:rsid w:val="1A693E78"/>
    <w:rsid w:val="1A7036F0"/>
    <w:rsid w:val="1A75606A"/>
    <w:rsid w:val="1A766595"/>
    <w:rsid w:val="1A7A7E33"/>
    <w:rsid w:val="1A7D2C10"/>
    <w:rsid w:val="1A7D5B75"/>
    <w:rsid w:val="1A7D7923"/>
    <w:rsid w:val="1A7E53C6"/>
    <w:rsid w:val="1A824F3A"/>
    <w:rsid w:val="1A8A7F67"/>
    <w:rsid w:val="1A907657"/>
    <w:rsid w:val="1A924679"/>
    <w:rsid w:val="1A9475CB"/>
    <w:rsid w:val="1A9D4337"/>
    <w:rsid w:val="1AAE5D2F"/>
    <w:rsid w:val="1AB05F4B"/>
    <w:rsid w:val="1AB33345"/>
    <w:rsid w:val="1AB833B2"/>
    <w:rsid w:val="1AB86E8B"/>
    <w:rsid w:val="1AB94A4F"/>
    <w:rsid w:val="1AC60017"/>
    <w:rsid w:val="1AC840ED"/>
    <w:rsid w:val="1ACD2659"/>
    <w:rsid w:val="1ACE4623"/>
    <w:rsid w:val="1ADB5522"/>
    <w:rsid w:val="1AE6196C"/>
    <w:rsid w:val="1AE856E5"/>
    <w:rsid w:val="1AEB35C0"/>
    <w:rsid w:val="1AEE7796"/>
    <w:rsid w:val="1AF220BF"/>
    <w:rsid w:val="1AF851FC"/>
    <w:rsid w:val="1B040045"/>
    <w:rsid w:val="1B046F80"/>
    <w:rsid w:val="1B063DBD"/>
    <w:rsid w:val="1B1C713C"/>
    <w:rsid w:val="1B1F6C2C"/>
    <w:rsid w:val="1B2E0C1E"/>
    <w:rsid w:val="1B2F50C2"/>
    <w:rsid w:val="1B324BB2"/>
    <w:rsid w:val="1B3267B5"/>
    <w:rsid w:val="1B3501FE"/>
    <w:rsid w:val="1B3705F1"/>
    <w:rsid w:val="1B410951"/>
    <w:rsid w:val="1B4346C9"/>
    <w:rsid w:val="1B4A1EFB"/>
    <w:rsid w:val="1B4F12C0"/>
    <w:rsid w:val="1B551BB4"/>
    <w:rsid w:val="1B55264E"/>
    <w:rsid w:val="1B5763C6"/>
    <w:rsid w:val="1B5E59A7"/>
    <w:rsid w:val="1B610FF3"/>
    <w:rsid w:val="1B617DDC"/>
    <w:rsid w:val="1B650AE3"/>
    <w:rsid w:val="1B684130"/>
    <w:rsid w:val="1B6E246A"/>
    <w:rsid w:val="1B8371BB"/>
    <w:rsid w:val="1B917546"/>
    <w:rsid w:val="1B974A15"/>
    <w:rsid w:val="1B9B4505"/>
    <w:rsid w:val="1BB2184F"/>
    <w:rsid w:val="1BB249FC"/>
    <w:rsid w:val="1BBE1FA1"/>
    <w:rsid w:val="1BC25DC8"/>
    <w:rsid w:val="1BC66BE3"/>
    <w:rsid w:val="1BC752FA"/>
    <w:rsid w:val="1BCD6688"/>
    <w:rsid w:val="1BCF3EC0"/>
    <w:rsid w:val="1BD05CC3"/>
    <w:rsid w:val="1BD25A4D"/>
    <w:rsid w:val="1BDD4B1E"/>
    <w:rsid w:val="1BE67209"/>
    <w:rsid w:val="1BEA548C"/>
    <w:rsid w:val="1BF9747E"/>
    <w:rsid w:val="1BFE4A94"/>
    <w:rsid w:val="1C187CE4"/>
    <w:rsid w:val="1C1918CE"/>
    <w:rsid w:val="1C1F6AB3"/>
    <w:rsid w:val="1C297D63"/>
    <w:rsid w:val="1C2C1601"/>
    <w:rsid w:val="1C3D380E"/>
    <w:rsid w:val="1C495A9D"/>
    <w:rsid w:val="1C4C57FF"/>
    <w:rsid w:val="1C4E0B38"/>
    <w:rsid w:val="1C5341C9"/>
    <w:rsid w:val="1C5D5C5E"/>
    <w:rsid w:val="1C5D7A0C"/>
    <w:rsid w:val="1C5E7925"/>
    <w:rsid w:val="1C6A3ED7"/>
    <w:rsid w:val="1C6E1C1A"/>
    <w:rsid w:val="1C7020CB"/>
    <w:rsid w:val="1C704EFA"/>
    <w:rsid w:val="1C712CA5"/>
    <w:rsid w:val="1C735482"/>
    <w:rsid w:val="1C780121"/>
    <w:rsid w:val="1C784846"/>
    <w:rsid w:val="1C821221"/>
    <w:rsid w:val="1C827473"/>
    <w:rsid w:val="1C8615F4"/>
    <w:rsid w:val="1C887FC8"/>
    <w:rsid w:val="1C9553F8"/>
    <w:rsid w:val="1C97240B"/>
    <w:rsid w:val="1CA13D9D"/>
    <w:rsid w:val="1CA636C0"/>
    <w:rsid w:val="1CA76006"/>
    <w:rsid w:val="1CA94A00"/>
    <w:rsid w:val="1CAC44F0"/>
    <w:rsid w:val="1CB02232"/>
    <w:rsid w:val="1CBA6C0D"/>
    <w:rsid w:val="1CBF06C7"/>
    <w:rsid w:val="1CC614DF"/>
    <w:rsid w:val="1CC63804"/>
    <w:rsid w:val="1CCE090A"/>
    <w:rsid w:val="1CCE7662"/>
    <w:rsid w:val="1CD06827"/>
    <w:rsid w:val="1CD11779"/>
    <w:rsid w:val="1CD777BF"/>
    <w:rsid w:val="1CD83537"/>
    <w:rsid w:val="1CE27F12"/>
    <w:rsid w:val="1CE56751"/>
    <w:rsid w:val="1CF163A7"/>
    <w:rsid w:val="1CF7783C"/>
    <w:rsid w:val="1D0221D5"/>
    <w:rsid w:val="1D0B5412"/>
    <w:rsid w:val="1D0D1432"/>
    <w:rsid w:val="1D13631D"/>
    <w:rsid w:val="1D1E53EE"/>
    <w:rsid w:val="1D1E587E"/>
    <w:rsid w:val="1D28776C"/>
    <w:rsid w:val="1D2B5F1E"/>
    <w:rsid w:val="1D343C6E"/>
    <w:rsid w:val="1D3764AF"/>
    <w:rsid w:val="1D3C5874"/>
    <w:rsid w:val="1D3F5364"/>
    <w:rsid w:val="1D454590"/>
    <w:rsid w:val="1D4604A0"/>
    <w:rsid w:val="1D496BFF"/>
    <w:rsid w:val="1D4F1A4B"/>
    <w:rsid w:val="1D50131F"/>
    <w:rsid w:val="1D57445C"/>
    <w:rsid w:val="1D5F6196"/>
    <w:rsid w:val="1D6132A5"/>
    <w:rsid w:val="1D701DA4"/>
    <w:rsid w:val="1D757536"/>
    <w:rsid w:val="1D85652A"/>
    <w:rsid w:val="1D8611E5"/>
    <w:rsid w:val="1D8E56D5"/>
    <w:rsid w:val="1D9E279F"/>
    <w:rsid w:val="1DB541DC"/>
    <w:rsid w:val="1DB814F0"/>
    <w:rsid w:val="1DBE44DB"/>
    <w:rsid w:val="1DC064A5"/>
    <w:rsid w:val="1DC6338F"/>
    <w:rsid w:val="1DC835AB"/>
    <w:rsid w:val="1DCA2E80"/>
    <w:rsid w:val="1DCA7323"/>
    <w:rsid w:val="1DCF66E8"/>
    <w:rsid w:val="1DD72298"/>
    <w:rsid w:val="1DD737EE"/>
    <w:rsid w:val="1DD7559C"/>
    <w:rsid w:val="1DD849C1"/>
    <w:rsid w:val="1DDF4DA5"/>
    <w:rsid w:val="1DE005BB"/>
    <w:rsid w:val="1DE76E33"/>
    <w:rsid w:val="1DEA6122"/>
    <w:rsid w:val="1DEB1048"/>
    <w:rsid w:val="1DEC729A"/>
    <w:rsid w:val="1DED6B6E"/>
    <w:rsid w:val="1DEE3DF0"/>
    <w:rsid w:val="1DF47922"/>
    <w:rsid w:val="1DF61EC7"/>
    <w:rsid w:val="1DFC3255"/>
    <w:rsid w:val="1DFE001E"/>
    <w:rsid w:val="1DFE521F"/>
    <w:rsid w:val="1E022BB7"/>
    <w:rsid w:val="1E0F0A85"/>
    <w:rsid w:val="1E1503D5"/>
    <w:rsid w:val="1E1B192D"/>
    <w:rsid w:val="1E214A6A"/>
    <w:rsid w:val="1E2307E2"/>
    <w:rsid w:val="1E326C77"/>
    <w:rsid w:val="1E4A0464"/>
    <w:rsid w:val="1E5A7901"/>
    <w:rsid w:val="1E62755C"/>
    <w:rsid w:val="1E693DBB"/>
    <w:rsid w:val="1E6E627A"/>
    <w:rsid w:val="1E763007"/>
    <w:rsid w:val="1E780D78"/>
    <w:rsid w:val="1E7A43DA"/>
    <w:rsid w:val="1E7B6870"/>
    <w:rsid w:val="1E803E86"/>
    <w:rsid w:val="1E875215"/>
    <w:rsid w:val="1E8E20FF"/>
    <w:rsid w:val="1E967206"/>
    <w:rsid w:val="1E9A6CF6"/>
    <w:rsid w:val="1EA36355"/>
    <w:rsid w:val="1EA47B74"/>
    <w:rsid w:val="1EAE7EC3"/>
    <w:rsid w:val="1EB277FE"/>
    <w:rsid w:val="1EBA2EF4"/>
    <w:rsid w:val="1EC22CE6"/>
    <w:rsid w:val="1EC5276A"/>
    <w:rsid w:val="1EC91389"/>
    <w:rsid w:val="1ECE699F"/>
    <w:rsid w:val="1ED02718"/>
    <w:rsid w:val="1ED41ADC"/>
    <w:rsid w:val="1EDD3086"/>
    <w:rsid w:val="1EE52A7C"/>
    <w:rsid w:val="1EE9589D"/>
    <w:rsid w:val="1EF26B32"/>
    <w:rsid w:val="1EFA027C"/>
    <w:rsid w:val="1EFA1543"/>
    <w:rsid w:val="1EFB52BB"/>
    <w:rsid w:val="1EFF124F"/>
    <w:rsid w:val="1EFF4DAB"/>
    <w:rsid w:val="1F007446"/>
    <w:rsid w:val="1F074B01"/>
    <w:rsid w:val="1F0B19A2"/>
    <w:rsid w:val="1F0E3240"/>
    <w:rsid w:val="1F122D30"/>
    <w:rsid w:val="1F15637C"/>
    <w:rsid w:val="1F2729AA"/>
    <w:rsid w:val="1F29007A"/>
    <w:rsid w:val="1F2E3015"/>
    <w:rsid w:val="1F38206B"/>
    <w:rsid w:val="1F4206BA"/>
    <w:rsid w:val="1F477846"/>
    <w:rsid w:val="1F4E5D32"/>
    <w:rsid w:val="1F642E60"/>
    <w:rsid w:val="1F684FAA"/>
    <w:rsid w:val="1F6B0692"/>
    <w:rsid w:val="1F6B1689"/>
    <w:rsid w:val="1F7363E0"/>
    <w:rsid w:val="1F8710F0"/>
    <w:rsid w:val="1F8A1EBA"/>
    <w:rsid w:val="1F947BE9"/>
    <w:rsid w:val="1F9D6372"/>
    <w:rsid w:val="1FA47700"/>
    <w:rsid w:val="1FB45B95"/>
    <w:rsid w:val="1FC075B8"/>
    <w:rsid w:val="1FC446C3"/>
    <w:rsid w:val="1FC85AE5"/>
    <w:rsid w:val="1FCF0C21"/>
    <w:rsid w:val="1FD04999"/>
    <w:rsid w:val="1FD75D28"/>
    <w:rsid w:val="1FD955FC"/>
    <w:rsid w:val="1FDF5A2B"/>
    <w:rsid w:val="1FE25C23"/>
    <w:rsid w:val="1FE7539E"/>
    <w:rsid w:val="1FF24910"/>
    <w:rsid w:val="1FF468DA"/>
    <w:rsid w:val="1FF71F26"/>
    <w:rsid w:val="1FFC12EA"/>
    <w:rsid w:val="2005311A"/>
    <w:rsid w:val="20146634"/>
    <w:rsid w:val="201E5705"/>
    <w:rsid w:val="20216FA3"/>
    <w:rsid w:val="20230F6D"/>
    <w:rsid w:val="202F346E"/>
    <w:rsid w:val="20370574"/>
    <w:rsid w:val="204A2ABA"/>
    <w:rsid w:val="204A3E24"/>
    <w:rsid w:val="204C4020"/>
    <w:rsid w:val="204D3B51"/>
    <w:rsid w:val="204F1D62"/>
    <w:rsid w:val="20515ADA"/>
    <w:rsid w:val="2059673D"/>
    <w:rsid w:val="205C7FDB"/>
    <w:rsid w:val="206155F1"/>
    <w:rsid w:val="20623843"/>
    <w:rsid w:val="20631369"/>
    <w:rsid w:val="20642787"/>
    <w:rsid w:val="206A26F8"/>
    <w:rsid w:val="206F41B2"/>
    <w:rsid w:val="20745325"/>
    <w:rsid w:val="20796DDF"/>
    <w:rsid w:val="207B2B57"/>
    <w:rsid w:val="207D46DD"/>
    <w:rsid w:val="207D4F96"/>
    <w:rsid w:val="2080016D"/>
    <w:rsid w:val="208211C5"/>
    <w:rsid w:val="208512E0"/>
    <w:rsid w:val="20860302"/>
    <w:rsid w:val="208D2370"/>
    <w:rsid w:val="208E4638"/>
    <w:rsid w:val="20913FE3"/>
    <w:rsid w:val="2094622D"/>
    <w:rsid w:val="20963CB8"/>
    <w:rsid w:val="209A56C0"/>
    <w:rsid w:val="20A7400A"/>
    <w:rsid w:val="20A92DD4"/>
    <w:rsid w:val="20AD0837"/>
    <w:rsid w:val="20B07FB6"/>
    <w:rsid w:val="20B15C43"/>
    <w:rsid w:val="20B240CD"/>
    <w:rsid w:val="20B61A5F"/>
    <w:rsid w:val="20C04A0E"/>
    <w:rsid w:val="20C22534"/>
    <w:rsid w:val="20C33369"/>
    <w:rsid w:val="20C41A43"/>
    <w:rsid w:val="20C95670"/>
    <w:rsid w:val="20D52267"/>
    <w:rsid w:val="20DA7812"/>
    <w:rsid w:val="20DD111C"/>
    <w:rsid w:val="20DD55C0"/>
    <w:rsid w:val="20E029BA"/>
    <w:rsid w:val="20EA55E7"/>
    <w:rsid w:val="20EE50D7"/>
    <w:rsid w:val="20F3403C"/>
    <w:rsid w:val="20F36B91"/>
    <w:rsid w:val="20FA198E"/>
    <w:rsid w:val="21022930"/>
    <w:rsid w:val="210F504D"/>
    <w:rsid w:val="211014F1"/>
    <w:rsid w:val="21105108"/>
    <w:rsid w:val="211508B6"/>
    <w:rsid w:val="21246D4B"/>
    <w:rsid w:val="213A544A"/>
    <w:rsid w:val="213B74B1"/>
    <w:rsid w:val="2144119B"/>
    <w:rsid w:val="21455F13"/>
    <w:rsid w:val="21507B40"/>
    <w:rsid w:val="21537DD8"/>
    <w:rsid w:val="215869F4"/>
    <w:rsid w:val="215A2310"/>
    <w:rsid w:val="215C2F2C"/>
    <w:rsid w:val="216474C2"/>
    <w:rsid w:val="21696E53"/>
    <w:rsid w:val="216B6728"/>
    <w:rsid w:val="216C4D8D"/>
    <w:rsid w:val="2174620A"/>
    <w:rsid w:val="218B5160"/>
    <w:rsid w:val="219263AA"/>
    <w:rsid w:val="21957C48"/>
    <w:rsid w:val="21AE2AB8"/>
    <w:rsid w:val="21B14C75"/>
    <w:rsid w:val="21B856E5"/>
    <w:rsid w:val="21C34E99"/>
    <w:rsid w:val="21C661A1"/>
    <w:rsid w:val="21CF1302"/>
    <w:rsid w:val="21D3043D"/>
    <w:rsid w:val="21DC74DE"/>
    <w:rsid w:val="21DE318A"/>
    <w:rsid w:val="21DE339D"/>
    <w:rsid w:val="21E03C1E"/>
    <w:rsid w:val="21E13187"/>
    <w:rsid w:val="21ED0E6A"/>
    <w:rsid w:val="21EF5B80"/>
    <w:rsid w:val="21F4496F"/>
    <w:rsid w:val="21FA58CD"/>
    <w:rsid w:val="2201708C"/>
    <w:rsid w:val="221B56B0"/>
    <w:rsid w:val="221D1128"/>
    <w:rsid w:val="222608A0"/>
    <w:rsid w:val="222C235B"/>
    <w:rsid w:val="222D26E1"/>
    <w:rsid w:val="223631D9"/>
    <w:rsid w:val="22396826"/>
    <w:rsid w:val="223F04E2"/>
    <w:rsid w:val="224D0523"/>
    <w:rsid w:val="224E3F10"/>
    <w:rsid w:val="224F1189"/>
    <w:rsid w:val="22511DC1"/>
    <w:rsid w:val="22576990"/>
    <w:rsid w:val="225A0088"/>
    <w:rsid w:val="225B2C40"/>
    <w:rsid w:val="225B7477"/>
    <w:rsid w:val="2265761B"/>
    <w:rsid w:val="22753050"/>
    <w:rsid w:val="22806203"/>
    <w:rsid w:val="22925F36"/>
    <w:rsid w:val="22943A5C"/>
    <w:rsid w:val="22993768"/>
    <w:rsid w:val="229C4EAB"/>
    <w:rsid w:val="22AC2B5D"/>
    <w:rsid w:val="22AF0896"/>
    <w:rsid w:val="22B674CB"/>
    <w:rsid w:val="22B70195"/>
    <w:rsid w:val="22BF62A8"/>
    <w:rsid w:val="22C02AA3"/>
    <w:rsid w:val="22C2681B"/>
    <w:rsid w:val="22C2713B"/>
    <w:rsid w:val="22CB70E1"/>
    <w:rsid w:val="22D50B4C"/>
    <w:rsid w:val="22DB168B"/>
    <w:rsid w:val="22E370DD"/>
    <w:rsid w:val="22E5075C"/>
    <w:rsid w:val="22E9024C"/>
    <w:rsid w:val="22EC0514"/>
    <w:rsid w:val="22EF3388"/>
    <w:rsid w:val="22EF5136"/>
    <w:rsid w:val="22F10325"/>
    <w:rsid w:val="22F32E79"/>
    <w:rsid w:val="22F36224"/>
    <w:rsid w:val="22F95FB5"/>
    <w:rsid w:val="23005752"/>
    <w:rsid w:val="230307BE"/>
    <w:rsid w:val="230706D2"/>
    <w:rsid w:val="231057D9"/>
    <w:rsid w:val="23124597"/>
    <w:rsid w:val="23150953"/>
    <w:rsid w:val="23181CF2"/>
    <w:rsid w:val="23187C1A"/>
    <w:rsid w:val="23250B58"/>
    <w:rsid w:val="23270D74"/>
    <w:rsid w:val="232A43C0"/>
    <w:rsid w:val="232C1EE7"/>
    <w:rsid w:val="232E2103"/>
    <w:rsid w:val="23343401"/>
    <w:rsid w:val="23362D65"/>
    <w:rsid w:val="2346744C"/>
    <w:rsid w:val="234A05BF"/>
    <w:rsid w:val="234B6811"/>
    <w:rsid w:val="2355768F"/>
    <w:rsid w:val="235A0D1F"/>
    <w:rsid w:val="23607DE2"/>
    <w:rsid w:val="23625212"/>
    <w:rsid w:val="23627FFE"/>
    <w:rsid w:val="236E6522"/>
    <w:rsid w:val="23720241"/>
    <w:rsid w:val="23765646"/>
    <w:rsid w:val="2378512C"/>
    <w:rsid w:val="239051F6"/>
    <w:rsid w:val="23975438"/>
    <w:rsid w:val="23983A20"/>
    <w:rsid w:val="239D2DE4"/>
    <w:rsid w:val="23A979DB"/>
    <w:rsid w:val="23B00D6A"/>
    <w:rsid w:val="23B4085A"/>
    <w:rsid w:val="23BA5744"/>
    <w:rsid w:val="23BE146B"/>
    <w:rsid w:val="23BE2382"/>
    <w:rsid w:val="23C05D79"/>
    <w:rsid w:val="23C10881"/>
    <w:rsid w:val="23C14D25"/>
    <w:rsid w:val="23C16AD3"/>
    <w:rsid w:val="23CD191B"/>
    <w:rsid w:val="23CE11F0"/>
    <w:rsid w:val="23CE7442"/>
    <w:rsid w:val="23DC3528"/>
    <w:rsid w:val="23DD3EED"/>
    <w:rsid w:val="23DE15D6"/>
    <w:rsid w:val="23E2215F"/>
    <w:rsid w:val="23E32EED"/>
    <w:rsid w:val="23EB3172"/>
    <w:rsid w:val="23EF6DDD"/>
    <w:rsid w:val="23F24EDE"/>
    <w:rsid w:val="23FA1FE5"/>
    <w:rsid w:val="23FC4938"/>
    <w:rsid w:val="24174945"/>
    <w:rsid w:val="24373239"/>
    <w:rsid w:val="24383F19"/>
    <w:rsid w:val="24413208"/>
    <w:rsid w:val="24446896"/>
    <w:rsid w:val="244F2331"/>
    <w:rsid w:val="24547947"/>
    <w:rsid w:val="24661642"/>
    <w:rsid w:val="246B4E01"/>
    <w:rsid w:val="246C3C2F"/>
    <w:rsid w:val="246F4781"/>
    <w:rsid w:val="247052DC"/>
    <w:rsid w:val="247509BC"/>
    <w:rsid w:val="247578BD"/>
    <w:rsid w:val="248F6BD1"/>
    <w:rsid w:val="24A0493A"/>
    <w:rsid w:val="24AA57B9"/>
    <w:rsid w:val="24B31DC2"/>
    <w:rsid w:val="24B634E8"/>
    <w:rsid w:val="24BB1774"/>
    <w:rsid w:val="24BB2C9E"/>
    <w:rsid w:val="24BB4180"/>
    <w:rsid w:val="24C148B0"/>
    <w:rsid w:val="24C20D54"/>
    <w:rsid w:val="24C21763"/>
    <w:rsid w:val="24CD76F9"/>
    <w:rsid w:val="24DF6C29"/>
    <w:rsid w:val="24E61397"/>
    <w:rsid w:val="24ED56A6"/>
    <w:rsid w:val="24F25D15"/>
    <w:rsid w:val="24F66C50"/>
    <w:rsid w:val="24F84776"/>
    <w:rsid w:val="24FB4266"/>
    <w:rsid w:val="2503311B"/>
    <w:rsid w:val="25115838"/>
    <w:rsid w:val="25132A7F"/>
    <w:rsid w:val="25186BC6"/>
    <w:rsid w:val="25203CCD"/>
    <w:rsid w:val="252D53FE"/>
    <w:rsid w:val="253B28B5"/>
    <w:rsid w:val="253F0438"/>
    <w:rsid w:val="2540611D"/>
    <w:rsid w:val="25423C43"/>
    <w:rsid w:val="254E083A"/>
    <w:rsid w:val="2551032A"/>
    <w:rsid w:val="25552D38"/>
    <w:rsid w:val="2557798A"/>
    <w:rsid w:val="256736AA"/>
    <w:rsid w:val="25783B09"/>
    <w:rsid w:val="25787583"/>
    <w:rsid w:val="258129BE"/>
    <w:rsid w:val="25820CEA"/>
    <w:rsid w:val="25822292"/>
    <w:rsid w:val="25826736"/>
    <w:rsid w:val="25854EB2"/>
    <w:rsid w:val="258C1362"/>
    <w:rsid w:val="258C4EBE"/>
    <w:rsid w:val="258D2BFC"/>
    <w:rsid w:val="25916979"/>
    <w:rsid w:val="259721E1"/>
    <w:rsid w:val="259874E2"/>
    <w:rsid w:val="259B0619"/>
    <w:rsid w:val="259C77F7"/>
    <w:rsid w:val="25B6018D"/>
    <w:rsid w:val="25B95E84"/>
    <w:rsid w:val="25BD776E"/>
    <w:rsid w:val="25D074A1"/>
    <w:rsid w:val="25D725DE"/>
    <w:rsid w:val="25D961D0"/>
    <w:rsid w:val="25DE1BBE"/>
    <w:rsid w:val="25E60A73"/>
    <w:rsid w:val="25EB42DB"/>
    <w:rsid w:val="25EC2D81"/>
    <w:rsid w:val="25F52A64"/>
    <w:rsid w:val="25F74973"/>
    <w:rsid w:val="25FC13BE"/>
    <w:rsid w:val="25FD5DBC"/>
    <w:rsid w:val="26022290"/>
    <w:rsid w:val="260809E9"/>
    <w:rsid w:val="260D24A3"/>
    <w:rsid w:val="26110E6F"/>
    <w:rsid w:val="26121868"/>
    <w:rsid w:val="261730FD"/>
    <w:rsid w:val="26192BF6"/>
    <w:rsid w:val="262072FB"/>
    <w:rsid w:val="2624159B"/>
    <w:rsid w:val="262C1DCB"/>
    <w:rsid w:val="262E5F76"/>
    <w:rsid w:val="26323CB8"/>
    <w:rsid w:val="26377839"/>
    <w:rsid w:val="2644502B"/>
    <w:rsid w:val="264528BD"/>
    <w:rsid w:val="26515721"/>
    <w:rsid w:val="26591245"/>
    <w:rsid w:val="265C0D35"/>
    <w:rsid w:val="26606A77"/>
    <w:rsid w:val="26645926"/>
    <w:rsid w:val="26681488"/>
    <w:rsid w:val="266F6CBA"/>
    <w:rsid w:val="26760048"/>
    <w:rsid w:val="2681079B"/>
    <w:rsid w:val="268465AB"/>
    <w:rsid w:val="268828FF"/>
    <w:rsid w:val="268F6768"/>
    <w:rsid w:val="269C3827"/>
    <w:rsid w:val="26A36964"/>
    <w:rsid w:val="26AA5F44"/>
    <w:rsid w:val="26AF5308"/>
    <w:rsid w:val="26B20955"/>
    <w:rsid w:val="26B7240F"/>
    <w:rsid w:val="26BE72FA"/>
    <w:rsid w:val="26C07516"/>
    <w:rsid w:val="26C37006"/>
    <w:rsid w:val="26CB3A94"/>
    <w:rsid w:val="26D0702D"/>
    <w:rsid w:val="26D94133"/>
    <w:rsid w:val="26DC6C91"/>
    <w:rsid w:val="26E14D5A"/>
    <w:rsid w:val="26E33204"/>
    <w:rsid w:val="26E47D34"/>
    <w:rsid w:val="26E74AA2"/>
    <w:rsid w:val="26EF7DFB"/>
    <w:rsid w:val="26F15921"/>
    <w:rsid w:val="26F40F6D"/>
    <w:rsid w:val="26F60CAF"/>
    <w:rsid w:val="26F61189"/>
    <w:rsid w:val="2700492A"/>
    <w:rsid w:val="271967C0"/>
    <w:rsid w:val="271B0BF0"/>
    <w:rsid w:val="27233601"/>
    <w:rsid w:val="272445CF"/>
    <w:rsid w:val="273306F3"/>
    <w:rsid w:val="27377A67"/>
    <w:rsid w:val="27391076"/>
    <w:rsid w:val="27433CA3"/>
    <w:rsid w:val="274C0DA9"/>
    <w:rsid w:val="2753038A"/>
    <w:rsid w:val="27585A15"/>
    <w:rsid w:val="2758774E"/>
    <w:rsid w:val="27592132"/>
    <w:rsid w:val="275B2D9A"/>
    <w:rsid w:val="2762237B"/>
    <w:rsid w:val="276A7481"/>
    <w:rsid w:val="276E0D20"/>
    <w:rsid w:val="277976C4"/>
    <w:rsid w:val="277B0D7F"/>
    <w:rsid w:val="277B343D"/>
    <w:rsid w:val="277F117F"/>
    <w:rsid w:val="27826579"/>
    <w:rsid w:val="27871DE1"/>
    <w:rsid w:val="278E278E"/>
    <w:rsid w:val="27905EE6"/>
    <w:rsid w:val="279D7857"/>
    <w:rsid w:val="279F193A"/>
    <w:rsid w:val="27A60C72"/>
    <w:rsid w:val="27AD6260"/>
    <w:rsid w:val="27AD638E"/>
    <w:rsid w:val="27B01338"/>
    <w:rsid w:val="27B30E28"/>
    <w:rsid w:val="27BA5D13"/>
    <w:rsid w:val="27C1173F"/>
    <w:rsid w:val="27C2106B"/>
    <w:rsid w:val="27D15DD1"/>
    <w:rsid w:val="27E40FE2"/>
    <w:rsid w:val="27EE09E2"/>
    <w:rsid w:val="27F473D8"/>
    <w:rsid w:val="27FA6426"/>
    <w:rsid w:val="27FF7BCA"/>
    <w:rsid w:val="280478D6"/>
    <w:rsid w:val="280653FC"/>
    <w:rsid w:val="28096C9A"/>
    <w:rsid w:val="280B7BC3"/>
    <w:rsid w:val="28164F13"/>
    <w:rsid w:val="281A2C55"/>
    <w:rsid w:val="281F201A"/>
    <w:rsid w:val="28212236"/>
    <w:rsid w:val="28213FE4"/>
    <w:rsid w:val="28277120"/>
    <w:rsid w:val="28304CAC"/>
    <w:rsid w:val="2833567F"/>
    <w:rsid w:val="28335AC5"/>
    <w:rsid w:val="28337E41"/>
    <w:rsid w:val="28396011"/>
    <w:rsid w:val="283D06F2"/>
    <w:rsid w:val="284C02A7"/>
    <w:rsid w:val="284E28FF"/>
    <w:rsid w:val="28551EE0"/>
    <w:rsid w:val="285C501C"/>
    <w:rsid w:val="285D2B42"/>
    <w:rsid w:val="28650375"/>
    <w:rsid w:val="28652321"/>
    <w:rsid w:val="2869172C"/>
    <w:rsid w:val="28695417"/>
    <w:rsid w:val="286B34B1"/>
    <w:rsid w:val="286C33DB"/>
    <w:rsid w:val="28702875"/>
    <w:rsid w:val="287560DE"/>
    <w:rsid w:val="2876639C"/>
    <w:rsid w:val="287F0D0A"/>
    <w:rsid w:val="28813F71"/>
    <w:rsid w:val="28814A83"/>
    <w:rsid w:val="28924EE2"/>
    <w:rsid w:val="289447B6"/>
    <w:rsid w:val="2895052E"/>
    <w:rsid w:val="289651BD"/>
    <w:rsid w:val="289E5635"/>
    <w:rsid w:val="28A1297A"/>
    <w:rsid w:val="28A76295"/>
    <w:rsid w:val="28A864B3"/>
    <w:rsid w:val="28B8366A"/>
    <w:rsid w:val="28BC7129"/>
    <w:rsid w:val="28C36E49"/>
    <w:rsid w:val="28C606E7"/>
    <w:rsid w:val="28CA01D8"/>
    <w:rsid w:val="28CC21F1"/>
    <w:rsid w:val="28D6244E"/>
    <w:rsid w:val="28DB32AB"/>
    <w:rsid w:val="28DF3C8D"/>
    <w:rsid w:val="28E54BC4"/>
    <w:rsid w:val="28F45255"/>
    <w:rsid w:val="29017971"/>
    <w:rsid w:val="290D27BA"/>
    <w:rsid w:val="291D0C4F"/>
    <w:rsid w:val="29206EB8"/>
    <w:rsid w:val="292136CE"/>
    <w:rsid w:val="292518B2"/>
    <w:rsid w:val="292813A2"/>
    <w:rsid w:val="292A511A"/>
    <w:rsid w:val="292D4147"/>
    <w:rsid w:val="292E034E"/>
    <w:rsid w:val="292F67EE"/>
    <w:rsid w:val="29324F91"/>
    <w:rsid w:val="29373393"/>
    <w:rsid w:val="2939710B"/>
    <w:rsid w:val="29471828"/>
    <w:rsid w:val="294A1318"/>
    <w:rsid w:val="294A3CD7"/>
    <w:rsid w:val="294C22A1"/>
    <w:rsid w:val="294C5091"/>
    <w:rsid w:val="295876D6"/>
    <w:rsid w:val="295E3016"/>
    <w:rsid w:val="29606D8E"/>
    <w:rsid w:val="296C128F"/>
    <w:rsid w:val="296C4BAC"/>
    <w:rsid w:val="297C5914"/>
    <w:rsid w:val="29852351"/>
    <w:rsid w:val="29890093"/>
    <w:rsid w:val="29967E2D"/>
    <w:rsid w:val="29982084"/>
    <w:rsid w:val="29AA1DB7"/>
    <w:rsid w:val="29B175E9"/>
    <w:rsid w:val="29B82726"/>
    <w:rsid w:val="29BD08F2"/>
    <w:rsid w:val="29BF1D06"/>
    <w:rsid w:val="29C410CB"/>
    <w:rsid w:val="29CC7F7F"/>
    <w:rsid w:val="29D63102"/>
    <w:rsid w:val="29E325E0"/>
    <w:rsid w:val="29EB48A9"/>
    <w:rsid w:val="29EB7E9F"/>
    <w:rsid w:val="29EC23D0"/>
    <w:rsid w:val="29EF43E8"/>
    <w:rsid w:val="29F00112"/>
    <w:rsid w:val="29F5538C"/>
    <w:rsid w:val="29FB2071"/>
    <w:rsid w:val="29FF2103"/>
    <w:rsid w:val="2A0A5FF9"/>
    <w:rsid w:val="2A0C6676"/>
    <w:rsid w:val="2A163DA4"/>
    <w:rsid w:val="2A1738F0"/>
    <w:rsid w:val="2A263B34"/>
    <w:rsid w:val="2A2A2060"/>
    <w:rsid w:val="2A2D05FF"/>
    <w:rsid w:val="2A353D77"/>
    <w:rsid w:val="2A4346E5"/>
    <w:rsid w:val="2A452503"/>
    <w:rsid w:val="2A524929"/>
    <w:rsid w:val="2A581813"/>
    <w:rsid w:val="2A585CB7"/>
    <w:rsid w:val="2A643B57"/>
    <w:rsid w:val="2A697EC4"/>
    <w:rsid w:val="2A6B1334"/>
    <w:rsid w:val="2A6D3510"/>
    <w:rsid w:val="2A6F54DA"/>
    <w:rsid w:val="2A73489F"/>
    <w:rsid w:val="2A742AF1"/>
    <w:rsid w:val="2A756869"/>
    <w:rsid w:val="2A78062B"/>
    <w:rsid w:val="2A791292"/>
    <w:rsid w:val="2A7B6309"/>
    <w:rsid w:val="2A801755"/>
    <w:rsid w:val="2A9211C9"/>
    <w:rsid w:val="2A924FCC"/>
    <w:rsid w:val="2A9C2048"/>
    <w:rsid w:val="2A9D15F2"/>
    <w:rsid w:val="2AA1140C"/>
    <w:rsid w:val="2AA2188F"/>
    <w:rsid w:val="2AA2529F"/>
    <w:rsid w:val="2AAB5DE7"/>
    <w:rsid w:val="2AAD433F"/>
    <w:rsid w:val="2AB00919"/>
    <w:rsid w:val="2AB23619"/>
    <w:rsid w:val="2AB24AC6"/>
    <w:rsid w:val="2AB56C65"/>
    <w:rsid w:val="2ABA24CE"/>
    <w:rsid w:val="2AC450FA"/>
    <w:rsid w:val="2AC66B4F"/>
    <w:rsid w:val="2ACE4132"/>
    <w:rsid w:val="2AD57308"/>
    <w:rsid w:val="2AD757E4"/>
    <w:rsid w:val="2AD905D3"/>
    <w:rsid w:val="2AEA21EB"/>
    <w:rsid w:val="2AEF03C9"/>
    <w:rsid w:val="2AF43C32"/>
    <w:rsid w:val="2AF7102C"/>
    <w:rsid w:val="2B033E75"/>
    <w:rsid w:val="2B0A5203"/>
    <w:rsid w:val="2B0B5E2F"/>
    <w:rsid w:val="2B0C0FDF"/>
    <w:rsid w:val="2B0E3784"/>
    <w:rsid w:val="2B277B63"/>
    <w:rsid w:val="2B2838DB"/>
    <w:rsid w:val="2B2C517A"/>
    <w:rsid w:val="2B3B11AE"/>
    <w:rsid w:val="2B3E6C5B"/>
    <w:rsid w:val="2B435C33"/>
    <w:rsid w:val="2B492D8D"/>
    <w:rsid w:val="2B54022C"/>
    <w:rsid w:val="2B5B780D"/>
    <w:rsid w:val="2B604E23"/>
    <w:rsid w:val="2B620B9B"/>
    <w:rsid w:val="2B634913"/>
    <w:rsid w:val="2B69017C"/>
    <w:rsid w:val="2B6C62CF"/>
    <w:rsid w:val="2B74267D"/>
    <w:rsid w:val="2B764647"/>
    <w:rsid w:val="2B7B7EAF"/>
    <w:rsid w:val="2B7E34FB"/>
    <w:rsid w:val="2B8723B0"/>
    <w:rsid w:val="2B8C3E6A"/>
    <w:rsid w:val="2B8F5708"/>
    <w:rsid w:val="2B9B0113"/>
    <w:rsid w:val="2B9B22FF"/>
    <w:rsid w:val="2BA936A8"/>
    <w:rsid w:val="2BAE2033"/>
    <w:rsid w:val="2BAE6156"/>
    <w:rsid w:val="2BB45CC1"/>
    <w:rsid w:val="2BB533C1"/>
    <w:rsid w:val="2BBA5CF7"/>
    <w:rsid w:val="2BBD13CD"/>
    <w:rsid w:val="2BBD4A6B"/>
    <w:rsid w:val="2BC01D66"/>
    <w:rsid w:val="2BC442AE"/>
    <w:rsid w:val="2BE733F6"/>
    <w:rsid w:val="2BEA71D2"/>
    <w:rsid w:val="2BFF4499"/>
    <w:rsid w:val="2BFF63EA"/>
    <w:rsid w:val="2BFF77EC"/>
    <w:rsid w:val="2C0003B4"/>
    <w:rsid w:val="2C025EDA"/>
    <w:rsid w:val="2C0504DF"/>
    <w:rsid w:val="2C063C1D"/>
    <w:rsid w:val="2C1300E8"/>
    <w:rsid w:val="2C1874AC"/>
    <w:rsid w:val="2C1A1476"/>
    <w:rsid w:val="2C251BC9"/>
    <w:rsid w:val="2C296E55"/>
    <w:rsid w:val="2C2C3DE8"/>
    <w:rsid w:val="2C2C7879"/>
    <w:rsid w:val="2C302A48"/>
    <w:rsid w:val="2C31218A"/>
    <w:rsid w:val="2C315A5A"/>
    <w:rsid w:val="2C327883"/>
    <w:rsid w:val="2C3C763E"/>
    <w:rsid w:val="2C484235"/>
    <w:rsid w:val="2C487FD5"/>
    <w:rsid w:val="2C50426F"/>
    <w:rsid w:val="2C534988"/>
    <w:rsid w:val="2C571A8D"/>
    <w:rsid w:val="2C6426F1"/>
    <w:rsid w:val="2C644CC2"/>
    <w:rsid w:val="2C652EE7"/>
    <w:rsid w:val="2C6754A3"/>
    <w:rsid w:val="2C693389"/>
    <w:rsid w:val="2C7F39CF"/>
    <w:rsid w:val="2C815051"/>
    <w:rsid w:val="2C8608B9"/>
    <w:rsid w:val="2C985B8A"/>
    <w:rsid w:val="2CA86A82"/>
    <w:rsid w:val="2CB01DDA"/>
    <w:rsid w:val="2CB34EDA"/>
    <w:rsid w:val="2CB90C8F"/>
    <w:rsid w:val="2CC213E0"/>
    <w:rsid w:val="2CC413E2"/>
    <w:rsid w:val="2CC66F08"/>
    <w:rsid w:val="2CCE400E"/>
    <w:rsid w:val="2CD629A7"/>
    <w:rsid w:val="2CD77367"/>
    <w:rsid w:val="2CD979CA"/>
    <w:rsid w:val="2CDD51B6"/>
    <w:rsid w:val="2CE11F94"/>
    <w:rsid w:val="2CF4294C"/>
    <w:rsid w:val="2CFC0B7C"/>
    <w:rsid w:val="2CFF066C"/>
    <w:rsid w:val="2D0143E4"/>
    <w:rsid w:val="2D0D4B37"/>
    <w:rsid w:val="2D122D03"/>
    <w:rsid w:val="2D142369"/>
    <w:rsid w:val="2D151C3D"/>
    <w:rsid w:val="2D232822"/>
    <w:rsid w:val="2D2A1671"/>
    <w:rsid w:val="2D2A393B"/>
    <w:rsid w:val="2D2A56E9"/>
    <w:rsid w:val="2D2D51D9"/>
    <w:rsid w:val="2D2E3032"/>
    <w:rsid w:val="2D360531"/>
    <w:rsid w:val="2D3C366E"/>
    <w:rsid w:val="2D4B1056"/>
    <w:rsid w:val="2D616C31"/>
    <w:rsid w:val="2D6741DC"/>
    <w:rsid w:val="2D687AB5"/>
    <w:rsid w:val="2D6C1150"/>
    <w:rsid w:val="2D71156A"/>
    <w:rsid w:val="2D793729"/>
    <w:rsid w:val="2D796670"/>
    <w:rsid w:val="2D7B7EC6"/>
    <w:rsid w:val="2D8D5C78"/>
    <w:rsid w:val="2D9139BA"/>
    <w:rsid w:val="2D940DB4"/>
    <w:rsid w:val="2D956126"/>
    <w:rsid w:val="2D9E56F5"/>
    <w:rsid w:val="2D9E60D7"/>
    <w:rsid w:val="2DA03BFD"/>
    <w:rsid w:val="2DA37249"/>
    <w:rsid w:val="2DAC07F4"/>
    <w:rsid w:val="2DAC392E"/>
    <w:rsid w:val="2DB43204"/>
    <w:rsid w:val="2DB444AD"/>
    <w:rsid w:val="2DB80F46"/>
    <w:rsid w:val="2DBF4B12"/>
    <w:rsid w:val="2DCD775F"/>
    <w:rsid w:val="2DCF003E"/>
    <w:rsid w:val="2DD11160"/>
    <w:rsid w:val="2DE57862"/>
    <w:rsid w:val="2DF06932"/>
    <w:rsid w:val="2DF6381D"/>
    <w:rsid w:val="2DF8162E"/>
    <w:rsid w:val="2DF91E34"/>
    <w:rsid w:val="2DFA1A5F"/>
    <w:rsid w:val="2E075A2A"/>
    <w:rsid w:val="2E087164"/>
    <w:rsid w:val="2E0F48DF"/>
    <w:rsid w:val="2E187C37"/>
    <w:rsid w:val="2E1D6FFC"/>
    <w:rsid w:val="2E262354"/>
    <w:rsid w:val="2E291E44"/>
    <w:rsid w:val="2E456552"/>
    <w:rsid w:val="2E47051C"/>
    <w:rsid w:val="2E491A3F"/>
    <w:rsid w:val="2E495111"/>
    <w:rsid w:val="2E496043"/>
    <w:rsid w:val="2E4E18AB"/>
    <w:rsid w:val="2E575575"/>
    <w:rsid w:val="2E6030FC"/>
    <w:rsid w:val="2E6305ED"/>
    <w:rsid w:val="2E6469D8"/>
    <w:rsid w:val="2E652751"/>
    <w:rsid w:val="2E6609A2"/>
    <w:rsid w:val="2E667F96"/>
    <w:rsid w:val="2E772BB0"/>
    <w:rsid w:val="2E7A26A0"/>
    <w:rsid w:val="2E7A444E"/>
    <w:rsid w:val="2E7D3F3E"/>
    <w:rsid w:val="2E8226AB"/>
    <w:rsid w:val="2E8227CF"/>
    <w:rsid w:val="2E860B9A"/>
    <w:rsid w:val="2E864BA1"/>
    <w:rsid w:val="2E8D2118"/>
    <w:rsid w:val="2E8E1840"/>
    <w:rsid w:val="2E933762"/>
    <w:rsid w:val="2E953036"/>
    <w:rsid w:val="2E9A064C"/>
    <w:rsid w:val="2EA414CB"/>
    <w:rsid w:val="2EAD1279"/>
    <w:rsid w:val="2EB0560C"/>
    <w:rsid w:val="2EB711FE"/>
    <w:rsid w:val="2EBC05C2"/>
    <w:rsid w:val="2EC42C7A"/>
    <w:rsid w:val="2EC9206D"/>
    <w:rsid w:val="2ECB4CA9"/>
    <w:rsid w:val="2ECB6A58"/>
    <w:rsid w:val="2ED075DC"/>
    <w:rsid w:val="2ED1017B"/>
    <w:rsid w:val="2ED33B5E"/>
    <w:rsid w:val="2EDB31E4"/>
    <w:rsid w:val="2EE443DB"/>
    <w:rsid w:val="2EED2E72"/>
    <w:rsid w:val="2EEE4F05"/>
    <w:rsid w:val="2EF04710"/>
    <w:rsid w:val="2EF139C1"/>
    <w:rsid w:val="2EF17594"/>
    <w:rsid w:val="2F0B142F"/>
    <w:rsid w:val="2F0B154A"/>
    <w:rsid w:val="2F0C08F6"/>
    <w:rsid w:val="2F21465F"/>
    <w:rsid w:val="2F2F5238"/>
    <w:rsid w:val="2F300FB0"/>
    <w:rsid w:val="2F3D0CEE"/>
    <w:rsid w:val="2F3E191F"/>
    <w:rsid w:val="2F407445"/>
    <w:rsid w:val="2F4F461B"/>
    <w:rsid w:val="2F5051AF"/>
    <w:rsid w:val="2F57027C"/>
    <w:rsid w:val="2F64740E"/>
    <w:rsid w:val="2F6A44C2"/>
    <w:rsid w:val="2F6B12EF"/>
    <w:rsid w:val="2F7D4F4A"/>
    <w:rsid w:val="2F832C79"/>
    <w:rsid w:val="2F882B9B"/>
    <w:rsid w:val="2F8F4328"/>
    <w:rsid w:val="2F9627A7"/>
    <w:rsid w:val="2F9652B7"/>
    <w:rsid w:val="2F9E416C"/>
    <w:rsid w:val="2FA15A0A"/>
    <w:rsid w:val="2FA76FD1"/>
    <w:rsid w:val="2FAA0D63"/>
    <w:rsid w:val="2FB4573E"/>
    <w:rsid w:val="2FC00586"/>
    <w:rsid w:val="2FC30453"/>
    <w:rsid w:val="2FC35981"/>
    <w:rsid w:val="2FD45DE0"/>
    <w:rsid w:val="2FD64419"/>
    <w:rsid w:val="2FD7142C"/>
    <w:rsid w:val="2FD8767E"/>
    <w:rsid w:val="2FDE33B6"/>
    <w:rsid w:val="2FEE50F3"/>
    <w:rsid w:val="2FEF2D58"/>
    <w:rsid w:val="2FF2263C"/>
    <w:rsid w:val="2FF344B8"/>
    <w:rsid w:val="2FF74010"/>
    <w:rsid w:val="2FFB15BE"/>
    <w:rsid w:val="2FFD0DFC"/>
    <w:rsid w:val="3002033D"/>
    <w:rsid w:val="30030473"/>
    <w:rsid w:val="30077F63"/>
    <w:rsid w:val="300F0BC6"/>
    <w:rsid w:val="3014442E"/>
    <w:rsid w:val="301B5877"/>
    <w:rsid w:val="301F52AD"/>
    <w:rsid w:val="303C4D07"/>
    <w:rsid w:val="30416A1A"/>
    <w:rsid w:val="30443C64"/>
    <w:rsid w:val="30444D13"/>
    <w:rsid w:val="304A7E50"/>
    <w:rsid w:val="304E0CC8"/>
    <w:rsid w:val="305331A8"/>
    <w:rsid w:val="3056544F"/>
    <w:rsid w:val="305667F5"/>
    <w:rsid w:val="30580BC9"/>
    <w:rsid w:val="305F1B4D"/>
    <w:rsid w:val="30657FDD"/>
    <w:rsid w:val="30676C54"/>
    <w:rsid w:val="3069477A"/>
    <w:rsid w:val="307373A7"/>
    <w:rsid w:val="3075311F"/>
    <w:rsid w:val="30785D29"/>
    <w:rsid w:val="30845298"/>
    <w:rsid w:val="308B2942"/>
    <w:rsid w:val="309335A5"/>
    <w:rsid w:val="30963095"/>
    <w:rsid w:val="309655D5"/>
    <w:rsid w:val="309A2B85"/>
    <w:rsid w:val="309B1AA0"/>
    <w:rsid w:val="309D5228"/>
    <w:rsid w:val="30A003C2"/>
    <w:rsid w:val="30A9726C"/>
    <w:rsid w:val="30B33C47"/>
    <w:rsid w:val="30BC6FA0"/>
    <w:rsid w:val="30C9346B"/>
    <w:rsid w:val="30D065A7"/>
    <w:rsid w:val="30D81136"/>
    <w:rsid w:val="30DA5678"/>
    <w:rsid w:val="30DA6B89"/>
    <w:rsid w:val="30DC4672"/>
    <w:rsid w:val="30E327D8"/>
    <w:rsid w:val="30E3452C"/>
    <w:rsid w:val="30F87556"/>
    <w:rsid w:val="3102072B"/>
    <w:rsid w:val="31032463"/>
    <w:rsid w:val="310426F5"/>
    <w:rsid w:val="310D15A9"/>
    <w:rsid w:val="31181346"/>
    <w:rsid w:val="311A7304"/>
    <w:rsid w:val="311B250B"/>
    <w:rsid w:val="311E2ED7"/>
    <w:rsid w:val="31216E03"/>
    <w:rsid w:val="3126266B"/>
    <w:rsid w:val="313759B1"/>
    <w:rsid w:val="313C3C3D"/>
    <w:rsid w:val="31411253"/>
    <w:rsid w:val="314A1279"/>
    <w:rsid w:val="315076E8"/>
    <w:rsid w:val="315216B2"/>
    <w:rsid w:val="31570A76"/>
    <w:rsid w:val="315C449C"/>
    <w:rsid w:val="31660CB9"/>
    <w:rsid w:val="31677457"/>
    <w:rsid w:val="317E6003"/>
    <w:rsid w:val="317F1D7B"/>
    <w:rsid w:val="317F1F89"/>
    <w:rsid w:val="318B0720"/>
    <w:rsid w:val="318B0BE0"/>
    <w:rsid w:val="318D6246"/>
    <w:rsid w:val="31943A79"/>
    <w:rsid w:val="319475D5"/>
    <w:rsid w:val="3196684B"/>
    <w:rsid w:val="31A31F0E"/>
    <w:rsid w:val="31A677D0"/>
    <w:rsid w:val="31AF2660"/>
    <w:rsid w:val="31AF440F"/>
    <w:rsid w:val="31B45209"/>
    <w:rsid w:val="31B82709"/>
    <w:rsid w:val="31C12394"/>
    <w:rsid w:val="31CB55CE"/>
    <w:rsid w:val="31CF4AB1"/>
    <w:rsid w:val="31CF7994"/>
    <w:rsid w:val="31D47C7D"/>
    <w:rsid w:val="31DA35B5"/>
    <w:rsid w:val="31DE6AA2"/>
    <w:rsid w:val="31E3055C"/>
    <w:rsid w:val="31E76BD8"/>
    <w:rsid w:val="31EC0C04"/>
    <w:rsid w:val="31EE33F5"/>
    <w:rsid w:val="31F14A27"/>
    <w:rsid w:val="31F2254D"/>
    <w:rsid w:val="31FB7654"/>
    <w:rsid w:val="3200110E"/>
    <w:rsid w:val="32036508"/>
    <w:rsid w:val="32087FC3"/>
    <w:rsid w:val="32132BEF"/>
    <w:rsid w:val="321D0063"/>
    <w:rsid w:val="32211625"/>
    <w:rsid w:val="322C3CB1"/>
    <w:rsid w:val="32320699"/>
    <w:rsid w:val="32342B66"/>
    <w:rsid w:val="32400B34"/>
    <w:rsid w:val="32405B2A"/>
    <w:rsid w:val="324234D5"/>
    <w:rsid w:val="32452FC5"/>
    <w:rsid w:val="32454D73"/>
    <w:rsid w:val="32591540"/>
    <w:rsid w:val="325B78A5"/>
    <w:rsid w:val="326351F9"/>
    <w:rsid w:val="32650F71"/>
    <w:rsid w:val="326E26B3"/>
    <w:rsid w:val="32700042"/>
    <w:rsid w:val="32764F2C"/>
    <w:rsid w:val="32891103"/>
    <w:rsid w:val="328C0BF4"/>
    <w:rsid w:val="32957AA8"/>
    <w:rsid w:val="32991471"/>
    <w:rsid w:val="329E6876"/>
    <w:rsid w:val="32A25D21"/>
    <w:rsid w:val="32A32356"/>
    <w:rsid w:val="32A41A99"/>
    <w:rsid w:val="32A95302"/>
    <w:rsid w:val="32AA2E28"/>
    <w:rsid w:val="32B37F2E"/>
    <w:rsid w:val="32B53CA7"/>
    <w:rsid w:val="32B82A64"/>
    <w:rsid w:val="32B83797"/>
    <w:rsid w:val="32BF490D"/>
    <w:rsid w:val="32CC1EED"/>
    <w:rsid w:val="32CE61B4"/>
    <w:rsid w:val="32D560F7"/>
    <w:rsid w:val="32DA370D"/>
    <w:rsid w:val="32E26A66"/>
    <w:rsid w:val="32E4633A"/>
    <w:rsid w:val="32F03BA4"/>
    <w:rsid w:val="32FB3683"/>
    <w:rsid w:val="32FD73FC"/>
    <w:rsid w:val="3301513E"/>
    <w:rsid w:val="330B7D6A"/>
    <w:rsid w:val="330C763F"/>
    <w:rsid w:val="330D3AE3"/>
    <w:rsid w:val="33122EA7"/>
    <w:rsid w:val="33134E71"/>
    <w:rsid w:val="331704BD"/>
    <w:rsid w:val="33184235"/>
    <w:rsid w:val="332215E4"/>
    <w:rsid w:val="3328091C"/>
    <w:rsid w:val="332D1A72"/>
    <w:rsid w:val="332D7CE1"/>
    <w:rsid w:val="332E4F6B"/>
    <w:rsid w:val="333029D5"/>
    <w:rsid w:val="33386686"/>
    <w:rsid w:val="333E57F9"/>
    <w:rsid w:val="3386325D"/>
    <w:rsid w:val="33866BEF"/>
    <w:rsid w:val="33882539"/>
    <w:rsid w:val="338D4C23"/>
    <w:rsid w:val="339128A9"/>
    <w:rsid w:val="33953AD8"/>
    <w:rsid w:val="33A7639F"/>
    <w:rsid w:val="33B201E6"/>
    <w:rsid w:val="33C30645"/>
    <w:rsid w:val="33C63297"/>
    <w:rsid w:val="33CD6DCE"/>
    <w:rsid w:val="33D934D4"/>
    <w:rsid w:val="33DF6B01"/>
    <w:rsid w:val="33F829BD"/>
    <w:rsid w:val="33F86541"/>
    <w:rsid w:val="33FB1B8D"/>
    <w:rsid w:val="33FE2F6A"/>
    <w:rsid w:val="33FF738F"/>
    <w:rsid w:val="340A0022"/>
    <w:rsid w:val="340F5638"/>
    <w:rsid w:val="34190265"/>
    <w:rsid w:val="342563FC"/>
    <w:rsid w:val="34313C5A"/>
    <w:rsid w:val="343155AF"/>
    <w:rsid w:val="3434509F"/>
    <w:rsid w:val="34362BC5"/>
    <w:rsid w:val="343B2D13"/>
    <w:rsid w:val="343E47B7"/>
    <w:rsid w:val="3451678A"/>
    <w:rsid w:val="34574764"/>
    <w:rsid w:val="3457548F"/>
    <w:rsid w:val="345B087E"/>
    <w:rsid w:val="34627928"/>
    <w:rsid w:val="34675474"/>
    <w:rsid w:val="34684D49"/>
    <w:rsid w:val="346911EC"/>
    <w:rsid w:val="346E6803"/>
    <w:rsid w:val="347150DC"/>
    <w:rsid w:val="347C1C67"/>
    <w:rsid w:val="347D6A46"/>
    <w:rsid w:val="347E7F4E"/>
    <w:rsid w:val="34807019"/>
    <w:rsid w:val="34825E0A"/>
    <w:rsid w:val="3489363D"/>
    <w:rsid w:val="348F6779"/>
    <w:rsid w:val="34983880"/>
    <w:rsid w:val="349A13A6"/>
    <w:rsid w:val="349B2A17"/>
    <w:rsid w:val="349D49F2"/>
    <w:rsid w:val="34AC10D9"/>
    <w:rsid w:val="34AE07E1"/>
    <w:rsid w:val="34AE6BFF"/>
    <w:rsid w:val="34B42CD7"/>
    <w:rsid w:val="34B47F8E"/>
    <w:rsid w:val="34BB30CA"/>
    <w:rsid w:val="34C401D1"/>
    <w:rsid w:val="34CE7CA8"/>
    <w:rsid w:val="34D10B40"/>
    <w:rsid w:val="34F5482E"/>
    <w:rsid w:val="34FB5395"/>
    <w:rsid w:val="350B5E00"/>
    <w:rsid w:val="350C3926"/>
    <w:rsid w:val="35123632"/>
    <w:rsid w:val="35131158"/>
    <w:rsid w:val="351331F9"/>
    <w:rsid w:val="35145978"/>
    <w:rsid w:val="35161C05"/>
    <w:rsid w:val="3518051D"/>
    <w:rsid w:val="351B4977"/>
    <w:rsid w:val="35243365"/>
    <w:rsid w:val="352B31F5"/>
    <w:rsid w:val="352B532A"/>
    <w:rsid w:val="35344874"/>
    <w:rsid w:val="353A0493"/>
    <w:rsid w:val="353C420B"/>
    <w:rsid w:val="353F1F4D"/>
    <w:rsid w:val="35415CC5"/>
    <w:rsid w:val="35417A73"/>
    <w:rsid w:val="354237EC"/>
    <w:rsid w:val="35443D18"/>
    <w:rsid w:val="35523A2F"/>
    <w:rsid w:val="35527ED3"/>
    <w:rsid w:val="355C2A85"/>
    <w:rsid w:val="3560331F"/>
    <w:rsid w:val="35631901"/>
    <w:rsid w:val="356F59EC"/>
    <w:rsid w:val="357716E7"/>
    <w:rsid w:val="357A2F85"/>
    <w:rsid w:val="357A3B1C"/>
    <w:rsid w:val="357C0AAC"/>
    <w:rsid w:val="358856A2"/>
    <w:rsid w:val="358931C8"/>
    <w:rsid w:val="359009FB"/>
    <w:rsid w:val="35944047"/>
    <w:rsid w:val="359A53D6"/>
    <w:rsid w:val="359A63C0"/>
    <w:rsid w:val="359F64F2"/>
    <w:rsid w:val="35A239BC"/>
    <w:rsid w:val="35A46254"/>
    <w:rsid w:val="35A5691A"/>
    <w:rsid w:val="35A746CB"/>
    <w:rsid w:val="35AD6EB7"/>
    <w:rsid w:val="35BA15D4"/>
    <w:rsid w:val="35BC17F0"/>
    <w:rsid w:val="35C04B91"/>
    <w:rsid w:val="35CB558F"/>
    <w:rsid w:val="35CD1307"/>
    <w:rsid w:val="35CF6816"/>
    <w:rsid w:val="35D501BC"/>
    <w:rsid w:val="35EA7D42"/>
    <w:rsid w:val="35EB5CD8"/>
    <w:rsid w:val="35F24F62"/>
    <w:rsid w:val="35FF348B"/>
    <w:rsid w:val="36015455"/>
    <w:rsid w:val="36074A7F"/>
    <w:rsid w:val="36080591"/>
    <w:rsid w:val="3608381A"/>
    <w:rsid w:val="36162CAE"/>
    <w:rsid w:val="361909F0"/>
    <w:rsid w:val="361F444A"/>
    <w:rsid w:val="36251143"/>
    <w:rsid w:val="362C0724"/>
    <w:rsid w:val="362C2EF1"/>
    <w:rsid w:val="362F1FC2"/>
    <w:rsid w:val="363C023B"/>
    <w:rsid w:val="3643115A"/>
    <w:rsid w:val="36432478"/>
    <w:rsid w:val="364A2958"/>
    <w:rsid w:val="36530255"/>
    <w:rsid w:val="365437D6"/>
    <w:rsid w:val="36545584"/>
    <w:rsid w:val="365612FD"/>
    <w:rsid w:val="365732C7"/>
    <w:rsid w:val="36653C36"/>
    <w:rsid w:val="36681030"/>
    <w:rsid w:val="366F76E7"/>
    <w:rsid w:val="367141CE"/>
    <w:rsid w:val="36745C27"/>
    <w:rsid w:val="367B6FB5"/>
    <w:rsid w:val="368340BC"/>
    <w:rsid w:val="36871691"/>
    <w:rsid w:val="3687277C"/>
    <w:rsid w:val="36891FCF"/>
    <w:rsid w:val="369129F7"/>
    <w:rsid w:val="36923549"/>
    <w:rsid w:val="36966D52"/>
    <w:rsid w:val="369736C3"/>
    <w:rsid w:val="36A21135"/>
    <w:rsid w:val="36B240C8"/>
    <w:rsid w:val="36B31729"/>
    <w:rsid w:val="36B60F67"/>
    <w:rsid w:val="36B727F9"/>
    <w:rsid w:val="36B75FBF"/>
    <w:rsid w:val="36BD312A"/>
    <w:rsid w:val="36C827C2"/>
    <w:rsid w:val="36C97D20"/>
    <w:rsid w:val="36CD6D52"/>
    <w:rsid w:val="36D466C5"/>
    <w:rsid w:val="36DF5796"/>
    <w:rsid w:val="36E7464B"/>
    <w:rsid w:val="36E94D26"/>
    <w:rsid w:val="36EA57B9"/>
    <w:rsid w:val="36EE7787"/>
    <w:rsid w:val="36F80606"/>
    <w:rsid w:val="36F8396F"/>
    <w:rsid w:val="36FB4891"/>
    <w:rsid w:val="370C40B1"/>
    <w:rsid w:val="37103BA1"/>
    <w:rsid w:val="37107F95"/>
    <w:rsid w:val="37113475"/>
    <w:rsid w:val="37152F66"/>
    <w:rsid w:val="371A057C"/>
    <w:rsid w:val="371F3DE4"/>
    <w:rsid w:val="37215DAE"/>
    <w:rsid w:val="37217B5C"/>
    <w:rsid w:val="37257503"/>
    <w:rsid w:val="372C4753"/>
    <w:rsid w:val="372E04CB"/>
    <w:rsid w:val="372E4C5F"/>
    <w:rsid w:val="37305FF2"/>
    <w:rsid w:val="37461371"/>
    <w:rsid w:val="37465815"/>
    <w:rsid w:val="37465A08"/>
    <w:rsid w:val="3748158D"/>
    <w:rsid w:val="374A567A"/>
    <w:rsid w:val="374B2E2B"/>
    <w:rsid w:val="374B6987"/>
    <w:rsid w:val="37500442"/>
    <w:rsid w:val="37503F9E"/>
    <w:rsid w:val="375241BA"/>
    <w:rsid w:val="375C3AD3"/>
    <w:rsid w:val="375F0685"/>
    <w:rsid w:val="37643EED"/>
    <w:rsid w:val="37667C65"/>
    <w:rsid w:val="376E73A5"/>
    <w:rsid w:val="37725830"/>
    <w:rsid w:val="37744822"/>
    <w:rsid w:val="37773C20"/>
    <w:rsid w:val="378123A9"/>
    <w:rsid w:val="378325C5"/>
    <w:rsid w:val="378835C5"/>
    <w:rsid w:val="379775C4"/>
    <w:rsid w:val="37977BBC"/>
    <w:rsid w:val="37983B97"/>
    <w:rsid w:val="379929F5"/>
    <w:rsid w:val="379B23DD"/>
    <w:rsid w:val="379E11AD"/>
    <w:rsid w:val="37AB5678"/>
    <w:rsid w:val="37B10249"/>
    <w:rsid w:val="37B7226F"/>
    <w:rsid w:val="37B90489"/>
    <w:rsid w:val="37B95FE7"/>
    <w:rsid w:val="37BC5AD7"/>
    <w:rsid w:val="37C52C3A"/>
    <w:rsid w:val="37C64260"/>
    <w:rsid w:val="37C8622A"/>
    <w:rsid w:val="37C93D50"/>
    <w:rsid w:val="37CD5B9C"/>
    <w:rsid w:val="37CE75B8"/>
    <w:rsid w:val="37D3697D"/>
    <w:rsid w:val="37E128C2"/>
    <w:rsid w:val="37ED7A3F"/>
    <w:rsid w:val="37F012DD"/>
    <w:rsid w:val="37F76B0F"/>
    <w:rsid w:val="37FE3BFC"/>
    <w:rsid w:val="37FE7E9E"/>
    <w:rsid w:val="38170F5F"/>
    <w:rsid w:val="38172D0E"/>
    <w:rsid w:val="3825542A"/>
    <w:rsid w:val="382B67B9"/>
    <w:rsid w:val="38303DA7"/>
    <w:rsid w:val="3831064E"/>
    <w:rsid w:val="38325D99"/>
    <w:rsid w:val="38353194"/>
    <w:rsid w:val="3835486A"/>
    <w:rsid w:val="384229DF"/>
    <w:rsid w:val="38467783"/>
    <w:rsid w:val="384A30E3"/>
    <w:rsid w:val="384E4FBD"/>
    <w:rsid w:val="384F204E"/>
    <w:rsid w:val="384F24A7"/>
    <w:rsid w:val="38547ABE"/>
    <w:rsid w:val="386046B4"/>
    <w:rsid w:val="38635F53"/>
    <w:rsid w:val="386D5023"/>
    <w:rsid w:val="386D6DD1"/>
    <w:rsid w:val="387463B2"/>
    <w:rsid w:val="3875408A"/>
    <w:rsid w:val="38912AC0"/>
    <w:rsid w:val="38926838"/>
    <w:rsid w:val="389425B0"/>
    <w:rsid w:val="38972D3F"/>
    <w:rsid w:val="389B56ED"/>
    <w:rsid w:val="389F78EA"/>
    <w:rsid w:val="38A65E3F"/>
    <w:rsid w:val="38AA5930"/>
    <w:rsid w:val="38AC5B4C"/>
    <w:rsid w:val="38B7004D"/>
    <w:rsid w:val="38B86F38"/>
    <w:rsid w:val="38B90459"/>
    <w:rsid w:val="38BA2623"/>
    <w:rsid w:val="38BB18EB"/>
    <w:rsid w:val="38BD1B07"/>
    <w:rsid w:val="38C35493"/>
    <w:rsid w:val="38C42E95"/>
    <w:rsid w:val="38D0417E"/>
    <w:rsid w:val="38D1110E"/>
    <w:rsid w:val="38E075A3"/>
    <w:rsid w:val="38E452E6"/>
    <w:rsid w:val="38E928FC"/>
    <w:rsid w:val="38E946AA"/>
    <w:rsid w:val="38EA21D0"/>
    <w:rsid w:val="38EE040E"/>
    <w:rsid w:val="38F12CD3"/>
    <w:rsid w:val="38F1355F"/>
    <w:rsid w:val="38F94775"/>
    <w:rsid w:val="390246F3"/>
    <w:rsid w:val="39070FD4"/>
    <w:rsid w:val="39162FC5"/>
    <w:rsid w:val="3919532C"/>
    <w:rsid w:val="391B05DB"/>
    <w:rsid w:val="391D4354"/>
    <w:rsid w:val="39246EA0"/>
    <w:rsid w:val="39290F4A"/>
    <w:rsid w:val="392971ED"/>
    <w:rsid w:val="393D2C48"/>
    <w:rsid w:val="39461AFC"/>
    <w:rsid w:val="39504729"/>
    <w:rsid w:val="3953226C"/>
    <w:rsid w:val="3953286E"/>
    <w:rsid w:val="39535FC7"/>
    <w:rsid w:val="39551D3F"/>
    <w:rsid w:val="39561614"/>
    <w:rsid w:val="39581830"/>
    <w:rsid w:val="395A55A8"/>
    <w:rsid w:val="3962620A"/>
    <w:rsid w:val="39706B79"/>
    <w:rsid w:val="39736669"/>
    <w:rsid w:val="397D3044"/>
    <w:rsid w:val="3983274D"/>
    <w:rsid w:val="398B750F"/>
    <w:rsid w:val="398C590D"/>
    <w:rsid w:val="399860D0"/>
    <w:rsid w:val="399F120C"/>
    <w:rsid w:val="39A14F85"/>
    <w:rsid w:val="39A86313"/>
    <w:rsid w:val="39AE76A2"/>
    <w:rsid w:val="39BC70BE"/>
    <w:rsid w:val="39BD18DE"/>
    <w:rsid w:val="39CE3969"/>
    <w:rsid w:val="39D52E80"/>
    <w:rsid w:val="39D54C2E"/>
    <w:rsid w:val="39DF6898"/>
    <w:rsid w:val="39E6508D"/>
    <w:rsid w:val="39E758BD"/>
    <w:rsid w:val="39E97DA8"/>
    <w:rsid w:val="39ED1F78"/>
    <w:rsid w:val="39F552D0"/>
    <w:rsid w:val="39FA4695"/>
    <w:rsid w:val="3A064DE8"/>
    <w:rsid w:val="3A0B0650"/>
    <w:rsid w:val="3A103EB8"/>
    <w:rsid w:val="3A1A4D37"/>
    <w:rsid w:val="3A1B12AC"/>
    <w:rsid w:val="3A1B478A"/>
    <w:rsid w:val="3A1E073A"/>
    <w:rsid w:val="3A29194C"/>
    <w:rsid w:val="3A2B3AE8"/>
    <w:rsid w:val="3A2E4B81"/>
    <w:rsid w:val="3A2E7EAC"/>
    <w:rsid w:val="3A306308"/>
    <w:rsid w:val="3A410516"/>
    <w:rsid w:val="3A414072"/>
    <w:rsid w:val="3A465B2C"/>
    <w:rsid w:val="3A53360C"/>
    <w:rsid w:val="3A5448AB"/>
    <w:rsid w:val="3A575643"/>
    <w:rsid w:val="3A59760D"/>
    <w:rsid w:val="3A663AD8"/>
    <w:rsid w:val="3A751279"/>
    <w:rsid w:val="3A8723CC"/>
    <w:rsid w:val="3A887EF3"/>
    <w:rsid w:val="3A8B353F"/>
    <w:rsid w:val="3A8D6676"/>
    <w:rsid w:val="3A995C5C"/>
    <w:rsid w:val="3AA26176"/>
    <w:rsid w:val="3AA60379"/>
    <w:rsid w:val="3AB900AC"/>
    <w:rsid w:val="3ABC194A"/>
    <w:rsid w:val="3ACF167E"/>
    <w:rsid w:val="3AD849D6"/>
    <w:rsid w:val="3ADA2030"/>
    <w:rsid w:val="3AE852B6"/>
    <w:rsid w:val="3AFD4730"/>
    <w:rsid w:val="3AFD5E03"/>
    <w:rsid w:val="3AFD61EB"/>
    <w:rsid w:val="3B082DE1"/>
    <w:rsid w:val="3B111C96"/>
    <w:rsid w:val="3B132EBB"/>
    <w:rsid w:val="3B181276"/>
    <w:rsid w:val="3B2A0FAA"/>
    <w:rsid w:val="3B345984"/>
    <w:rsid w:val="3B3763D1"/>
    <w:rsid w:val="3B4406AD"/>
    <w:rsid w:val="3B5424B5"/>
    <w:rsid w:val="3B5C3046"/>
    <w:rsid w:val="3B6B3A9C"/>
    <w:rsid w:val="3B7A5A8D"/>
    <w:rsid w:val="3B81506E"/>
    <w:rsid w:val="3B903503"/>
    <w:rsid w:val="3B905FB8"/>
    <w:rsid w:val="3B974891"/>
    <w:rsid w:val="3B9A7EDD"/>
    <w:rsid w:val="3B9F54F4"/>
    <w:rsid w:val="3BAB7ADE"/>
    <w:rsid w:val="3BAE24DA"/>
    <w:rsid w:val="3BB164CD"/>
    <w:rsid w:val="3BBF7944"/>
    <w:rsid w:val="3BC136BC"/>
    <w:rsid w:val="3BC60CD2"/>
    <w:rsid w:val="3BCE7B87"/>
    <w:rsid w:val="3BD776DA"/>
    <w:rsid w:val="3BD80A06"/>
    <w:rsid w:val="3BDC22A4"/>
    <w:rsid w:val="3BDF1D94"/>
    <w:rsid w:val="3BF36DBD"/>
    <w:rsid w:val="3BF84C04"/>
    <w:rsid w:val="3BFD046C"/>
    <w:rsid w:val="3C070B8D"/>
    <w:rsid w:val="3C1001A0"/>
    <w:rsid w:val="3C166A9C"/>
    <w:rsid w:val="3C2854E9"/>
    <w:rsid w:val="3C2D2B00"/>
    <w:rsid w:val="3C3A4B39"/>
    <w:rsid w:val="3C4165AB"/>
    <w:rsid w:val="3C4D13F4"/>
    <w:rsid w:val="3C504A40"/>
    <w:rsid w:val="3C553E04"/>
    <w:rsid w:val="3C6B3628"/>
    <w:rsid w:val="3C700C3E"/>
    <w:rsid w:val="3C7050E2"/>
    <w:rsid w:val="3C7E4C3C"/>
    <w:rsid w:val="3C7F0E81"/>
    <w:rsid w:val="3C805325"/>
    <w:rsid w:val="3C990195"/>
    <w:rsid w:val="3C9C3DF5"/>
    <w:rsid w:val="3CA164D5"/>
    <w:rsid w:val="3CA31F01"/>
    <w:rsid w:val="3CBB45AF"/>
    <w:rsid w:val="3CBC20D5"/>
    <w:rsid w:val="3CBE19AA"/>
    <w:rsid w:val="3CC05722"/>
    <w:rsid w:val="3CC316B6"/>
    <w:rsid w:val="3CCA65A0"/>
    <w:rsid w:val="3CCD3C8C"/>
    <w:rsid w:val="3CDA245A"/>
    <w:rsid w:val="3CE05DC4"/>
    <w:rsid w:val="3CE37662"/>
    <w:rsid w:val="3CE7185D"/>
    <w:rsid w:val="3CEA4A31"/>
    <w:rsid w:val="3CEC4769"/>
    <w:rsid w:val="3CEE0A37"/>
    <w:rsid w:val="3CF0711C"/>
    <w:rsid w:val="3CFA3924"/>
    <w:rsid w:val="3CFC735A"/>
    <w:rsid w:val="3CFE624A"/>
    <w:rsid w:val="3D011811"/>
    <w:rsid w:val="3D05582A"/>
    <w:rsid w:val="3D056A3F"/>
    <w:rsid w:val="3D0F48FB"/>
    <w:rsid w:val="3D10720F"/>
    <w:rsid w:val="3D2008B6"/>
    <w:rsid w:val="3D2F0AF9"/>
    <w:rsid w:val="3D3035F9"/>
    <w:rsid w:val="3D344362"/>
    <w:rsid w:val="3D363C36"/>
    <w:rsid w:val="3D4520CB"/>
    <w:rsid w:val="3D4D6987"/>
    <w:rsid w:val="3D4F2F4A"/>
    <w:rsid w:val="3D605157"/>
    <w:rsid w:val="3D624A2B"/>
    <w:rsid w:val="3D6469F5"/>
    <w:rsid w:val="3D670293"/>
    <w:rsid w:val="3D691975"/>
    <w:rsid w:val="3D6A7D83"/>
    <w:rsid w:val="3D6B6BFA"/>
    <w:rsid w:val="3D736C38"/>
    <w:rsid w:val="3D785FFC"/>
    <w:rsid w:val="3D7B789B"/>
    <w:rsid w:val="3D7E17DF"/>
    <w:rsid w:val="3D842BF3"/>
    <w:rsid w:val="3D89020A"/>
    <w:rsid w:val="3D913562"/>
    <w:rsid w:val="3D9C66F8"/>
    <w:rsid w:val="3DA47914"/>
    <w:rsid w:val="3DBB238D"/>
    <w:rsid w:val="3DBD4357"/>
    <w:rsid w:val="3DD516A1"/>
    <w:rsid w:val="3DDD2303"/>
    <w:rsid w:val="3DE11078"/>
    <w:rsid w:val="3DE37306"/>
    <w:rsid w:val="3DE73182"/>
    <w:rsid w:val="3DEB2C72"/>
    <w:rsid w:val="3DF37D79"/>
    <w:rsid w:val="3DF96E3A"/>
    <w:rsid w:val="3DFC7B0B"/>
    <w:rsid w:val="3DFD29A6"/>
    <w:rsid w:val="3E02320C"/>
    <w:rsid w:val="3E083824"/>
    <w:rsid w:val="3E104487"/>
    <w:rsid w:val="3E1113DE"/>
    <w:rsid w:val="3E18333B"/>
    <w:rsid w:val="3E1A5306"/>
    <w:rsid w:val="3E1A6DC1"/>
    <w:rsid w:val="3E23240C"/>
    <w:rsid w:val="3E247F32"/>
    <w:rsid w:val="3E295549"/>
    <w:rsid w:val="3E377C66"/>
    <w:rsid w:val="3E3D275E"/>
    <w:rsid w:val="3E3F6B1A"/>
    <w:rsid w:val="3E467DCB"/>
    <w:rsid w:val="3E4F1FA4"/>
    <w:rsid w:val="3E693B97"/>
    <w:rsid w:val="3E767CA2"/>
    <w:rsid w:val="3E78202C"/>
    <w:rsid w:val="3E7C7D6E"/>
    <w:rsid w:val="3E8E35FE"/>
    <w:rsid w:val="3E921340"/>
    <w:rsid w:val="3E941710"/>
    <w:rsid w:val="3E95498C"/>
    <w:rsid w:val="3E9A01F4"/>
    <w:rsid w:val="3E9C5D1B"/>
    <w:rsid w:val="3E9D66EF"/>
    <w:rsid w:val="3EA10976"/>
    <w:rsid w:val="3EA11895"/>
    <w:rsid w:val="3EB06725"/>
    <w:rsid w:val="3EB9437E"/>
    <w:rsid w:val="3EBF1FF6"/>
    <w:rsid w:val="3EC7118D"/>
    <w:rsid w:val="3ECC5112"/>
    <w:rsid w:val="3EDD198D"/>
    <w:rsid w:val="3EE020AB"/>
    <w:rsid w:val="3EE31B9B"/>
    <w:rsid w:val="3EE86526"/>
    <w:rsid w:val="3EEA4CD8"/>
    <w:rsid w:val="3F03223E"/>
    <w:rsid w:val="3F06588A"/>
    <w:rsid w:val="3F0840B9"/>
    <w:rsid w:val="3F0A35CC"/>
    <w:rsid w:val="3F0B2DA6"/>
    <w:rsid w:val="3F171845"/>
    <w:rsid w:val="3F1E4982"/>
    <w:rsid w:val="3F220916"/>
    <w:rsid w:val="3F281CA4"/>
    <w:rsid w:val="3F375A43"/>
    <w:rsid w:val="3F397A0D"/>
    <w:rsid w:val="3F3E5CD5"/>
    <w:rsid w:val="3F3F46D3"/>
    <w:rsid w:val="3F407113"/>
    <w:rsid w:val="3F44662B"/>
    <w:rsid w:val="3F4A741D"/>
    <w:rsid w:val="3F4D34B9"/>
    <w:rsid w:val="3F4D4F72"/>
    <w:rsid w:val="3F5465F5"/>
    <w:rsid w:val="3F5605BF"/>
    <w:rsid w:val="3F56236D"/>
    <w:rsid w:val="3F5900B0"/>
    <w:rsid w:val="3F591E5E"/>
    <w:rsid w:val="3F660E74"/>
    <w:rsid w:val="3F6C393F"/>
    <w:rsid w:val="3F6D50FF"/>
    <w:rsid w:val="3F6E19E9"/>
    <w:rsid w:val="3F6F1681"/>
    <w:rsid w:val="3F7942AE"/>
    <w:rsid w:val="3F7B7B8A"/>
    <w:rsid w:val="3F811F08"/>
    <w:rsid w:val="3F817E67"/>
    <w:rsid w:val="3F9115F7"/>
    <w:rsid w:val="3F9335CD"/>
    <w:rsid w:val="3F995D91"/>
    <w:rsid w:val="3F9D1D4A"/>
    <w:rsid w:val="3FA94B93"/>
    <w:rsid w:val="3FAC01DF"/>
    <w:rsid w:val="3FAF13AE"/>
    <w:rsid w:val="3FAF7CCF"/>
    <w:rsid w:val="3FB12ADB"/>
    <w:rsid w:val="3FB164F4"/>
    <w:rsid w:val="3FB3156E"/>
    <w:rsid w:val="3FBE7F13"/>
    <w:rsid w:val="3FC75AA0"/>
    <w:rsid w:val="3FC96EB0"/>
    <w:rsid w:val="3FCF2120"/>
    <w:rsid w:val="3FDA2F9E"/>
    <w:rsid w:val="3FE55985"/>
    <w:rsid w:val="3FF027C2"/>
    <w:rsid w:val="3FF102E8"/>
    <w:rsid w:val="3FFA34B2"/>
    <w:rsid w:val="3FFD2A12"/>
    <w:rsid w:val="3FFD4EDF"/>
    <w:rsid w:val="3FFF0C57"/>
    <w:rsid w:val="400647A9"/>
    <w:rsid w:val="400E7546"/>
    <w:rsid w:val="40170617"/>
    <w:rsid w:val="401F4E55"/>
    <w:rsid w:val="40227D90"/>
    <w:rsid w:val="4024246B"/>
    <w:rsid w:val="402814CD"/>
    <w:rsid w:val="402E32EA"/>
    <w:rsid w:val="4030560B"/>
    <w:rsid w:val="40442B0E"/>
    <w:rsid w:val="40572841"/>
    <w:rsid w:val="405E3BCF"/>
    <w:rsid w:val="405F1467"/>
    <w:rsid w:val="40630A6C"/>
    <w:rsid w:val="40646D0C"/>
    <w:rsid w:val="406B009A"/>
    <w:rsid w:val="40723CDF"/>
    <w:rsid w:val="407A6407"/>
    <w:rsid w:val="407A79D6"/>
    <w:rsid w:val="408353E4"/>
    <w:rsid w:val="408F7457"/>
    <w:rsid w:val="409018CD"/>
    <w:rsid w:val="40910A42"/>
    <w:rsid w:val="4099146F"/>
    <w:rsid w:val="4099578D"/>
    <w:rsid w:val="409D0A43"/>
    <w:rsid w:val="40A57942"/>
    <w:rsid w:val="40A67324"/>
    <w:rsid w:val="40BB7697"/>
    <w:rsid w:val="40BE0DB2"/>
    <w:rsid w:val="40BE0F76"/>
    <w:rsid w:val="40C1373E"/>
    <w:rsid w:val="40C655E2"/>
    <w:rsid w:val="40C67C6D"/>
    <w:rsid w:val="40C74FEA"/>
    <w:rsid w:val="40CD582B"/>
    <w:rsid w:val="40CF4866"/>
    <w:rsid w:val="40D07EFD"/>
    <w:rsid w:val="40DA57F1"/>
    <w:rsid w:val="40DE4339"/>
    <w:rsid w:val="40EC1096"/>
    <w:rsid w:val="40ED0AAF"/>
    <w:rsid w:val="40F621C4"/>
    <w:rsid w:val="40F67CBC"/>
    <w:rsid w:val="40FA31CC"/>
    <w:rsid w:val="40FE4A6B"/>
    <w:rsid w:val="40FF07E3"/>
    <w:rsid w:val="410127AD"/>
    <w:rsid w:val="410140EC"/>
    <w:rsid w:val="4101455B"/>
    <w:rsid w:val="410D6D4A"/>
    <w:rsid w:val="41171FD0"/>
    <w:rsid w:val="41281AE7"/>
    <w:rsid w:val="412D48D8"/>
    <w:rsid w:val="41336AA3"/>
    <w:rsid w:val="413E093E"/>
    <w:rsid w:val="41441117"/>
    <w:rsid w:val="414B6FDA"/>
    <w:rsid w:val="414F0FC2"/>
    <w:rsid w:val="41641FEF"/>
    <w:rsid w:val="416A0352"/>
    <w:rsid w:val="416D24A3"/>
    <w:rsid w:val="41742F7F"/>
    <w:rsid w:val="4177481D"/>
    <w:rsid w:val="41815E93"/>
    <w:rsid w:val="418B6F45"/>
    <w:rsid w:val="418E2292"/>
    <w:rsid w:val="419453CF"/>
    <w:rsid w:val="41A354FD"/>
    <w:rsid w:val="41AB3DDC"/>
    <w:rsid w:val="41B21056"/>
    <w:rsid w:val="41B36CDD"/>
    <w:rsid w:val="41BA23CC"/>
    <w:rsid w:val="41BE5A2A"/>
    <w:rsid w:val="41C12819"/>
    <w:rsid w:val="41C31810"/>
    <w:rsid w:val="41C63BEE"/>
    <w:rsid w:val="41C662EF"/>
    <w:rsid w:val="41CF2217"/>
    <w:rsid w:val="41D1217F"/>
    <w:rsid w:val="41DC3706"/>
    <w:rsid w:val="41E952A1"/>
    <w:rsid w:val="41EC6FB9"/>
    <w:rsid w:val="41EE4ADF"/>
    <w:rsid w:val="41F145CF"/>
    <w:rsid w:val="41F30347"/>
    <w:rsid w:val="41FA16D6"/>
    <w:rsid w:val="42004812"/>
    <w:rsid w:val="420E33EE"/>
    <w:rsid w:val="421502BE"/>
    <w:rsid w:val="42204EB5"/>
    <w:rsid w:val="42291FBB"/>
    <w:rsid w:val="42295B17"/>
    <w:rsid w:val="423821FE"/>
    <w:rsid w:val="423A0FD9"/>
    <w:rsid w:val="423A3BCC"/>
    <w:rsid w:val="425154F8"/>
    <w:rsid w:val="425C413F"/>
    <w:rsid w:val="425D3A13"/>
    <w:rsid w:val="42612D34"/>
    <w:rsid w:val="426D634C"/>
    <w:rsid w:val="42721D88"/>
    <w:rsid w:val="42816FF2"/>
    <w:rsid w:val="42843695"/>
    <w:rsid w:val="42843BC2"/>
    <w:rsid w:val="428561CB"/>
    <w:rsid w:val="428C585C"/>
    <w:rsid w:val="42903DE8"/>
    <w:rsid w:val="429733C9"/>
    <w:rsid w:val="42A35700"/>
    <w:rsid w:val="42AA5F72"/>
    <w:rsid w:val="42B52239"/>
    <w:rsid w:val="42B5384F"/>
    <w:rsid w:val="42BD444E"/>
    <w:rsid w:val="42C24102"/>
    <w:rsid w:val="42C341BE"/>
    <w:rsid w:val="42C615B8"/>
    <w:rsid w:val="42D737C5"/>
    <w:rsid w:val="42DA7950"/>
    <w:rsid w:val="42E20147"/>
    <w:rsid w:val="42E3216A"/>
    <w:rsid w:val="42E87780"/>
    <w:rsid w:val="42ED1DD1"/>
    <w:rsid w:val="43122A4F"/>
    <w:rsid w:val="43140575"/>
    <w:rsid w:val="431542ED"/>
    <w:rsid w:val="431A7B56"/>
    <w:rsid w:val="431D0717"/>
    <w:rsid w:val="431D372B"/>
    <w:rsid w:val="4320516C"/>
    <w:rsid w:val="43302ED5"/>
    <w:rsid w:val="4339622E"/>
    <w:rsid w:val="433A6FE6"/>
    <w:rsid w:val="434075BC"/>
    <w:rsid w:val="434123BC"/>
    <w:rsid w:val="43421586"/>
    <w:rsid w:val="43443F1E"/>
    <w:rsid w:val="43454BD3"/>
    <w:rsid w:val="4350713C"/>
    <w:rsid w:val="435D5832"/>
    <w:rsid w:val="436653E0"/>
    <w:rsid w:val="4368266F"/>
    <w:rsid w:val="436D237B"/>
    <w:rsid w:val="437901B2"/>
    <w:rsid w:val="43790D20"/>
    <w:rsid w:val="4379487C"/>
    <w:rsid w:val="43843DC2"/>
    <w:rsid w:val="43866F99"/>
    <w:rsid w:val="43902128"/>
    <w:rsid w:val="43930246"/>
    <w:rsid w:val="43973DCE"/>
    <w:rsid w:val="43AC6A00"/>
    <w:rsid w:val="43AE6F7D"/>
    <w:rsid w:val="43B9736F"/>
    <w:rsid w:val="43C006FD"/>
    <w:rsid w:val="43C24475"/>
    <w:rsid w:val="43C401ED"/>
    <w:rsid w:val="43C81360"/>
    <w:rsid w:val="43C8760E"/>
    <w:rsid w:val="43CD667C"/>
    <w:rsid w:val="43CE2E1A"/>
    <w:rsid w:val="43D45F57"/>
    <w:rsid w:val="43E36C7A"/>
    <w:rsid w:val="44022AC4"/>
    <w:rsid w:val="44071E88"/>
    <w:rsid w:val="440C749E"/>
    <w:rsid w:val="440E3217"/>
    <w:rsid w:val="441445A5"/>
    <w:rsid w:val="44175E54"/>
    <w:rsid w:val="44222311"/>
    <w:rsid w:val="44223EC2"/>
    <w:rsid w:val="44226CC2"/>
    <w:rsid w:val="443D58AA"/>
    <w:rsid w:val="443F7874"/>
    <w:rsid w:val="44557097"/>
    <w:rsid w:val="446175D3"/>
    <w:rsid w:val="44661A1F"/>
    <w:rsid w:val="446E2DED"/>
    <w:rsid w:val="4473751E"/>
    <w:rsid w:val="44872FC9"/>
    <w:rsid w:val="448E7078"/>
    <w:rsid w:val="44A8626A"/>
    <w:rsid w:val="44AE67A8"/>
    <w:rsid w:val="44B042CE"/>
    <w:rsid w:val="44B738AE"/>
    <w:rsid w:val="44BE2E8F"/>
    <w:rsid w:val="44BF2763"/>
    <w:rsid w:val="44C10289"/>
    <w:rsid w:val="44CB1108"/>
    <w:rsid w:val="44CB3B1B"/>
    <w:rsid w:val="44CD14E0"/>
    <w:rsid w:val="44D0671E"/>
    <w:rsid w:val="44D37FBC"/>
    <w:rsid w:val="44E81CBA"/>
    <w:rsid w:val="44E83CA9"/>
    <w:rsid w:val="44F06DC0"/>
    <w:rsid w:val="44F42EE1"/>
    <w:rsid w:val="44F63F31"/>
    <w:rsid w:val="44F85C75"/>
    <w:rsid w:val="44F87A23"/>
    <w:rsid w:val="44FA4815"/>
    <w:rsid w:val="45034D45"/>
    <w:rsid w:val="451231DA"/>
    <w:rsid w:val="45141548"/>
    <w:rsid w:val="451505D5"/>
    <w:rsid w:val="4517434D"/>
    <w:rsid w:val="451A3E3D"/>
    <w:rsid w:val="451E56DB"/>
    <w:rsid w:val="452409D7"/>
    <w:rsid w:val="453250A1"/>
    <w:rsid w:val="454A2974"/>
    <w:rsid w:val="45505AB1"/>
    <w:rsid w:val="45561AB0"/>
    <w:rsid w:val="455A248C"/>
    <w:rsid w:val="456E41DF"/>
    <w:rsid w:val="456E4C88"/>
    <w:rsid w:val="456F738A"/>
    <w:rsid w:val="457E5811"/>
    <w:rsid w:val="458946E9"/>
    <w:rsid w:val="45911A11"/>
    <w:rsid w:val="45986D8C"/>
    <w:rsid w:val="45992C39"/>
    <w:rsid w:val="459B4382"/>
    <w:rsid w:val="45AE54CB"/>
    <w:rsid w:val="45B1654F"/>
    <w:rsid w:val="45C16A25"/>
    <w:rsid w:val="45CA13BF"/>
    <w:rsid w:val="45CA1598"/>
    <w:rsid w:val="45DA5812"/>
    <w:rsid w:val="45DE130F"/>
    <w:rsid w:val="45F11042"/>
    <w:rsid w:val="45F244DE"/>
    <w:rsid w:val="45F4653A"/>
    <w:rsid w:val="45F97EF6"/>
    <w:rsid w:val="460C70AB"/>
    <w:rsid w:val="46113D93"/>
    <w:rsid w:val="4618037D"/>
    <w:rsid w:val="461B1C1B"/>
    <w:rsid w:val="461D1E37"/>
    <w:rsid w:val="461F516B"/>
    <w:rsid w:val="46256F3D"/>
    <w:rsid w:val="462A65A2"/>
    <w:rsid w:val="462C02CC"/>
    <w:rsid w:val="462E5CB9"/>
    <w:rsid w:val="46357180"/>
    <w:rsid w:val="46377A12"/>
    <w:rsid w:val="463D7073"/>
    <w:rsid w:val="464F5C0D"/>
    <w:rsid w:val="46584C1D"/>
    <w:rsid w:val="4665558C"/>
    <w:rsid w:val="4674757D"/>
    <w:rsid w:val="46770F87"/>
    <w:rsid w:val="467852BF"/>
    <w:rsid w:val="467B090B"/>
    <w:rsid w:val="467F21AA"/>
    <w:rsid w:val="46821C9A"/>
    <w:rsid w:val="46873754"/>
    <w:rsid w:val="469B2D5C"/>
    <w:rsid w:val="46AD52B3"/>
    <w:rsid w:val="46AE0CE1"/>
    <w:rsid w:val="46B300A5"/>
    <w:rsid w:val="46BB787A"/>
    <w:rsid w:val="46BF2EEE"/>
    <w:rsid w:val="46CD355E"/>
    <w:rsid w:val="46D70238"/>
    <w:rsid w:val="46D955A7"/>
    <w:rsid w:val="46D97270"/>
    <w:rsid w:val="46E42955"/>
    <w:rsid w:val="46ED0E13"/>
    <w:rsid w:val="46F13E60"/>
    <w:rsid w:val="46F56910"/>
    <w:rsid w:val="46F72688"/>
    <w:rsid w:val="47044DA5"/>
    <w:rsid w:val="470923BB"/>
    <w:rsid w:val="470E2EE7"/>
    <w:rsid w:val="471054F8"/>
    <w:rsid w:val="47133957"/>
    <w:rsid w:val="4714323A"/>
    <w:rsid w:val="471919C1"/>
    <w:rsid w:val="471A69C9"/>
    <w:rsid w:val="472114B3"/>
    <w:rsid w:val="47250D5F"/>
    <w:rsid w:val="472D42FC"/>
    <w:rsid w:val="473236C0"/>
    <w:rsid w:val="47342495"/>
    <w:rsid w:val="47356D0C"/>
    <w:rsid w:val="47370CD6"/>
    <w:rsid w:val="4737208D"/>
    <w:rsid w:val="473E02B7"/>
    <w:rsid w:val="473E2065"/>
    <w:rsid w:val="47503B46"/>
    <w:rsid w:val="47507FEA"/>
    <w:rsid w:val="47571378"/>
    <w:rsid w:val="475911F7"/>
    <w:rsid w:val="4779329E"/>
    <w:rsid w:val="477E6905"/>
    <w:rsid w:val="47901267"/>
    <w:rsid w:val="47A07E0C"/>
    <w:rsid w:val="47A619B8"/>
    <w:rsid w:val="47AA594C"/>
    <w:rsid w:val="47B746AA"/>
    <w:rsid w:val="47BE6D02"/>
    <w:rsid w:val="47BF7F9B"/>
    <w:rsid w:val="47C6205A"/>
    <w:rsid w:val="47CA7D9C"/>
    <w:rsid w:val="47CF7161"/>
    <w:rsid w:val="47D26C51"/>
    <w:rsid w:val="47DC3CA8"/>
    <w:rsid w:val="47DC523D"/>
    <w:rsid w:val="47DF34E2"/>
    <w:rsid w:val="47E81FD1"/>
    <w:rsid w:val="47EF37F7"/>
    <w:rsid w:val="480A136E"/>
    <w:rsid w:val="480B5E1D"/>
    <w:rsid w:val="481903DC"/>
    <w:rsid w:val="481E59F2"/>
    <w:rsid w:val="481F27F7"/>
    <w:rsid w:val="48270D4B"/>
    <w:rsid w:val="482B265C"/>
    <w:rsid w:val="482D3E87"/>
    <w:rsid w:val="48335D86"/>
    <w:rsid w:val="483416BA"/>
    <w:rsid w:val="48457423"/>
    <w:rsid w:val="484E0AD2"/>
    <w:rsid w:val="485B4F92"/>
    <w:rsid w:val="48642021"/>
    <w:rsid w:val="48650157"/>
    <w:rsid w:val="4867383D"/>
    <w:rsid w:val="486A1C17"/>
    <w:rsid w:val="486D24D6"/>
    <w:rsid w:val="4870272E"/>
    <w:rsid w:val="48723461"/>
    <w:rsid w:val="487A051B"/>
    <w:rsid w:val="487B1097"/>
    <w:rsid w:val="487C1662"/>
    <w:rsid w:val="48825F81"/>
    <w:rsid w:val="48867CD4"/>
    <w:rsid w:val="4889543F"/>
    <w:rsid w:val="488C32A4"/>
    <w:rsid w:val="488F68F0"/>
    <w:rsid w:val="48A36846"/>
    <w:rsid w:val="48A4239B"/>
    <w:rsid w:val="48A534D7"/>
    <w:rsid w:val="48A64365"/>
    <w:rsid w:val="48A73C3A"/>
    <w:rsid w:val="48B9571B"/>
    <w:rsid w:val="48BA396D"/>
    <w:rsid w:val="48BC0D87"/>
    <w:rsid w:val="48BD345D"/>
    <w:rsid w:val="48C04DCB"/>
    <w:rsid w:val="48C4659A"/>
    <w:rsid w:val="48C90054"/>
    <w:rsid w:val="48CA7928"/>
    <w:rsid w:val="48CD108C"/>
    <w:rsid w:val="48CD2E1A"/>
    <w:rsid w:val="48D80297"/>
    <w:rsid w:val="48DB1977"/>
    <w:rsid w:val="48DF0B70"/>
    <w:rsid w:val="48E00EFA"/>
    <w:rsid w:val="48F477DB"/>
    <w:rsid w:val="48FA645F"/>
    <w:rsid w:val="49044BE8"/>
    <w:rsid w:val="490D78A6"/>
    <w:rsid w:val="490E1F0B"/>
    <w:rsid w:val="491A265E"/>
    <w:rsid w:val="491D5CAA"/>
    <w:rsid w:val="491F7C74"/>
    <w:rsid w:val="49255DFC"/>
    <w:rsid w:val="4933371F"/>
    <w:rsid w:val="49362ED7"/>
    <w:rsid w:val="49385C0C"/>
    <w:rsid w:val="493D3419"/>
    <w:rsid w:val="493F54EA"/>
    <w:rsid w:val="49410206"/>
    <w:rsid w:val="494816E4"/>
    <w:rsid w:val="494B0A69"/>
    <w:rsid w:val="494B472D"/>
    <w:rsid w:val="49585496"/>
    <w:rsid w:val="495A6EFE"/>
    <w:rsid w:val="495F2766"/>
    <w:rsid w:val="496F62BB"/>
    <w:rsid w:val="497266D3"/>
    <w:rsid w:val="4977360C"/>
    <w:rsid w:val="498015D8"/>
    <w:rsid w:val="49804BB7"/>
    <w:rsid w:val="49815D26"/>
    <w:rsid w:val="49816239"/>
    <w:rsid w:val="498A77E3"/>
    <w:rsid w:val="499046CE"/>
    <w:rsid w:val="499441BE"/>
    <w:rsid w:val="49951AC7"/>
    <w:rsid w:val="499A452E"/>
    <w:rsid w:val="499F2B63"/>
    <w:rsid w:val="49A32653"/>
    <w:rsid w:val="49A3380F"/>
    <w:rsid w:val="49A81A70"/>
    <w:rsid w:val="49A918FB"/>
    <w:rsid w:val="49AA1FDC"/>
    <w:rsid w:val="49AA31B5"/>
    <w:rsid w:val="49AB775A"/>
    <w:rsid w:val="49AE2DA6"/>
    <w:rsid w:val="49BA799D"/>
    <w:rsid w:val="49BC2721"/>
    <w:rsid w:val="49C56A6D"/>
    <w:rsid w:val="49CF169A"/>
    <w:rsid w:val="49D2118A"/>
    <w:rsid w:val="49D40682"/>
    <w:rsid w:val="49D7054F"/>
    <w:rsid w:val="49D767A1"/>
    <w:rsid w:val="49DC7715"/>
    <w:rsid w:val="49E01723"/>
    <w:rsid w:val="49E968C3"/>
    <w:rsid w:val="49EC224C"/>
    <w:rsid w:val="49F033BE"/>
    <w:rsid w:val="49FC1D63"/>
    <w:rsid w:val="49FD6207"/>
    <w:rsid w:val="4A023139"/>
    <w:rsid w:val="4A0328F9"/>
    <w:rsid w:val="4A0D21C2"/>
    <w:rsid w:val="4A0F5F3A"/>
    <w:rsid w:val="4A17094B"/>
    <w:rsid w:val="4A174DEF"/>
    <w:rsid w:val="4A1E617D"/>
    <w:rsid w:val="4A247CED"/>
    <w:rsid w:val="4A2C2648"/>
    <w:rsid w:val="4A353E64"/>
    <w:rsid w:val="4A3B0ADD"/>
    <w:rsid w:val="4A435BE4"/>
    <w:rsid w:val="4A4756D4"/>
    <w:rsid w:val="4A492030"/>
    <w:rsid w:val="4A600544"/>
    <w:rsid w:val="4A633B90"/>
    <w:rsid w:val="4A695243"/>
    <w:rsid w:val="4A6A3171"/>
    <w:rsid w:val="4A730277"/>
    <w:rsid w:val="4A767D68"/>
    <w:rsid w:val="4A791606"/>
    <w:rsid w:val="4A7B576F"/>
    <w:rsid w:val="4A7E09CA"/>
    <w:rsid w:val="4A82495E"/>
    <w:rsid w:val="4A82670C"/>
    <w:rsid w:val="4A857FAB"/>
    <w:rsid w:val="4A8C38A0"/>
    <w:rsid w:val="4A8E09AD"/>
    <w:rsid w:val="4A8F4985"/>
    <w:rsid w:val="4A9B05A9"/>
    <w:rsid w:val="4AA30431"/>
    <w:rsid w:val="4AAA6481"/>
    <w:rsid w:val="4AAD305D"/>
    <w:rsid w:val="4AAF6887"/>
    <w:rsid w:val="4AB04516"/>
    <w:rsid w:val="4AB16FF2"/>
    <w:rsid w:val="4ABD30CC"/>
    <w:rsid w:val="4AC07235"/>
    <w:rsid w:val="4ACA3C0F"/>
    <w:rsid w:val="4AD11442"/>
    <w:rsid w:val="4AD60806"/>
    <w:rsid w:val="4ADE7383"/>
    <w:rsid w:val="4ADF355A"/>
    <w:rsid w:val="4AE5022F"/>
    <w:rsid w:val="4AE7656F"/>
    <w:rsid w:val="4AEA4061"/>
    <w:rsid w:val="4AEE5B50"/>
    <w:rsid w:val="4AF95AE8"/>
    <w:rsid w:val="4AFE2ACC"/>
    <w:rsid w:val="4B187071"/>
    <w:rsid w:val="4B1A6945"/>
    <w:rsid w:val="4B1D4687"/>
    <w:rsid w:val="4B271062"/>
    <w:rsid w:val="4B2C48CA"/>
    <w:rsid w:val="4B307F16"/>
    <w:rsid w:val="4B3774F7"/>
    <w:rsid w:val="4B386DCB"/>
    <w:rsid w:val="4B48362D"/>
    <w:rsid w:val="4B4C2876"/>
    <w:rsid w:val="4B5C0D0B"/>
    <w:rsid w:val="4B5F09E6"/>
    <w:rsid w:val="4B6422B6"/>
    <w:rsid w:val="4B6573C5"/>
    <w:rsid w:val="4B6978CC"/>
    <w:rsid w:val="4B6C4CC7"/>
    <w:rsid w:val="4B6D2F19"/>
    <w:rsid w:val="4B777E35"/>
    <w:rsid w:val="4B797B0F"/>
    <w:rsid w:val="4B7C13AE"/>
    <w:rsid w:val="4B7D55E8"/>
    <w:rsid w:val="4B7F2C4C"/>
    <w:rsid w:val="4B8509FE"/>
    <w:rsid w:val="4B865D88"/>
    <w:rsid w:val="4B9506C1"/>
    <w:rsid w:val="4BA426B2"/>
    <w:rsid w:val="4BA821A3"/>
    <w:rsid w:val="4BA97CC9"/>
    <w:rsid w:val="4BB26B7D"/>
    <w:rsid w:val="4BBA3C84"/>
    <w:rsid w:val="4BBC5C4E"/>
    <w:rsid w:val="4BBF594C"/>
    <w:rsid w:val="4BD3035B"/>
    <w:rsid w:val="4BD626E7"/>
    <w:rsid w:val="4BD765E4"/>
    <w:rsid w:val="4BDA60D4"/>
    <w:rsid w:val="4BDE3E16"/>
    <w:rsid w:val="4BE156B5"/>
    <w:rsid w:val="4BEA27BB"/>
    <w:rsid w:val="4BEB6533"/>
    <w:rsid w:val="4BF70A34"/>
    <w:rsid w:val="4BF90C50"/>
    <w:rsid w:val="4BFC604B"/>
    <w:rsid w:val="4C0118B3"/>
    <w:rsid w:val="4C0D2006"/>
    <w:rsid w:val="4C107D48"/>
    <w:rsid w:val="4C12586E"/>
    <w:rsid w:val="4C15535E"/>
    <w:rsid w:val="4C196BFC"/>
    <w:rsid w:val="4C215AB1"/>
    <w:rsid w:val="4C2F01CE"/>
    <w:rsid w:val="4C3103EA"/>
    <w:rsid w:val="4C343841"/>
    <w:rsid w:val="4C3B6274"/>
    <w:rsid w:val="4C4A0649"/>
    <w:rsid w:val="4C516396"/>
    <w:rsid w:val="4C675BBA"/>
    <w:rsid w:val="4C6B091A"/>
    <w:rsid w:val="4C716A38"/>
    <w:rsid w:val="4C744019"/>
    <w:rsid w:val="4C804ECE"/>
    <w:rsid w:val="4C9857B2"/>
    <w:rsid w:val="4C9D782D"/>
    <w:rsid w:val="4CA02E7A"/>
    <w:rsid w:val="4CA412EE"/>
    <w:rsid w:val="4CA50490"/>
    <w:rsid w:val="4CB22BAD"/>
    <w:rsid w:val="4CBF59F6"/>
    <w:rsid w:val="4CC0176E"/>
    <w:rsid w:val="4CC2206D"/>
    <w:rsid w:val="4CC4300C"/>
    <w:rsid w:val="4CC528E0"/>
    <w:rsid w:val="4CC622E8"/>
    <w:rsid w:val="4CC72AFC"/>
    <w:rsid w:val="4CCE58CF"/>
    <w:rsid w:val="4CD40D75"/>
    <w:rsid w:val="4CDD5E7C"/>
    <w:rsid w:val="4CE42B3C"/>
    <w:rsid w:val="4CE470D3"/>
    <w:rsid w:val="4CEF5BAF"/>
    <w:rsid w:val="4D023C3A"/>
    <w:rsid w:val="4D0347ED"/>
    <w:rsid w:val="4D04450E"/>
    <w:rsid w:val="4D0A4797"/>
    <w:rsid w:val="4D1004F6"/>
    <w:rsid w:val="4D1D44CA"/>
    <w:rsid w:val="4D2770F7"/>
    <w:rsid w:val="4D355CB8"/>
    <w:rsid w:val="4D3B1C54"/>
    <w:rsid w:val="4D3F481B"/>
    <w:rsid w:val="4D41465D"/>
    <w:rsid w:val="4D4203D5"/>
    <w:rsid w:val="4D467EC5"/>
    <w:rsid w:val="4D4A6344"/>
    <w:rsid w:val="4D4C3002"/>
    <w:rsid w:val="4D5048A0"/>
    <w:rsid w:val="4D511823"/>
    <w:rsid w:val="4D534390"/>
    <w:rsid w:val="4D551EB6"/>
    <w:rsid w:val="4D622825"/>
    <w:rsid w:val="4D6473B4"/>
    <w:rsid w:val="4D70238D"/>
    <w:rsid w:val="4D73058E"/>
    <w:rsid w:val="4D806F98"/>
    <w:rsid w:val="4D8E361A"/>
    <w:rsid w:val="4D8F45EB"/>
    <w:rsid w:val="4D956757"/>
    <w:rsid w:val="4D9E78F3"/>
    <w:rsid w:val="4DA326D4"/>
    <w:rsid w:val="4DA60964"/>
    <w:rsid w:val="4DA67FC9"/>
    <w:rsid w:val="4DA70238"/>
    <w:rsid w:val="4DA846DC"/>
    <w:rsid w:val="4DAE0572"/>
    <w:rsid w:val="4DB43081"/>
    <w:rsid w:val="4DC66910"/>
    <w:rsid w:val="4DCD7C9F"/>
    <w:rsid w:val="4DCE2B1A"/>
    <w:rsid w:val="4DE21C50"/>
    <w:rsid w:val="4DEC4FB0"/>
    <w:rsid w:val="4DEF6FAE"/>
    <w:rsid w:val="4E037B64"/>
    <w:rsid w:val="4E075D8A"/>
    <w:rsid w:val="4E0B07C7"/>
    <w:rsid w:val="4E0F6509"/>
    <w:rsid w:val="4E1C6E78"/>
    <w:rsid w:val="4E265601"/>
    <w:rsid w:val="4E2B4904"/>
    <w:rsid w:val="4E2F00CD"/>
    <w:rsid w:val="4E30022D"/>
    <w:rsid w:val="4E361CE8"/>
    <w:rsid w:val="4E393586"/>
    <w:rsid w:val="4E3E386B"/>
    <w:rsid w:val="4E41243B"/>
    <w:rsid w:val="4E4E3531"/>
    <w:rsid w:val="4E4F21B5"/>
    <w:rsid w:val="4E5008D0"/>
    <w:rsid w:val="4E516B22"/>
    <w:rsid w:val="4E557B71"/>
    <w:rsid w:val="4E5B17E2"/>
    <w:rsid w:val="4E612B82"/>
    <w:rsid w:val="4E65437B"/>
    <w:rsid w:val="4E6C0560"/>
    <w:rsid w:val="4E6C5709"/>
    <w:rsid w:val="4E7445BE"/>
    <w:rsid w:val="4E87155B"/>
    <w:rsid w:val="4E87437C"/>
    <w:rsid w:val="4E8C2811"/>
    <w:rsid w:val="4E922C96"/>
    <w:rsid w:val="4E9B7D9D"/>
    <w:rsid w:val="4EA43198"/>
    <w:rsid w:val="4EAA6232"/>
    <w:rsid w:val="4EB90223"/>
    <w:rsid w:val="4EC8490A"/>
    <w:rsid w:val="4EC927B3"/>
    <w:rsid w:val="4ECA68D4"/>
    <w:rsid w:val="4ED355A0"/>
    <w:rsid w:val="4ED3756D"/>
    <w:rsid w:val="4ED432AF"/>
    <w:rsid w:val="4ED4505D"/>
    <w:rsid w:val="4ED92673"/>
    <w:rsid w:val="4EDD03B5"/>
    <w:rsid w:val="4EDF257D"/>
    <w:rsid w:val="4EE17099"/>
    <w:rsid w:val="4EE527CC"/>
    <w:rsid w:val="4EE85483"/>
    <w:rsid w:val="4EEE25C2"/>
    <w:rsid w:val="4EF474AD"/>
    <w:rsid w:val="4EFD45B3"/>
    <w:rsid w:val="4F0022F6"/>
    <w:rsid w:val="4F053468"/>
    <w:rsid w:val="4F0C0C9A"/>
    <w:rsid w:val="4F0D4088"/>
    <w:rsid w:val="4F0E4A13"/>
    <w:rsid w:val="4F1638C7"/>
    <w:rsid w:val="4F2908FF"/>
    <w:rsid w:val="4F334479"/>
    <w:rsid w:val="4F361873"/>
    <w:rsid w:val="4F3855EC"/>
    <w:rsid w:val="4F3B1580"/>
    <w:rsid w:val="4F3D70A6"/>
    <w:rsid w:val="4F4A531F"/>
    <w:rsid w:val="4F4C1097"/>
    <w:rsid w:val="4F50502B"/>
    <w:rsid w:val="4F5A30F9"/>
    <w:rsid w:val="4F5A7C58"/>
    <w:rsid w:val="4F5F0DCA"/>
    <w:rsid w:val="4F6005A7"/>
    <w:rsid w:val="4F636270"/>
    <w:rsid w:val="4F732AC8"/>
    <w:rsid w:val="4F884993"/>
    <w:rsid w:val="4F885589"/>
    <w:rsid w:val="4F8B1BBF"/>
    <w:rsid w:val="4F8E237C"/>
    <w:rsid w:val="4FA40ED3"/>
    <w:rsid w:val="4FA54744"/>
    <w:rsid w:val="4FAC7D88"/>
    <w:rsid w:val="4FAD422B"/>
    <w:rsid w:val="4FB44097"/>
    <w:rsid w:val="4FBD3D43"/>
    <w:rsid w:val="4FC13833"/>
    <w:rsid w:val="4FC43323"/>
    <w:rsid w:val="4FC62A8C"/>
    <w:rsid w:val="4FD96283"/>
    <w:rsid w:val="4FE20F0D"/>
    <w:rsid w:val="4FE47521"/>
    <w:rsid w:val="4FE87012"/>
    <w:rsid w:val="4FED182E"/>
    <w:rsid w:val="4FED4628"/>
    <w:rsid w:val="4FF37764"/>
    <w:rsid w:val="4FFA5313"/>
    <w:rsid w:val="4FFA6D45"/>
    <w:rsid w:val="500D0826"/>
    <w:rsid w:val="50100316"/>
    <w:rsid w:val="501047BA"/>
    <w:rsid w:val="501B6F55"/>
    <w:rsid w:val="501E5995"/>
    <w:rsid w:val="502301D1"/>
    <w:rsid w:val="502D2C76"/>
    <w:rsid w:val="503234D1"/>
    <w:rsid w:val="503A5393"/>
    <w:rsid w:val="50454464"/>
    <w:rsid w:val="504637E5"/>
    <w:rsid w:val="504908E4"/>
    <w:rsid w:val="504A4F1C"/>
    <w:rsid w:val="504D156B"/>
    <w:rsid w:val="50503AAD"/>
    <w:rsid w:val="50504C4B"/>
    <w:rsid w:val="50546455"/>
    <w:rsid w:val="50593A6B"/>
    <w:rsid w:val="505C7A00"/>
    <w:rsid w:val="505F4DFA"/>
    <w:rsid w:val="506403BE"/>
    <w:rsid w:val="50650662"/>
    <w:rsid w:val="506A3ECB"/>
    <w:rsid w:val="506B379F"/>
    <w:rsid w:val="506F7733"/>
    <w:rsid w:val="50720FD1"/>
    <w:rsid w:val="50770396"/>
    <w:rsid w:val="507904F4"/>
    <w:rsid w:val="50867BFF"/>
    <w:rsid w:val="508B5BEF"/>
    <w:rsid w:val="509623AA"/>
    <w:rsid w:val="509C6E7C"/>
    <w:rsid w:val="509D6FF7"/>
    <w:rsid w:val="509E57AB"/>
    <w:rsid w:val="50A97291"/>
    <w:rsid w:val="50AA42C7"/>
    <w:rsid w:val="50B43398"/>
    <w:rsid w:val="50B909AE"/>
    <w:rsid w:val="50C15A67"/>
    <w:rsid w:val="50CA6717"/>
    <w:rsid w:val="50D22EE7"/>
    <w:rsid w:val="50DD32E6"/>
    <w:rsid w:val="50EA4404"/>
    <w:rsid w:val="50ED0658"/>
    <w:rsid w:val="50F73284"/>
    <w:rsid w:val="50FE4613"/>
    <w:rsid w:val="511778D1"/>
    <w:rsid w:val="51220612"/>
    <w:rsid w:val="51226553"/>
    <w:rsid w:val="51281690"/>
    <w:rsid w:val="5131339E"/>
    <w:rsid w:val="513168B9"/>
    <w:rsid w:val="513358DF"/>
    <w:rsid w:val="513A0C0E"/>
    <w:rsid w:val="513A6B13"/>
    <w:rsid w:val="513D513B"/>
    <w:rsid w:val="513E0EB3"/>
    <w:rsid w:val="514D0982"/>
    <w:rsid w:val="514F4E6E"/>
    <w:rsid w:val="51576E82"/>
    <w:rsid w:val="515801C7"/>
    <w:rsid w:val="51591E29"/>
    <w:rsid w:val="5160707C"/>
    <w:rsid w:val="5162104E"/>
    <w:rsid w:val="51631640"/>
    <w:rsid w:val="51702517"/>
    <w:rsid w:val="51711289"/>
    <w:rsid w:val="518A5306"/>
    <w:rsid w:val="519531C9"/>
    <w:rsid w:val="519B00B4"/>
    <w:rsid w:val="51AE0F7B"/>
    <w:rsid w:val="51BA5593"/>
    <w:rsid w:val="51C70EA9"/>
    <w:rsid w:val="51CC64BF"/>
    <w:rsid w:val="51DC0D2B"/>
    <w:rsid w:val="51DD06CC"/>
    <w:rsid w:val="51DD247A"/>
    <w:rsid w:val="51E33C89"/>
    <w:rsid w:val="51E41A5B"/>
    <w:rsid w:val="51E65239"/>
    <w:rsid w:val="51EE0B2B"/>
    <w:rsid w:val="51EE28D9"/>
    <w:rsid w:val="51F1661C"/>
    <w:rsid w:val="5204431E"/>
    <w:rsid w:val="52045C59"/>
    <w:rsid w:val="520B348B"/>
    <w:rsid w:val="52122037"/>
    <w:rsid w:val="5215365D"/>
    <w:rsid w:val="521E2410"/>
    <w:rsid w:val="52217969"/>
    <w:rsid w:val="522400A9"/>
    <w:rsid w:val="52244433"/>
    <w:rsid w:val="52287B99"/>
    <w:rsid w:val="522E717A"/>
    <w:rsid w:val="52320A18"/>
    <w:rsid w:val="5237602E"/>
    <w:rsid w:val="524244DF"/>
    <w:rsid w:val="52462715"/>
    <w:rsid w:val="52483D98"/>
    <w:rsid w:val="524D13AE"/>
    <w:rsid w:val="524E2FBC"/>
    <w:rsid w:val="524E5126"/>
    <w:rsid w:val="525700B0"/>
    <w:rsid w:val="52574ECB"/>
    <w:rsid w:val="525941F7"/>
    <w:rsid w:val="525B6CEF"/>
    <w:rsid w:val="525E35BB"/>
    <w:rsid w:val="52636E23"/>
    <w:rsid w:val="527A33E5"/>
    <w:rsid w:val="52850AA4"/>
    <w:rsid w:val="528C45CC"/>
    <w:rsid w:val="528E597D"/>
    <w:rsid w:val="528F1410"/>
    <w:rsid w:val="52961E90"/>
    <w:rsid w:val="529671F9"/>
    <w:rsid w:val="52A64F62"/>
    <w:rsid w:val="52C5188C"/>
    <w:rsid w:val="52C553E8"/>
    <w:rsid w:val="52D73AAB"/>
    <w:rsid w:val="52DD7B03"/>
    <w:rsid w:val="52E53CDC"/>
    <w:rsid w:val="52EC33C3"/>
    <w:rsid w:val="52F1442F"/>
    <w:rsid w:val="52F67C97"/>
    <w:rsid w:val="530D4FE1"/>
    <w:rsid w:val="530E3233"/>
    <w:rsid w:val="5310069C"/>
    <w:rsid w:val="5330338D"/>
    <w:rsid w:val="53312A7E"/>
    <w:rsid w:val="53397B84"/>
    <w:rsid w:val="533D58C6"/>
    <w:rsid w:val="53563F10"/>
    <w:rsid w:val="535B7AFB"/>
    <w:rsid w:val="535D1AC5"/>
    <w:rsid w:val="535E4EAC"/>
    <w:rsid w:val="53666D3F"/>
    <w:rsid w:val="53682217"/>
    <w:rsid w:val="536E5A80"/>
    <w:rsid w:val="53715570"/>
    <w:rsid w:val="53803A05"/>
    <w:rsid w:val="53853AFB"/>
    <w:rsid w:val="538E7ED0"/>
    <w:rsid w:val="538F56F6"/>
    <w:rsid w:val="53936B24"/>
    <w:rsid w:val="5394125E"/>
    <w:rsid w:val="539579A4"/>
    <w:rsid w:val="53A039CC"/>
    <w:rsid w:val="53A1505A"/>
    <w:rsid w:val="53A169D4"/>
    <w:rsid w:val="53A21BCD"/>
    <w:rsid w:val="53A45945"/>
    <w:rsid w:val="53AA4158"/>
    <w:rsid w:val="53B92A73"/>
    <w:rsid w:val="53BF452D"/>
    <w:rsid w:val="53C20A91"/>
    <w:rsid w:val="53C25DCC"/>
    <w:rsid w:val="53C32D17"/>
    <w:rsid w:val="53C64D9B"/>
    <w:rsid w:val="53D14261"/>
    <w:rsid w:val="53E05348"/>
    <w:rsid w:val="53E43F94"/>
    <w:rsid w:val="53E92248"/>
    <w:rsid w:val="53EB5322"/>
    <w:rsid w:val="53FF49A6"/>
    <w:rsid w:val="5400590F"/>
    <w:rsid w:val="540168F4"/>
    <w:rsid w:val="540463E4"/>
    <w:rsid w:val="54063E08"/>
    <w:rsid w:val="54091C4C"/>
    <w:rsid w:val="5428092D"/>
    <w:rsid w:val="542A5BF1"/>
    <w:rsid w:val="542B3971"/>
    <w:rsid w:val="542E520F"/>
    <w:rsid w:val="543162F7"/>
    <w:rsid w:val="543437E8"/>
    <w:rsid w:val="5435659E"/>
    <w:rsid w:val="54377B7E"/>
    <w:rsid w:val="5438706C"/>
    <w:rsid w:val="544D7D8B"/>
    <w:rsid w:val="54520EFE"/>
    <w:rsid w:val="54617393"/>
    <w:rsid w:val="54660E4D"/>
    <w:rsid w:val="546B0211"/>
    <w:rsid w:val="546B4BDF"/>
    <w:rsid w:val="546B6463"/>
    <w:rsid w:val="546E7D01"/>
    <w:rsid w:val="54770964"/>
    <w:rsid w:val="547A0454"/>
    <w:rsid w:val="547A48F8"/>
    <w:rsid w:val="54857525"/>
    <w:rsid w:val="548B440F"/>
    <w:rsid w:val="548E5CAE"/>
    <w:rsid w:val="548F594D"/>
    <w:rsid w:val="54936E88"/>
    <w:rsid w:val="54971006"/>
    <w:rsid w:val="54990ADB"/>
    <w:rsid w:val="54A6749B"/>
    <w:rsid w:val="54A85393"/>
    <w:rsid w:val="54AB6860"/>
    <w:rsid w:val="54B03EEA"/>
    <w:rsid w:val="54B25E40"/>
    <w:rsid w:val="54B60678"/>
    <w:rsid w:val="54C33BA9"/>
    <w:rsid w:val="54C37597"/>
    <w:rsid w:val="54C60539"/>
    <w:rsid w:val="54C70191"/>
    <w:rsid w:val="54CD2165"/>
    <w:rsid w:val="54CE5923"/>
    <w:rsid w:val="54CE6966"/>
    <w:rsid w:val="54D172DA"/>
    <w:rsid w:val="54E16725"/>
    <w:rsid w:val="54EB1352"/>
    <w:rsid w:val="54EB72AE"/>
    <w:rsid w:val="54EE1700"/>
    <w:rsid w:val="54F71AA5"/>
    <w:rsid w:val="550A7A2A"/>
    <w:rsid w:val="550C37A2"/>
    <w:rsid w:val="550D751A"/>
    <w:rsid w:val="55116D87"/>
    <w:rsid w:val="55191A1B"/>
    <w:rsid w:val="55384597"/>
    <w:rsid w:val="553D6B7E"/>
    <w:rsid w:val="55424033"/>
    <w:rsid w:val="55432F3C"/>
    <w:rsid w:val="554967A4"/>
    <w:rsid w:val="554B0437"/>
    <w:rsid w:val="554B0F1D"/>
    <w:rsid w:val="554E3DBB"/>
    <w:rsid w:val="554E7A8C"/>
    <w:rsid w:val="554F5B03"/>
    <w:rsid w:val="555313D1"/>
    <w:rsid w:val="5553570E"/>
    <w:rsid w:val="555869E7"/>
    <w:rsid w:val="55620AD4"/>
    <w:rsid w:val="55652944"/>
    <w:rsid w:val="5566599F"/>
    <w:rsid w:val="557C1FAA"/>
    <w:rsid w:val="557F21C6"/>
    <w:rsid w:val="55801A9A"/>
    <w:rsid w:val="558570B1"/>
    <w:rsid w:val="558772CD"/>
    <w:rsid w:val="558F6A10"/>
    <w:rsid w:val="559106BB"/>
    <w:rsid w:val="55914F40"/>
    <w:rsid w:val="55935C72"/>
    <w:rsid w:val="559B174B"/>
    <w:rsid w:val="55A03EEB"/>
    <w:rsid w:val="55A27C63"/>
    <w:rsid w:val="55A41C2D"/>
    <w:rsid w:val="55A9466F"/>
    <w:rsid w:val="55AC6D33"/>
    <w:rsid w:val="55AE6607"/>
    <w:rsid w:val="55B160F8"/>
    <w:rsid w:val="55B17EA6"/>
    <w:rsid w:val="55C207CD"/>
    <w:rsid w:val="55C7591B"/>
    <w:rsid w:val="55C94D0E"/>
    <w:rsid w:val="55CE0CF4"/>
    <w:rsid w:val="55D41DE6"/>
    <w:rsid w:val="55D6790C"/>
    <w:rsid w:val="55D818D6"/>
    <w:rsid w:val="55DD6EED"/>
    <w:rsid w:val="55E6461A"/>
    <w:rsid w:val="55EA33B8"/>
    <w:rsid w:val="55F304BE"/>
    <w:rsid w:val="55FF3307"/>
    <w:rsid w:val="56156687"/>
    <w:rsid w:val="561641AD"/>
    <w:rsid w:val="56237FD6"/>
    <w:rsid w:val="562E14F6"/>
    <w:rsid w:val="562F67CA"/>
    <w:rsid w:val="563053E6"/>
    <w:rsid w:val="56332FB1"/>
    <w:rsid w:val="56356D29"/>
    <w:rsid w:val="563740DE"/>
    <w:rsid w:val="564B02FA"/>
    <w:rsid w:val="564B654C"/>
    <w:rsid w:val="564C327E"/>
    <w:rsid w:val="56505911"/>
    <w:rsid w:val="56665134"/>
    <w:rsid w:val="56666EE2"/>
    <w:rsid w:val="56674A08"/>
    <w:rsid w:val="566D3E5D"/>
    <w:rsid w:val="566D52ED"/>
    <w:rsid w:val="56717635"/>
    <w:rsid w:val="56847368"/>
    <w:rsid w:val="56867733"/>
    <w:rsid w:val="568832FC"/>
    <w:rsid w:val="5691462E"/>
    <w:rsid w:val="56925F29"/>
    <w:rsid w:val="56927CD7"/>
    <w:rsid w:val="569C0B56"/>
    <w:rsid w:val="56A31EE4"/>
    <w:rsid w:val="56A93273"/>
    <w:rsid w:val="56A96DCF"/>
    <w:rsid w:val="56AE4F0A"/>
    <w:rsid w:val="56B0015D"/>
    <w:rsid w:val="56B13CD2"/>
    <w:rsid w:val="56B14607"/>
    <w:rsid w:val="56B22A9C"/>
    <w:rsid w:val="56C9121F"/>
    <w:rsid w:val="56CE62D0"/>
    <w:rsid w:val="56D54257"/>
    <w:rsid w:val="56D976B4"/>
    <w:rsid w:val="56D97F48"/>
    <w:rsid w:val="56DF0A43"/>
    <w:rsid w:val="56EE5B8F"/>
    <w:rsid w:val="56EF512A"/>
    <w:rsid w:val="56F42740"/>
    <w:rsid w:val="56FE35BF"/>
    <w:rsid w:val="57007337"/>
    <w:rsid w:val="57106E4E"/>
    <w:rsid w:val="57154464"/>
    <w:rsid w:val="57196706"/>
    <w:rsid w:val="571B7CCD"/>
    <w:rsid w:val="5721105B"/>
    <w:rsid w:val="572C2786"/>
    <w:rsid w:val="57364B06"/>
    <w:rsid w:val="573963A5"/>
    <w:rsid w:val="573E7E5F"/>
    <w:rsid w:val="573F15EA"/>
    <w:rsid w:val="57456BD3"/>
    <w:rsid w:val="57476652"/>
    <w:rsid w:val="575B27BF"/>
    <w:rsid w:val="575B456D"/>
    <w:rsid w:val="575B774B"/>
    <w:rsid w:val="575D644F"/>
    <w:rsid w:val="57601B83"/>
    <w:rsid w:val="57672F12"/>
    <w:rsid w:val="576C64D8"/>
    <w:rsid w:val="576F0018"/>
    <w:rsid w:val="5774562F"/>
    <w:rsid w:val="57762B00"/>
    <w:rsid w:val="57776ECD"/>
    <w:rsid w:val="577B4C0F"/>
    <w:rsid w:val="577C44E3"/>
    <w:rsid w:val="57882E88"/>
    <w:rsid w:val="578C0BCA"/>
    <w:rsid w:val="578F4217"/>
    <w:rsid w:val="57904B13"/>
    <w:rsid w:val="579D05A5"/>
    <w:rsid w:val="579E26AC"/>
    <w:rsid w:val="57A203EE"/>
    <w:rsid w:val="57AB72DA"/>
    <w:rsid w:val="57AE6D93"/>
    <w:rsid w:val="57B72A76"/>
    <w:rsid w:val="57BB7557"/>
    <w:rsid w:val="57BE194A"/>
    <w:rsid w:val="57C049B1"/>
    <w:rsid w:val="57C10AC3"/>
    <w:rsid w:val="57C96694"/>
    <w:rsid w:val="57D86F9C"/>
    <w:rsid w:val="57D91936"/>
    <w:rsid w:val="57DA3E17"/>
    <w:rsid w:val="57DD31D4"/>
    <w:rsid w:val="57E75E01"/>
    <w:rsid w:val="57F56CC7"/>
    <w:rsid w:val="57FE314A"/>
    <w:rsid w:val="58027680"/>
    <w:rsid w:val="58042493"/>
    <w:rsid w:val="580764A3"/>
    <w:rsid w:val="580F2368"/>
    <w:rsid w:val="581110D0"/>
    <w:rsid w:val="5814471C"/>
    <w:rsid w:val="58215A55"/>
    <w:rsid w:val="58256929"/>
    <w:rsid w:val="58273B30"/>
    <w:rsid w:val="5827444F"/>
    <w:rsid w:val="582B03E3"/>
    <w:rsid w:val="582B57B9"/>
    <w:rsid w:val="582E7AAF"/>
    <w:rsid w:val="583077A8"/>
    <w:rsid w:val="58315248"/>
    <w:rsid w:val="583628E4"/>
    <w:rsid w:val="584204B6"/>
    <w:rsid w:val="58421289"/>
    <w:rsid w:val="584274DB"/>
    <w:rsid w:val="585B059D"/>
    <w:rsid w:val="586C27AA"/>
    <w:rsid w:val="586D5636"/>
    <w:rsid w:val="58737694"/>
    <w:rsid w:val="587753D7"/>
    <w:rsid w:val="58847AF3"/>
    <w:rsid w:val="589870FB"/>
    <w:rsid w:val="589C1963"/>
    <w:rsid w:val="58A3441E"/>
    <w:rsid w:val="58A610F9"/>
    <w:rsid w:val="58AE691E"/>
    <w:rsid w:val="58B73A25"/>
    <w:rsid w:val="58BE32CF"/>
    <w:rsid w:val="58CD2411"/>
    <w:rsid w:val="58D04AE7"/>
    <w:rsid w:val="58D345D7"/>
    <w:rsid w:val="58D42829"/>
    <w:rsid w:val="58D74519"/>
    <w:rsid w:val="58DA7713"/>
    <w:rsid w:val="58E14F46"/>
    <w:rsid w:val="58E90251"/>
    <w:rsid w:val="58EE31BF"/>
    <w:rsid w:val="58F509F1"/>
    <w:rsid w:val="59077622"/>
    <w:rsid w:val="590A49E9"/>
    <w:rsid w:val="590D7AE9"/>
    <w:rsid w:val="590F3E15"/>
    <w:rsid w:val="591250FF"/>
    <w:rsid w:val="5915699E"/>
    <w:rsid w:val="591623EB"/>
    <w:rsid w:val="591946E0"/>
    <w:rsid w:val="591C2557"/>
    <w:rsid w:val="591C7D2C"/>
    <w:rsid w:val="591F6730"/>
    <w:rsid w:val="593212FE"/>
    <w:rsid w:val="59350DEE"/>
    <w:rsid w:val="59372DB8"/>
    <w:rsid w:val="593E7CA2"/>
    <w:rsid w:val="593F3A1A"/>
    <w:rsid w:val="59411DC7"/>
    <w:rsid w:val="594A4899"/>
    <w:rsid w:val="59544FF5"/>
    <w:rsid w:val="595B6AA6"/>
    <w:rsid w:val="59653481"/>
    <w:rsid w:val="596D0588"/>
    <w:rsid w:val="596D2336"/>
    <w:rsid w:val="596D67DA"/>
    <w:rsid w:val="597263D6"/>
    <w:rsid w:val="59796F2C"/>
    <w:rsid w:val="59822285"/>
    <w:rsid w:val="598237B0"/>
    <w:rsid w:val="598B7AD8"/>
    <w:rsid w:val="599C2C1B"/>
    <w:rsid w:val="599C4367"/>
    <w:rsid w:val="59A541C5"/>
    <w:rsid w:val="59A87812"/>
    <w:rsid w:val="59AA5338"/>
    <w:rsid w:val="59AF6DF2"/>
    <w:rsid w:val="59B2243E"/>
    <w:rsid w:val="59B526F2"/>
    <w:rsid w:val="59B63CDD"/>
    <w:rsid w:val="59BE7035"/>
    <w:rsid w:val="59C12681"/>
    <w:rsid w:val="59C3464B"/>
    <w:rsid w:val="59C82CB8"/>
    <w:rsid w:val="59C97EB4"/>
    <w:rsid w:val="59D03A04"/>
    <w:rsid w:val="59D12BC9"/>
    <w:rsid w:val="59D2488F"/>
    <w:rsid w:val="59D57095"/>
    <w:rsid w:val="59DD6583"/>
    <w:rsid w:val="59E051FD"/>
    <w:rsid w:val="59E51BA8"/>
    <w:rsid w:val="59F6007B"/>
    <w:rsid w:val="59F73AC1"/>
    <w:rsid w:val="59F8263F"/>
    <w:rsid w:val="5A094754"/>
    <w:rsid w:val="5A2275C4"/>
    <w:rsid w:val="5A277C43"/>
    <w:rsid w:val="5A296BA4"/>
    <w:rsid w:val="5A2E1F00"/>
    <w:rsid w:val="5A3115B5"/>
    <w:rsid w:val="5A380B96"/>
    <w:rsid w:val="5A3A490E"/>
    <w:rsid w:val="5A3C747D"/>
    <w:rsid w:val="5A407A4A"/>
    <w:rsid w:val="5A4455DB"/>
    <w:rsid w:val="5A490FF5"/>
    <w:rsid w:val="5A4A4609"/>
    <w:rsid w:val="5A50597F"/>
    <w:rsid w:val="5A555C7D"/>
    <w:rsid w:val="5A6019BB"/>
    <w:rsid w:val="5A7410C5"/>
    <w:rsid w:val="5A805270"/>
    <w:rsid w:val="5A89083A"/>
    <w:rsid w:val="5A8C2C8F"/>
    <w:rsid w:val="5AA1498D"/>
    <w:rsid w:val="5AA47FD9"/>
    <w:rsid w:val="5AB02E22"/>
    <w:rsid w:val="5ABC3575"/>
    <w:rsid w:val="5ABE2233"/>
    <w:rsid w:val="5ABF12B7"/>
    <w:rsid w:val="5AC02939"/>
    <w:rsid w:val="5AC061CA"/>
    <w:rsid w:val="5AC81FAD"/>
    <w:rsid w:val="5ACD7DA0"/>
    <w:rsid w:val="5AE55CE6"/>
    <w:rsid w:val="5AE605F2"/>
    <w:rsid w:val="5AF56A87"/>
    <w:rsid w:val="5AFC6067"/>
    <w:rsid w:val="5AFC7E15"/>
    <w:rsid w:val="5AFE3B8D"/>
    <w:rsid w:val="5B01542B"/>
    <w:rsid w:val="5B1909C7"/>
    <w:rsid w:val="5B1F079D"/>
    <w:rsid w:val="5B1F58B2"/>
    <w:rsid w:val="5B276D18"/>
    <w:rsid w:val="5B297096"/>
    <w:rsid w:val="5B33135D"/>
    <w:rsid w:val="5B363143"/>
    <w:rsid w:val="5B4D5DFB"/>
    <w:rsid w:val="5B5437AD"/>
    <w:rsid w:val="5B5A4B3C"/>
    <w:rsid w:val="5B5C08B4"/>
    <w:rsid w:val="5B6065F6"/>
    <w:rsid w:val="5B6139D7"/>
    <w:rsid w:val="5B61411C"/>
    <w:rsid w:val="5B7200D7"/>
    <w:rsid w:val="5B765E19"/>
    <w:rsid w:val="5B7C4516"/>
    <w:rsid w:val="5B7E082A"/>
    <w:rsid w:val="5B804F69"/>
    <w:rsid w:val="5B9444F1"/>
    <w:rsid w:val="5B962018"/>
    <w:rsid w:val="5B9960CD"/>
    <w:rsid w:val="5BAC15F8"/>
    <w:rsid w:val="5BAC2986"/>
    <w:rsid w:val="5BB02677"/>
    <w:rsid w:val="5BD42B40"/>
    <w:rsid w:val="5BD91B0B"/>
    <w:rsid w:val="5BDF5D95"/>
    <w:rsid w:val="5BE00642"/>
    <w:rsid w:val="5BED775E"/>
    <w:rsid w:val="5BF31960"/>
    <w:rsid w:val="5BF64864"/>
    <w:rsid w:val="5BF8281F"/>
    <w:rsid w:val="5C0827EA"/>
    <w:rsid w:val="5C0E3BCB"/>
    <w:rsid w:val="5C1271C4"/>
    <w:rsid w:val="5C1B076F"/>
    <w:rsid w:val="5C2238AB"/>
    <w:rsid w:val="5C225659"/>
    <w:rsid w:val="5C237623"/>
    <w:rsid w:val="5C2440E9"/>
    <w:rsid w:val="5C2B0664"/>
    <w:rsid w:val="5C2F421A"/>
    <w:rsid w:val="5C34538D"/>
    <w:rsid w:val="5C3933B5"/>
    <w:rsid w:val="5C4E28BC"/>
    <w:rsid w:val="5C5305C6"/>
    <w:rsid w:val="5C58551F"/>
    <w:rsid w:val="5C5C1087"/>
    <w:rsid w:val="5C62639E"/>
    <w:rsid w:val="5C65155C"/>
    <w:rsid w:val="5C663787"/>
    <w:rsid w:val="5C6E7D9F"/>
    <w:rsid w:val="5C757E7F"/>
    <w:rsid w:val="5C7D31D8"/>
    <w:rsid w:val="5C7E4CC3"/>
    <w:rsid w:val="5C8509BC"/>
    <w:rsid w:val="5C86208C"/>
    <w:rsid w:val="5C9E33F5"/>
    <w:rsid w:val="5C9F4EFC"/>
    <w:rsid w:val="5CA16EC6"/>
    <w:rsid w:val="5CA42512"/>
    <w:rsid w:val="5CA64CDB"/>
    <w:rsid w:val="5CA93FCD"/>
    <w:rsid w:val="5CBC5AAE"/>
    <w:rsid w:val="5CBF10FA"/>
    <w:rsid w:val="5CC05F06"/>
    <w:rsid w:val="5CC26E3C"/>
    <w:rsid w:val="5CC606DB"/>
    <w:rsid w:val="5CC932A2"/>
    <w:rsid w:val="5CCD7CBB"/>
    <w:rsid w:val="5CD1707F"/>
    <w:rsid w:val="5CD32DF8"/>
    <w:rsid w:val="5CDC7EFE"/>
    <w:rsid w:val="5CE172C2"/>
    <w:rsid w:val="5CEB3BAF"/>
    <w:rsid w:val="5CEC5C67"/>
    <w:rsid w:val="5CEE378D"/>
    <w:rsid w:val="5CFB5EAA"/>
    <w:rsid w:val="5D082FB3"/>
    <w:rsid w:val="5D1256CE"/>
    <w:rsid w:val="5D1551BE"/>
    <w:rsid w:val="5D1B2582"/>
    <w:rsid w:val="5D1D22C5"/>
    <w:rsid w:val="5D1D3926"/>
    <w:rsid w:val="5D1D77F0"/>
    <w:rsid w:val="5D2D075A"/>
    <w:rsid w:val="5D2E6280"/>
    <w:rsid w:val="5D35760E"/>
    <w:rsid w:val="5D395350"/>
    <w:rsid w:val="5D3C099D"/>
    <w:rsid w:val="5D3F223B"/>
    <w:rsid w:val="5D494E68"/>
    <w:rsid w:val="5D616655"/>
    <w:rsid w:val="5D7235D2"/>
    <w:rsid w:val="5D730D16"/>
    <w:rsid w:val="5D7C523D"/>
    <w:rsid w:val="5D7E0FB5"/>
    <w:rsid w:val="5D814602"/>
    <w:rsid w:val="5D821189"/>
    <w:rsid w:val="5D94616F"/>
    <w:rsid w:val="5D955EEB"/>
    <w:rsid w:val="5D9A7B05"/>
    <w:rsid w:val="5DB171DF"/>
    <w:rsid w:val="5DB577BD"/>
    <w:rsid w:val="5DB93D9B"/>
    <w:rsid w:val="5DBC6D53"/>
    <w:rsid w:val="5DC866D4"/>
    <w:rsid w:val="5DD1456E"/>
    <w:rsid w:val="5DDB1F64"/>
    <w:rsid w:val="5DE057CC"/>
    <w:rsid w:val="5DE0757A"/>
    <w:rsid w:val="5DEB63BE"/>
    <w:rsid w:val="5DEC4171"/>
    <w:rsid w:val="5DF41277"/>
    <w:rsid w:val="5DF64FF0"/>
    <w:rsid w:val="5DF87A0F"/>
    <w:rsid w:val="5DFF2729"/>
    <w:rsid w:val="5E044CCE"/>
    <w:rsid w:val="5E0F35C8"/>
    <w:rsid w:val="5E122843"/>
    <w:rsid w:val="5E176D14"/>
    <w:rsid w:val="5E18501A"/>
    <w:rsid w:val="5E337FF2"/>
    <w:rsid w:val="5E40626B"/>
    <w:rsid w:val="5E483371"/>
    <w:rsid w:val="5E4C10B3"/>
    <w:rsid w:val="5E541D16"/>
    <w:rsid w:val="5E547F68"/>
    <w:rsid w:val="5E653F23"/>
    <w:rsid w:val="5E695530"/>
    <w:rsid w:val="5E710B1A"/>
    <w:rsid w:val="5E745F14"/>
    <w:rsid w:val="5E781EA8"/>
    <w:rsid w:val="5E7A1EB6"/>
    <w:rsid w:val="5E7A3283"/>
    <w:rsid w:val="5E7D126D"/>
    <w:rsid w:val="5E806C53"/>
    <w:rsid w:val="5E892B2C"/>
    <w:rsid w:val="5E8E347A"/>
    <w:rsid w:val="5E913942"/>
    <w:rsid w:val="5E916AC6"/>
    <w:rsid w:val="5E9842F9"/>
    <w:rsid w:val="5EA20CD3"/>
    <w:rsid w:val="5EA66A16"/>
    <w:rsid w:val="5EA92062"/>
    <w:rsid w:val="5EA92521"/>
    <w:rsid w:val="5EAB5E7A"/>
    <w:rsid w:val="5EC073AC"/>
    <w:rsid w:val="5EC92704"/>
    <w:rsid w:val="5ECF37B3"/>
    <w:rsid w:val="5ED115B9"/>
    <w:rsid w:val="5ED6097D"/>
    <w:rsid w:val="5ED846F5"/>
    <w:rsid w:val="5EDC303D"/>
    <w:rsid w:val="5EE4753E"/>
    <w:rsid w:val="5EE66E12"/>
    <w:rsid w:val="5EE82168"/>
    <w:rsid w:val="5EEE5CC7"/>
    <w:rsid w:val="5EF77271"/>
    <w:rsid w:val="5F0059FA"/>
    <w:rsid w:val="5F013C4C"/>
    <w:rsid w:val="5F061E42"/>
    <w:rsid w:val="5F092B01"/>
    <w:rsid w:val="5F0E7E34"/>
    <w:rsid w:val="5F1576F7"/>
    <w:rsid w:val="5F1A2B43"/>
    <w:rsid w:val="5F1D035A"/>
    <w:rsid w:val="5F1F2324"/>
    <w:rsid w:val="5F21088D"/>
    <w:rsid w:val="5F245B8C"/>
    <w:rsid w:val="5F2C67EF"/>
    <w:rsid w:val="5F304531"/>
    <w:rsid w:val="5F405364"/>
    <w:rsid w:val="5F4A7642"/>
    <w:rsid w:val="5F5226F9"/>
    <w:rsid w:val="5F577D10"/>
    <w:rsid w:val="5F5F4E16"/>
    <w:rsid w:val="5F675A73"/>
    <w:rsid w:val="5F6D12E1"/>
    <w:rsid w:val="5F700DD2"/>
    <w:rsid w:val="5F75455E"/>
    <w:rsid w:val="5F761608"/>
    <w:rsid w:val="5F7D704B"/>
    <w:rsid w:val="5F7E34EF"/>
    <w:rsid w:val="5F8623A3"/>
    <w:rsid w:val="5F8D4DCC"/>
    <w:rsid w:val="5F8E1258"/>
    <w:rsid w:val="5FA34D03"/>
    <w:rsid w:val="5FA42829"/>
    <w:rsid w:val="5FA8056B"/>
    <w:rsid w:val="5FAA6092"/>
    <w:rsid w:val="5FAD000C"/>
    <w:rsid w:val="5FB31BE9"/>
    <w:rsid w:val="5FB36ECE"/>
    <w:rsid w:val="5FB707AE"/>
    <w:rsid w:val="5FB837BB"/>
    <w:rsid w:val="5FBA204D"/>
    <w:rsid w:val="5FBD3482"/>
    <w:rsid w:val="5FBE38EB"/>
    <w:rsid w:val="5FC773F1"/>
    <w:rsid w:val="5FCB6008"/>
    <w:rsid w:val="5FCD1D80"/>
    <w:rsid w:val="5FD27396"/>
    <w:rsid w:val="5FD44EBD"/>
    <w:rsid w:val="5FE315A4"/>
    <w:rsid w:val="5FED41D0"/>
    <w:rsid w:val="5FEF619A"/>
    <w:rsid w:val="5FF732A1"/>
    <w:rsid w:val="5FF7504F"/>
    <w:rsid w:val="60002155"/>
    <w:rsid w:val="60065E0F"/>
    <w:rsid w:val="60125EE4"/>
    <w:rsid w:val="601A63AB"/>
    <w:rsid w:val="602A71D2"/>
    <w:rsid w:val="60402552"/>
    <w:rsid w:val="60432479"/>
    <w:rsid w:val="60477D84"/>
    <w:rsid w:val="607D004F"/>
    <w:rsid w:val="607E307A"/>
    <w:rsid w:val="608F34D9"/>
    <w:rsid w:val="60912DAE"/>
    <w:rsid w:val="60917251"/>
    <w:rsid w:val="6098413C"/>
    <w:rsid w:val="609D069B"/>
    <w:rsid w:val="609D11F2"/>
    <w:rsid w:val="609D79A4"/>
    <w:rsid w:val="609E371C"/>
    <w:rsid w:val="60A07495"/>
    <w:rsid w:val="60A56859"/>
    <w:rsid w:val="60A76A75"/>
    <w:rsid w:val="60AC1FF9"/>
    <w:rsid w:val="60AE14F9"/>
    <w:rsid w:val="60B13610"/>
    <w:rsid w:val="60B66CA1"/>
    <w:rsid w:val="60B66CB8"/>
    <w:rsid w:val="60D55390"/>
    <w:rsid w:val="60E37E0A"/>
    <w:rsid w:val="60E76E71"/>
    <w:rsid w:val="60E9572D"/>
    <w:rsid w:val="60EE1FAE"/>
    <w:rsid w:val="60EF48AF"/>
    <w:rsid w:val="60F34B93"/>
    <w:rsid w:val="60F9034D"/>
    <w:rsid w:val="60F90953"/>
    <w:rsid w:val="60FD6695"/>
    <w:rsid w:val="60FF41BB"/>
    <w:rsid w:val="61016185"/>
    <w:rsid w:val="610D1BF1"/>
    <w:rsid w:val="610E08A2"/>
    <w:rsid w:val="610F7301"/>
    <w:rsid w:val="61165902"/>
    <w:rsid w:val="611834CF"/>
    <w:rsid w:val="6129748A"/>
    <w:rsid w:val="613F0A5C"/>
    <w:rsid w:val="615053A3"/>
    <w:rsid w:val="6151253D"/>
    <w:rsid w:val="6152204F"/>
    <w:rsid w:val="61595DDF"/>
    <w:rsid w:val="615D7134"/>
    <w:rsid w:val="615F10FE"/>
    <w:rsid w:val="61602923"/>
    <w:rsid w:val="6162299C"/>
    <w:rsid w:val="61700C15"/>
    <w:rsid w:val="6170768E"/>
    <w:rsid w:val="617701F5"/>
    <w:rsid w:val="61783F6D"/>
    <w:rsid w:val="6178408E"/>
    <w:rsid w:val="617A7CE6"/>
    <w:rsid w:val="617E77D6"/>
    <w:rsid w:val="61A15272"/>
    <w:rsid w:val="61B56F70"/>
    <w:rsid w:val="61BE4076"/>
    <w:rsid w:val="61BF1B9C"/>
    <w:rsid w:val="61C80A51"/>
    <w:rsid w:val="61CB46C0"/>
    <w:rsid w:val="61CB62CF"/>
    <w:rsid w:val="61D373F6"/>
    <w:rsid w:val="61D70C94"/>
    <w:rsid w:val="61D86D49"/>
    <w:rsid w:val="61E03976"/>
    <w:rsid w:val="61E32DD8"/>
    <w:rsid w:val="61EB473F"/>
    <w:rsid w:val="61EF4230"/>
    <w:rsid w:val="61F950AE"/>
    <w:rsid w:val="62020581"/>
    <w:rsid w:val="62033E14"/>
    <w:rsid w:val="620A72BB"/>
    <w:rsid w:val="622A5268"/>
    <w:rsid w:val="6232236E"/>
    <w:rsid w:val="62364782"/>
    <w:rsid w:val="62375AF0"/>
    <w:rsid w:val="62397551"/>
    <w:rsid w:val="623A66C4"/>
    <w:rsid w:val="623E47E2"/>
    <w:rsid w:val="623E6F65"/>
    <w:rsid w:val="6247406C"/>
    <w:rsid w:val="62483940"/>
    <w:rsid w:val="62540537"/>
    <w:rsid w:val="625422E5"/>
    <w:rsid w:val="625B18C5"/>
    <w:rsid w:val="625B3673"/>
    <w:rsid w:val="62636AC5"/>
    <w:rsid w:val="626B762E"/>
    <w:rsid w:val="626F778E"/>
    <w:rsid w:val="62740BD9"/>
    <w:rsid w:val="62783599"/>
    <w:rsid w:val="62791D4B"/>
    <w:rsid w:val="6286301C"/>
    <w:rsid w:val="62864468"/>
    <w:rsid w:val="628A21AA"/>
    <w:rsid w:val="628C7CD0"/>
    <w:rsid w:val="62946DCA"/>
    <w:rsid w:val="62950184"/>
    <w:rsid w:val="62975F54"/>
    <w:rsid w:val="629F3071"/>
    <w:rsid w:val="62A27CA7"/>
    <w:rsid w:val="62A768B8"/>
    <w:rsid w:val="62AA63A9"/>
    <w:rsid w:val="62AE5E99"/>
    <w:rsid w:val="62B2525D"/>
    <w:rsid w:val="62B47227"/>
    <w:rsid w:val="62BD2580"/>
    <w:rsid w:val="62BF7FA3"/>
    <w:rsid w:val="62C0797A"/>
    <w:rsid w:val="62CC4571"/>
    <w:rsid w:val="62D376AD"/>
    <w:rsid w:val="62D94DD2"/>
    <w:rsid w:val="62DE6052"/>
    <w:rsid w:val="62E23D94"/>
    <w:rsid w:val="62E418BB"/>
    <w:rsid w:val="62EC4C13"/>
    <w:rsid w:val="62F0280B"/>
    <w:rsid w:val="62F5014F"/>
    <w:rsid w:val="62FD297C"/>
    <w:rsid w:val="6308735D"/>
    <w:rsid w:val="630A6E47"/>
    <w:rsid w:val="630B4F5E"/>
    <w:rsid w:val="631F28F3"/>
    <w:rsid w:val="63225184"/>
    <w:rsid w:val="63235063"/>
    <w:rsid w:val="63286F28"/>
    <w:rsid w:val="632A1297"/>
    <w:rsid w:val="63332842"/>
    <w:rsid w:val="633914DA"/>
    <w:rsid w:val="633D18C0"/>
    <w:rsid w:val="633D2BD8"/>
    <w:rsid w:val="63416D0D"/>
    <w:rsid w:val="63436152"/>
    <w:rsid w:val="634632A4"/>
    <w:rsid w:val="63493E13"/>
    <w:rsid w:val="634C7460"/>
    <w:rsid w:val="63554566"/>
    <w:rsid w:val="63556314"/>
    <w:rsid w:val="63650337"/>
    <w:rsid w:val="6367429A"/>
    <w:rsid w:val="636C365E"/>
    <w:rsid w:val="637013A0"/>
    <w:rsid w:val="63711839"/>
    <w:rsid w:val="637644DD"/>
    <w:rsid w:val="637C31BE"/>
    <w:rsid w:val="63811F35"/>
    <w:rsid w:val="63881DBD"/>
    <w:rsid w:val="63883103"/>
    <w:rsid w:val="638D4E7E"/>
    <w:rsid w:val="63952BB5"/>
    <w:rsid w:val="639808F7"/>
    <w:rsid w:val="63AB4186"/>
    <w:rsid w:val="63B05C41"/>
    <w:rsid w:val="63B76FCF"/>
    <w:rsid w:val="63C4349A"/>
    <w:rsid w:val="63C86A2B"/>
    <w:rsid w:val="63D40BE9"/>
    <w:rsid w:val="63DD455C"/>
    <w:rsid w:val="63E0211F"/>
    <w:rsid w:val="63E1404C"/>
    <w:rsid w:val="63E37DC4"/>
    <w:rsid w:val="63E678B4"/>
    <w:rsid w:val="63EB4ECB"/>
    <w:rsid w:val="63EC4EF3"/>
    <w:rsid w:val="63ED29F1"/>
    <w:rsid w:val="6405643E"/>
    <w:rsid w:val="64061D04"/>
    <w:rsid w:val="640815D9"/>
    <w:rsid w:val="6408782B"/>
    <w:rsid w:val="6410048D"/>
    <w:rsid w:val="64195594"/>
    <w:rsid w:val="641E704E"/>
    <w:rsid w:val="642167B4"/>
    <w:rsid w:val="642B3519"/>
    <w:rsid w:val="643E0E5C"/>
    <w:rsid w:val="643E5117"/>
    <w:rsid w:val="64432611"/>
    <w:rsid w:val="64485E79"/>
    <w:rsid w:val="644B034C"/>
    <w:rsid w:val="644E3D19"/>
    <w:rsid w:val="644F0FB6"/>
    <w:rsid w:val="64524F4A"/>
    <w:rsid w:val="64534785"/>
    <w:rsid w:val="64552344"/>
    <w:rsid w:val="645667E8"/>
    <w:rsid w:val="645B3DFE"/>
    <w:rsid w:val="645C7B76"/>
    <w:rsid w:val="645E38EF"/>
    <w:rsid w:val="646A2293"/>
    <w:rsid w:val="647640BA"/>
    <w:rsid w:val="647C3D75"/>
    <w:rsid w:val="6487551C"/>
    <w:rsid w:val="648917D7"/>
    <w:rsid w:val="648A46E4"/>
    <w:rsid w:val="648A7941"/>
    <w:rsid w:val="649308CA"/>
    <w:rsid w:val="649317EA"/>
    <w:rsid w:val="649E3CEB"/>
    <w:rsid w:val="64B55F14"/>
    <w:rsid w:val="64BE438D"/>
    <w:rsid w:val="64C45AF8"/>
    <w:rsid w:val="64C64FF0"/>
    <w:rsid w:val="64CB5679"/>
    <w:rsid w:val="64CC2606"/>
    <w:rsid w:val="64DB6CED"/>
    <w:rsid w:val="64DF43D9"/>
    <w:rsid w:val="64E41150"/>
    <w:rsid w:val="64E75692"/>
    <w:rsid w:val="64EA33D4"/>
    <w:rsid w:val="64EC08CE"/>
    <w:rsid w:val="64EC2CA8"/>
    <w:rsid w:val="64FB738F"/>
    <w:rsid w:val="64FF0C2E"/>
    <w:rsid w:val="6502071E"/>
    <w:rsid w:val="650B6F5C"/>
    <w:rsid w:val="65110961"/>
    <w:rsid w:val="65136487"/>
    <w:rsid w:val="651569E0"/>
    <w:rsid w:val="651D5558"/>
    <w:rsid w:val="65230BB9"/>
    <w:rsid w:val="6525705F"/>
    <w:rsid w:val="652B54CB"/>
    <w:rsid w:val="652E1513"/>
    <w:rsid w:val="653463FD"/>
    <w:rsid w:val="65373578"/>
    <w:rsid w:val="653A02CF"/>
    <w:rsid w:val="654E74BF"/>
    <w:rsid w:val="655467D1"/>
    <w:rsid w:val="6560179B"/>
    <w:rsid w:val="65624D19"/>
    <w:rsid w:val="656D4024"/>
    <w:rsid w:val="65711400"/>
    <w:rsid w:val="65711DFC"/>
    <w:rsid w:val="65747D87"/>
    <w:rsid w:val="657809E0"/>
    <w:rsid w:val="657F1404"/>
    <w:rsid w:val="657F3B1C"/>
    <w:rsid w:val="65856C59"/>
    <w:rsid w:val="65896749"/>
    <w:rsid w:val="658C6239"/>
    <w:rsid w:val="65960165"/>
    <w:rsid w:val="65A11CE5"/>
    <w:rsid w:val="65B4371E"/>
    <w:rsid w:val="65C459D3"/>
    <w:rsid w:val="65C71020"/>
    <w:rsid w:val="65C94D98"/>
    <w:rsid w:val="65CC6636"/>
    <w:rsid w:val="65D025CA"/>
    <w:rsid w:val="65D16249"/>
    <w:rsid w:val="65F004D2"/>
    <w:rsid w:val="65F067C8"/>
    <w:rsid w:val="65F938CF"/>
    <w:rsid w:val="65FE1159"/>
    <w:rsid w:val="66017C1F"/>
    <w:rsid w:val="6603474E"/>
    <w:rsid w:val="66063C4D"/>
    <w:rsid w:val="660B1854"/>
    <w:rsid w:val="66122D27"/>
    <w:rsid w:val="6612673F"/>
    <w:rsid w:val="661C3F42"/>
    <w:rsid w:val="662045C9"/>
    <w:rsid w:val="66280D11"/>
    <w:rsid w:val="662A1D70"/>
    <w:rsid w:val="662D5327"/>
    <w:rsid w:val="66342B59"/>
    <w:rsid w:val="663E0BF4"/>
    <w:rsid w:val="663E5786"/>
    <w:rsid w:val="663F0955"/>
    <w:rsid w:val="66434B4A"/>
    <w:rsid w:val="66476DEF"/>
    <w:rsid w:val="664B7EA3"/>
    <w:rsid w:val="664D7777"/>
    <w:rsid w:val="6655487D"/>
    <w:rsid w:val="665E3732"/>
    <w:rsid w:val="665E7BD6"/>
    <w:rsid w:val="667967BE"/>
    <w:rsid w:val="668533B4"/>
    <w:rsid w:val="66854445"/>
    <w:rsid w:val="668D2269"/>
    <w:rsid w:val="669B6734"/>
    <w:rsid w:val="66A3383B"/>
    <w:rsid w:val="66A6332B"/>
    <w:rsid w:val="66A870A3"/>
    <w:rsid w:val="66AB0941"/>
    <w:rsid w:val="66B141AA"/>
    <w:rsid w:val="66B772E6"/>
    <w:rsid w:val="66BB7D21"/>
    <w:rsid w:val="66C57C55"/>
    <w:rsid w:val="66CF4630"/>
    <w:rsid w:val="66D63C10"/>
    <w:rsid w:val="66DD63E5"/>
    <w:rsid w:val="66EC6F90"/>
    <w:rsid w:val="66F4477F"/>
    <w:rsid w:val="66FD73EF"/>
    <w:rsid w:val="67000C8D"/>
    <w:rsid w:val="671A2875"/>
    <w:rsid w:val="67211A19"/>
    <w:rsid w:val="67220C03"/>
    <w:rsid w:val="67295A58"/>
    <w:rsid w:val="672C6851"/>
    <w:rsid w:val="672D4457"/>
    <w:rsid w:val="672F1572"/>
    <w:rsid w:val="67380715"/>
    <w:rsid w:val="673F2C7A"/>
    <w:rsid w:val="674072DB"/>
    <w:rsid w:val="674A094A"/>
    <w:rsid w:val="67540894"/>
    <w:rsid w:val="676254A4"/>
    <w:rsid w:val="6765041B"/>
    <w:rsid w:val="676E3E49"/>
    <w:rsid w:val="676F196F"/>
    <w:rsid w:val="67786A75"/>
    <w:rsid w:val="677B6565"/>
    <w:rsid w:val="6780592A"/>
    <w:rsid w:val="678278F4"/>
    <w:rsid w:val="67841F6B"/>
    <w:rsid w:val="6784366C"/>
    <w:rsid w:val="67883798"/>
    <w:rsid w:val="678B49FB"/>
    <w:rsid w:val="678E0047"/>
    <w:rsid w:val="678E6299"/>
    <w:rsid w:val="67900263"/>
    <w:rsid w:val="67982C74"/>
    <w:rsid w:val="679B1BC9"/>
    <w:rsid w:val="67A05409"/>
    <w:rsid w:val="67A20640"/>
    <w:rsid w:val="67A26575"/>
    <w:rsid w:val="67B33F51"/>
    <w:rsid w:val="67C63C85"/>
    <w:rsid w:val="67CF2049"/>
    <w:rsid w:val="67D11A4E"/>
    <w:rsid w:val="67D411EB"/>
    <w:rsid w:val="67DD4B2A"/>
    <w:rsid w:val="67E301C9"/>
    <w:rsid w:val="67E97973"/>
    <w:rsid w:val="67EB7247"/>
    <w:rsid w:val="67EC1211"/>
    <w:rsid w:val="67F51E74"/>
    <w:rsid w:val="6804655B"/>
    <w:rsid w:val="68071BA7"/>
    <w:rsid w:val="680B5B3B"/>
    <w:rsid w:val="68106CAE"/>
    <w:rsid w:val="68183DB4"/>
    <w:rsid w:val="68191A91"/>
    <w:rsid w:val="681B464D"/>
    <w:rsid w:val="681F5143"/>
    <w:rsid w:val="681F6961"/>
    <w:rsid w:val="682054F9"/>
    <w:rsid w:val="68297D70"/>
    <w:rsid w:val="682B7F8C"/>
    <w:rsid w:val="68541CB5"/>
    <w:rsid w:val="68610A2F"/>
    <w:rsid w:val="68721717"/>
    <w:rsid w:val="687F3E33"/>
    <w:rsid w:val="68805514"/>
    <w:rsid w:val="688171D5"/>
    <w:rsid w:val="688B0A2A"/>
    <w:rsid w:val="68953657"/>
    <w:rsid w:val="68A13DAA"/>
    <w:rsid w:val="68A36A6C"/>
    <w:rsid w:val="68A839E0"/>
    <w:rsid w:val="68A84B24"/>
    <w:rsid w:val="68AA7FC8"/>
    <w:rsid w:val="68AE0E91"/>
    <w:rsid w:val="68B03FED"/>
    <w:rsid w:val="68B2355C"/>
    <w:rsid w:val="68BE495C"/>
    <w:rsid w:val="68C006D4"/>
    <w:rsid w:val="68C55CEA"/>
    <w:rsid w:val="68D43ED1"/>
    <w:rsid w:val="68D979E8"/>
    <w:rsid w:val="68DB72BC"/>
    <w:rsid w:val="68E31C7D"/>
    <w:rsid w:val="68E343C2"/>
    <w:rsid w:val="68E36170"/>
    <w:rsid w:val="68E57D0D"/>
    <w:rsid w:val="68EC771B"/>
    <w:rsid w:val="68F00A95"/>
    <w:rsid w:val="68F55EA4"/>
    <w:rsid w:val="68FB795E"/>
    <w:rsid w:val="68FE744E"/>
    <w:rsid w:val="6905258B"/>
    <w:rsid w:val="690D040B"/>
    <w:rsid w:val="69180510"/>
    <w:rsid w:val="69196036"/>
    <w:rsid w:val="692F717A"/>
    <w:rsid w:val="69310AF9"/>
    <w:rsid w:val="693D7F76"/>
    <w:rsid w:val="694110E9"/>
    <w:rsid w:val="69490210"/>
    <w:rsid w:val="694C1F68"/>
    <w:rsid w:val="694E2071"/>
    <w:rsid w:val="69535A05"/>
    <w:rsid w:val="69562DE6"/>
    <w:rsid w:val="69586B5E"/>
    <w:rsid w:val="695B21AB"/>
    <w:rsid w:val="695E1C9B"/>
    <w:rsid w:val="69603C65"/>
    <w:rsid w:val="69603DA2"/>
    <w:rsid w:val="696A6E60"/>
    <w:rsid w:val="69715E72"/>
    <w:rsid w:val="697A3B33"/>
    <w:rsid w:val="69852275"/>
    <w:rsid w:val="698A0CE2"/>
    <w:rsid w:val="698C6808"/>
    <w:rsid w:val="698E2580"/>
    <w:rsid w:val="699E2456"/>
    <w:rsid w:val="69A2602B"/>
    <w:rsid w:val="69B0699A"/>
    <w:rsid w:val="69B144C0"/>
    <w:rsid w:val="69BA15C7"/>
    <w:rsid w:val="69BA59A8"/>
    <w:rsid w:val="69BE2739"/>
    <w:rsid w:val="69C441F4"/>
    <w:rsid w:val="69C46CC3"/>
    <w:rsid w:val="69CC12FA"/>
    <w:rsid w:val="69D0459A"/>
    <w:rsid w:val="69D16911"/>
    <w:rsid w:val="69D72179"/>
    <w:rsid w:val="69DB153D"/>
    <w:rsid w:val="69DD7064"/>
    <w:rsid w:val="69DF4B8A"/>
    <w:rsid w:val="69ED735F"/>
    <w:rsid w:val="69F30635"/>
    <w:rsid w:val="69FC345A"/>
    <w:rsid w:val="69FF522C"/>
    <w:rsid w:val="6A0C7949"/>
    <w:rsid w:val="6A197154"/>
    <w:rsid w:val="6A294057"/>
    <w:rsid w:val="6A2B4273"/>
    <w:rsid w:val="6A2F590D"/>
    <w:rsid w:val="6A30161E"/>
    <w:rsid w:val="6A330AD1"/>
    <w:rsid w:val="6A356EA0"/>
    <w:rsid w:val="6A3C3973"/>
    <w:rsid w:val="6A42336B"/>
    <w:rsid w:val="6A4B0471"/>
    <w:rsid w:val="6A4B06F6"/>
    <w:rsid w:val="6A575068"/>
    <w:rsid w:val="6A5A06B4"/>
    <w:rsid w:val="6A640209"/>
    <w:rsid w:val="6A652FD8"/>
    <w:rsid w:val="6A6921D7"/>
    <w:rsid w:val="6A696B49"/>
    <w:rsid w:val="6A6A3122"/>
    <w:rsid w:val="6A731776"/>
    <w:rsid w:val="6A796A9F"/>
    <w:rsid w:val="6A7A2B04"/>
    <w:rsid w:val="6A7E25F5"/>
    <w:rsid w:val="6A9260A0"/>
    <w:rsid w:val="6A9516EC"/>
    <w:rsid w:val="6A995680"/>
    <w:rsid w:val="6A9E0AB3"/>
    <w:rsid w:val="6AA302AD"/>
    <w:rsid w:val="6AA72412"/>
    <w:rsid w:val="6AAB7162"/>
    <w:rsid w:val="6AB06526"/>
    <w:rsid w:val="6AB627B0"/>
    <w:rsid w:val="6AB75B07"/>
    <w:rsid w:val="6ACA583A"/>
    <w:rsid w:val="6ACF10A2"/>
    <w:rsid w:val="6AD05952"/>
    <w:rsid w:val="6AD12861"/>
    <w:rsid w:val="6AD246EE"/>
    <w:rsid w:val="6ADA2581"/>
    <w:rsid w:val="6AF02DC7"/>
    <w:rsid w:val="6B00125C"/>
    <w:rsid w:val="6B0E1E52"/>
    <w:rsid w:val="6B0F4184"/>
    <w:rsid w:val="6B1747F7"/>
    <w:rsid w:val="6B1B42E7"/>
    <w:rsid w:val="6B217424"/>
    <w:rsid w:val="6B2A277C"/>
    <w:rsid w:val="6B322639"/>
    <w:rsid w:val="6B347157"/>
    <w:rsid w:val="6B364C7D"/>
    <w:rsid w:val="6B4C48E8"/>
    <w:rsid w:val="6B5363CE"/>
    <w:rsid w:val="6B5430AF"/>
    <w:rsid w:val="6B56531F"/>
    <w:rsid w:val="6B581098"/>
    <w:rsid w:val="6B7439F8"/>
    <w:rsid w:val="6B76151E"/>
    <w:rsid w:val="6B824366"/>
    <w:rsid w:val="6B8D6867"/>
    <w:rsid w:val="6B930322"/>
    <w:rsid w:val="6B9B2D32"/>
    <w:rsid w:val="6BAC3191"/>
    <w:rsid w:val="6BB43DF4"/>
    <w:rsid w:val="6BB838E4"/>
    <w:rsid w:val="6BB9765C"/>
    <w:rsid w:val="6BBA3B00"/>
    <w:rsid w:val="6BBD0EFB"/>
    <w:rsid w:val="6BCE3108"/>
    <w:rsid w:val="6BD12AD1"/>
    <w:rsid w:val="6BD526E8"/>
    <w:rsid w:val="6BEA5A68"/>
    <w:rsid w:val="6BF5165A"/>
    <w:rsid w:val="6BF568E6"/>
    <w:rsid w:val="6BF95CAB"/>
    <w:rsid w:val="6BFD1C3F"/>
    <w:rsid w:val="6C005EAC"/>
    <w:rsid w:val="6C0E79A8"/>
    <w:rsid w:val="6C0F54CE"/>
    <w:rsid w:val="6C101972"/>
    <w:rsid w:val="6C136D6D"/>
    <w:rsid w:val="6C155E31"/>
    <w:rsid w:val="6C165A05"/>
    <w:rsid w:val="6C1F3963"/>
    <w:rsid w:val="6C214EA2"/>
    <w:rsid w:val="6C223454"/>
    <w:rsid w:val="6C2B2308"/>
    <w:rsid w:val="6C2B3654"/>
    <w:rsid w:val="6C2C6080"/>
    <w:rsid w:val="6C33740F"/>
    <w:rsid w:val="6C3867D3"/>
    <w:rsid w:val="6C3D028D"/>
    <w:rsid w:val="6C417D7E"/>
    <w:rsid w:val="6C496C32"/>
    <w:rsid w:val="6C5B6D25"/>
    <w:rsid w:val="6C5E2E70"/>
    <w:rsid w:val="6C636C38"/>
    <w:rsid w:val="6C6677E4"/>
    <w:rsid w:val="6C733CAF"/>
    <w:rsid w:val="6C7C1405"/>
    <w:rsid w:val="6C7F4402"/>
    <w:rsid w:val="6C847C6A"/>
    <w:rsid w:val="6C8E6D3B"/>
    <w:rsid w:val="6C9102FF"/>
    <w:rsid w:val="6C92218A"/>
    <w:rsid w:val="6C9500C9"/>
    <w:rsid w:val="6CA34594"/>
    <w:rsid w:val="6CB06CB1"/>
    <w:rsid w:val="6CBC5656"/>
    <w:rsid w:val="6CC16DF1"/>
    <w:rsid w:val="6CC664D5"/>
    <w:rsid w:val="6CE32BE3"/>
    <w:rsid w:val="6CE4695B"/>
    <w:rsid w:val="6CEB0E5F"/>
    <w:rsid w:val="6CEB120D"/>
    <w:rsid w:val="6CF52916"/>
    <w:rsid w:val="6CF63A92"/>
    <w:rsid w:val="6CFF0B45"/>
    <w:rsid w:val="6D026DC6"/>
    <w:rsid w:val="6D0512FF"/>
    <w:rsid w:val="6D0B4F67"/>
    <w:rsid w:val="6D154D66"/>
    <w:rsid w:val="6D194857"/>
    <w:rsid w:val="6D1E1E6D"/>
    <w:rsid w:val="6D267B26"/>
    <w:rsid w:val="6D2A6A64"/>
    <w:rsid w:val="6D3A657B"/>
    <w:rsid w:val="6D3C1731"/>
    <w:rsid w:val="6D435308"/>
    <w:rsid w:val="6D4B3F19"/>
    <w:rsid w:val="6D543AE1"/>
    <w:rsid w:val="6D605FE2"/>
    <w:rsid w:val="6D617FAC"/>
    <w:rsid w:val="6D673814"/>
    <w:rsid w:val="6D6A6E60"/>
    <w:rsid w:val="6D723F67"/>
    <w:rsid w:val="6D741A8D"/>
    <w:rsid w:val="6D7766CE"/>
    <w:rsid w:val="6D864791"/>
    <w:rsid w:val="6D8A7502"/>
    <w:rsid w:val="6D8C14BB"/>
    <w:rsid w:val="6D8D2B4F"/>
    <w:rsid w:val="6D997745"/>
    <w:rsid w:val="6D9A2D85"/>
    <w:rsid w:val="6D9C0FE4"/>
    <w:rsid w:val="6DB157EC"/>
    <w:rsid w:val="6DB34098"/>
    <w:rsid w:val="6DB545B6"/>
    <w:rsid w:val="6DBE0F5A"/>
    <w:rsid w:val="6DC02C1E"/>
    <w:rsid w:val="6DC9627D"/>
    <w:rsid w:val="6DD51ED2"/>
    <w:rsid w:val="6DD54C21"/>
    <w:rsid w:val="6DD86E68"/>
    <w:rsid w:val="6DD9192B"/>
    <w:rsid w:val="6DDA1931"/>
    <w:rsid w:val="6DDF4286"/>
    <w:rsid w:val="6DE07122"/>
    <w:rsid w:val="6DE9247B"/>
    <w:rsid w:val="6DE94229"/>
    <w:rsid w:val="6DEE2714"/>
    <w:rsid w:val="6DF130DE"/>
    <w:rsid w:val="6DF826BE"/>
    <w:rsid w:val="6DF901E4"/>
    <w:rsid w:val="6DFA4688"/>
    <w:rsid w:val="6DFB1424"/>
    <w:rsid w:val="6E072901"/>
    <w:rsid w:val="6E0B4EFC"/>
    <w:rsid w:val="6E1B281B"/>
    <w:rsid w:val="6E22598D"/>
    <w:rsid w:val="6E22773B"/>
    <w:rsid w:val="6E2407C0"/>
    <w:rsid w:val="6E245261"/>
    <w:rsid w:val="6E2B2A93"/>
    <w:rsid w:val="6E2C2368"/>
    <w:rsid w:val="6E430122"/>
    <w:rsid w:val="6E4375A0"/>
    <w:rsid w:val="6E493F8C"/>
    <w:rsid w:val="6E496F01"/>
    <w:rsid w:val="6E4E6782"/>
    <w:rsid w:val="6E5024FA"/>
    <w:rsid w:val="6E514CED"/>
    <w:rsid w:val="6E5518BE"/>
    <w:rsid w:val="6E587601"/>
    <w:rsid w:val="6E597DC9"/>
    <w:rsid w:val="6E5D4C17"/>
    <w:rsid w:val="6E5D6D8A"/>
    <w:rsid w:val="6E625D89"/>
    <w:rsid w:val="6E650E15"/>
    <w:rsid w:val="6E76798E"/>
    <w:rsid w:val="6E786E93"/>
    <w:rsid w:val="6E79491A"/>
    <w:rsid w:val="6E906D9A"/>
    <w:rsid w:val="6E91666F"/>
    <w:rsid w:val="6E985C4F"/>
    <w:rsid w:val="6EA510B2"/>
    <w:rsid w:val="6EB563D5"/>
    <w:rsid w:val="6EBA6F09"/>
    <w:rsid w:val="6EBD7464"/>
    <w:rsid w:val="6EC407F2"/>
    <w:rsid w:val="6EC46A44"/>
    <w:rsid w:val="6EC72090"/>
    <w:rsid w:val="6ECA1007"/>
    <w:rsid w:val="6EDA0016"/>
    <w:rsid w:val="6EDC0332"/>
    <w:rsid w:val="6EDE1721"/>
    <w:rsid w:val="6EDF562C"/>
    <w:rsid w:val="6EE3336E"/>
    <w:rsid w:val="6EED1FF5"/>
    <w:rsid w:val="6EED5F9B"/>
    <w:rsid w:val="6EF54E4F"/>
    <w:rsid w:val="6F0D03EB"/>
    <w:rsid w:val="6F126B79"/>
    <w:rsid w:val="6F152DFC"/>
    <w:rsid w:val="6F1C1F3D"/>
    <w:rsid w:val="6F225983"/>
    <w:rsid w:val="6F2319BD"/>
    <w:rsid w:val="6F287F6F"/>
    <w:rsid w:val="6F2D45E9"/>
    <w:rsid w:val="6F345978"/>
    <w:rsid w:val="6F394D3C"/>
    <w:rsid w:val="6F3E67F6"/>
    <w:rsid w:val="6F433E0D"/>
    <w:rsid w:val="6F4B0F13"/>
    <w:rsid w:val="6F4D4C8B"/>
    <w:rsid w:val="6F5D2C01"/>
    <w:rsid w:val="6F60676D"/>
    <w:rsid w:val="6F6124E5"/>
    <w:rsid w:val="6F644787"/>
    <w:rsid w:val="6F673B85"/>
    <w:rsid w:val="6F6D491A"/>
    <w:rsid w:val="6F72517F"/>
    <w:rsid w:val="6F7904EA"/>
    <w:rsid w:val="6F7F743C"/>
    <w:rsid w:val="6F8F1B70"/>
    <w:rsid w:val="6F934682"/>
    <w:rsid w:val="6FA279E0"/>
    <w:rsid w:val="6FA80114"/>
    <w:rsid w:val="6FAC19B2"/>
    <w:rsid w:val="6FB03B79"/>
    <w:rsid w:val="6FB12BB4"/>
    <w:rsid w:val="6FB371D3"/>
    <w:rsid w:val="6FC247B9"/>
    <w:rsid w:val="6FC50CC6"/>
    <w:rsid w:val="6FD11419"/>
    <w:rsid w:val="6FD20CED"/>
    <w:rsid w:val="6FD311BE"/>
    <w:rsid w:val="6FDF69AC"/>
    <w:rsid w:val="6FE27A2C"/>
    <w:rsid w:val="6FE3114C"/>
    <w:rsid w:val="6FE50A20"/>
    <w:rsid w:val="6FE543B9"/>
    <w:rsid w:val="6FE85244"/>
    <w:rsid w:val="6FEA072C"/>
    <w:rsid w:val="6FED5B27"/>
    <w:rsid w:val="6FEE1FCA"/>
    <w:rsid w:val="6FEF2BB1"/>
    <w:rsid w:val="6FF84BF7"/>
    <w:rsid w:val="6FF869A5"/>
    <w:rsid w:val="6FFA3B3C"/>
    <w:rsid w:val="6FFC5590"/>
    <w:rsid w:val="6FFD3FBC"/>
    <w:rsid w:val="70003AAC"/>
    <w:rsid w:val="701337DF"/>
    <w:rsid w:val="70175A87"/>
    <w:rsid w:val="70186826"/>
    <w:rsid w:val="70221C74"/>
    <w:rsid w:val="702E0844"/>
    <w:rsid w:val="702E3539"/>
    <w:rsid w:val="702F4391"/>
    <w:rsid w:val="70301DA3"/>
    <w:rsid w:val="7036571F"/>
    <w:rsid w:val="70383246"/>
    <w:rsid w:val="70473489"/>
    <w:rsid w:val="70497201"/>
    <w:rsid w:val="704C0A9F"/>
    <w:rsid w:val="70531E2E"/>
    <w:rsid w:val="70585696"/>
    <w:rsid w:val="70593891"/>
    <w:rsid w:val="70696F3D"/>
    <w:rsid w:val="706A63CD"/>
    <w:rsid w:val="706D1DD0"/>
    <w:rsid w:val="706D7810"/>
    <w:rsid w:val="706E6C67"/>
    <w:rsid w:val="707A560C"/>
    <w:rsid w:val="707B3132"/>
    <w:rsid w:val="70840239"/>
    <w:rsid w:val="70856B87"/>
    <w:rsid w:val="708E25E0"/>
    <w:rsid w:val="708E730A"/>
    <w:rsid w:val="708F6BDE"/>
    <w:rsid w:val="70935816"/>
    <w:rsid w:val="70986DE0"/>
    <w:rsid w:val="709A5CAE"/>
    <w:rsid w:val="709B291A"/>
    <w:rsid w:val="70AC7790"/>
    <w:rsid w:val="70B34FC2"/>
    <w:rsid w:val="70B623BC"/>
    <w:rsid w:val="70C42D2B"/>
    <w:rsid w:val="70CC398E"/>
    <w:rsid w:val="70D171F6"/>
    <w:rsid w:val="70D527EE"/>
    <w:rsid w:val="70DF5DB7"/>
    <w:rsid w:val="70E1568B"/>
    <w:rsid w:val="70E231B1"/>
    <w:rsid w:val="70E7115A"/>
    <w:rsid w:val="70F80C27"/>
    <w:rsid w:val="70F829D5"/>
    <w:rsid w:val="7104581E"/>
    <w:rsid w:val="710851C5"/>
    <w:rsid w:val="710A276A"/>
    <w:rsid w:val="7113780F"/>
    <w:rsid w:val="71186BD3"/>
    <w:rsid w:val="71311217"/>
    <w:rsid w:val="7137174F"/>
    <w:rsid w:val="714025F2"/>
    <w:rsid w:val="71410FFA"/>
    <w:rsid w:val="71494FDF"/>
    <w:rsid w:val="715B3690"/>
    <w:rsid w:val="715B5300"/>
    <w:rsid w:val="715D3781"/>
    <w:rsid w:val="715F4BD7"/>
    <w:rsid w:val="71692DEE"/>
    <w:rsid w:val="71695F16"/>
    <w:rsid w:val="716A5681"/>
    <w:rsid w:val="716C66CF"/>
    <w:rsid w:val="71702252"/>
    <w:rsid w:val="717958C4"/>
    <w:rsid w:val="717C41F3"/>
    <w:rsid w:val="71946BA2"/>
    <w:rsid w:val="719E474F"/>
    <w:rsid w:val="71A67840"/>
    <w:rsid w:val="71A861A9"/>
    <w:rsid w:val="71AB48B1"/>
    <w:rsid w:val="71B132B0"/>
    <w:rsid w:val="71B52674"/>
    <w:rsid w:val="71BD7E79"/>
    <w:rsid w:val="71C6373E"/>
    <w:rsid w:val="71CD79BE"/>
    <w:rsid w:val="71D27F8A"/>
    <w:rsid w:val="71ED21B3"/>
    <w:rsid w:val="71EF202A"/>
    <w:rsid w:val="71F744C6"/>
    <w:rsid w:val="71F960CF"/>
    <w:rsid w:val="72084E9A"/>
    <w:rsid w:val="72090091"/>
    <w:rsid w:val="72113D47"/>
    <w:rsid w:val="72135089"/>
    <w:rsid w:val="7214383E"/>
    <w:rsid w:val="72144E11"/>
    <w:rsid w:val="72165809"/>
    <w:rsid w:val="72203F91"/>
    <w:rsid w:val="72206F55"/>
    <w:rsid w:val="72226347"/>
    <w:rsid w:val="72232B8E"/>
    <w:rsid w:val="7243340D"/>
    <w:rsid w:val="72435ED2"/>
    <w:rsid w:val="72457E9C"/>
    <w:rsid w:val="7249040E"/>
    <w:rsid w:val="7249798C"/>
    <w:rsid w:val="724A3704"/>
    <w:rsid w:val="724C2FD8"/>
    <w:rsid w:val="724C4D86"/>
    <w:rsid w:val="724D0AFE"/>
    <w:rsid w:val="724F7474"/>
    <w:rsid w:val="72516841"/>
    <w:rsid w:val="72563E57"/>
    <w:rsid w:val="725E2D0C"/>
    <w:rsid w:val="72620A4E"/>
    <w:rsid w:val="726B1116"/>
    <w:rsid w:val="7275721E"/>
    <w:rsid w:val="727A5D97"/>
    <w:rsid w:val="72842772"/>
    <w:rsid w:val="728564EA"/>
    <w:rsid w:val="72862DE7"/>
    <w:rsid w:val="728E091D"/>
    <w:rsid w:val="72914E8F"/>
    <w:rsid w:val="729329B5"/>
    <w:rsid w:val="7297664B"/>
    <w:rsid w:val="72A9418F"/>
    <w:rsid w:val="72A9667D"/>
    <w:rsid w:val="72B172DF"/>
    <w:rsid w:val="72C131B2"/>
    <w:rsid w:val="72C214EC"/>
    <w:rsid w:val="72C76912"/>
    <w:rsid w:val="72DA3A73"/>
    <w:rsid w:val="72E96A79"/>
    <w:rsid w:val="72F31907"/>
    <w:rsid w:val="72FA74C9"/>
    <w:rsid w:val="72FB055A"/>
    <w:rsid w:val="72FD42D3"/>
    <w:rsid w:val="73027B3B"/>
    <w:rsid w:val="730833A3"/>
    <w:rsid w:val="731A30D6"/>
    <w:rsid w:val="731F5D5E"/>
    <w:rsid w:val="73221F8B"/>
    <w:rsid w:val="7327064F"/>
    <w:rsid w:val="733817AF"/>
    <w:rsid w:val="73397A01"/>
    <w:rsid w:val="733F2B3D"/>
    <w:rsid w:val="73426189"/>
    <w:rsid w:val="734A7BDE"/>
    <w:rsid w:val="734E2D80"/>
    <w:rsid w:val="73530396"/>
    <w:rsid w:val="735465E8"/>
    <w:rsid w:val="735635E4"/>
    <w:rsid w:val="7359395E"/>
    <w:rsid w:val="735E1215"/>
    <w:rsid w:val="735E1E53"/>
    <w:rsid w:val="736305DA"/>
    <w:rsid w:val="737F73DD"/>
    <w:rsid w:val="7383282E"/>
    <w:rsid w:val="7386076C"/>
    <w:rsid w:val="738F520D"/>
    <w:rsid w:val="7398711B"/>
    <w:rsid w:val="739C3AEB"/>
    <w:rsid w:val="73A115C0"/>
    <w:rsid w:val="73AB1F81"/>
    <w:rsid w:val="73B726D3"/>
    <w:rsid w:val="73BF31E9"/>
    <w:rsid w:val="73C13552"/>
    <w:rsid w:val="73CC2623"/>
    <w:rsid w:val="73D028F7"/>
    <w:rsid w:val="73D72D76"/>
    <w:rsid w:val="73E32748"/>
    <w:rsid w:val="73EA3012"/>
    <w:rsid w:val="73F27BAF"/>
    <w:rsid w:val="73F61F09"/>
    <w:rsid w:val="73F97190"/>
    <w:rsid w:val="74017DF2"/>
    <w:rsid w:val="74031DBD"/>
    <w:rsid w:val="74082FD3"/>
    <w:rsid w:val="740C48D9"/>
    <w:rsid w:val="741E793C"/>
    <w:rsid w:val="74213FF1"/>
    <w:rsid w:val="742400E9"/>
    <w:rsid w:val="74324450"/>
    <w:rsid w:val="743326A2"/>
    <w:rsid w:val="74381A66"/>
    <w:rsid w:val="743C0E2B"/>
    <w:rsid w:val="743D707D"/>
    <w:rsid w:val="74410A17"/>
    <w:rsid w:val="744523D5"/>
    <w:rsid w:val="74457850"/>
    <w:rsid w:val="74487DCD"/>
    <w:rsid w:val="744C72C0"/>
    <w:rsid w:val="74566390"/>
    <w:rsid w:val="74631ADE"/>
    <w:rsid w:val="74640AAD"/>
    <w:rsid w:val="746565D3"/>
    <w:rsid w:val="74675EA7"/>
    <w:rsid w:val="746D092B"/>
    <w:rsid w:val="74734539"/>
    <w:rsid w:val="7476301D"/>
    <w:rsid w:val="74784559"/>
    <w:rsid w:val="74793E2D"/>
    <w:rsid w:val="747C2324"/>
    <w:rsid w:val="74806E03"/>
    <w:rsid w:val="748527D2"/>
    <w:rsid w:val="748C590E"/>
    <w:rsid w:val="748D49CD"/>
    <w:rsid w:val="7499002B"/>
    <w:rsid w:val="749B1FF5"/>
    <w:rsid w:val="749B5C86"/>
    <w:rsid w:val="749D6880"/>
    <w:rsid w:val="749D7B1B"/>
    <w:rsid w:val="74A50BEC"/>
    <w:rsid w:val="74A52E74"/>
    <w:rsid w:val="74AC35B3"/>
    <w:rsid w:val="74AE3AD6"/>
    <w:rsid w:val="74AE4B4E"/>
    <w:rsid w:val="74B135C7"/>
    <w:rsid w:val="74B314A3"/>
    <w:rsid w:val="74B64406"/>
    <w:rsid w:val="74BA31C7"/>
    <w:rsid w:val="74C351B8"/>
    <w:rsid w:val="74C4779E"/>
    <w:rsid w:val="74CC2B9D"/>
    <w:rsid w:val="74D97E42"/>
    <w:rsid w:val="74DD6779"/>
    <w:rsid w:val="74E05C5A"/>
    <w:rsid w:val="74E221F2"/>
    <w:rsid w:val="74E25E76"/>
    <w:rsid w:val="74E97204"/>
    <w:rsid w:val="74EC45FF"/>
    <w:rsid w:val="74F87447"/>
    <w:rsid w:val="74FC2045"/>
    <w:rsid w:val="74FD4A5E"/>
    <w:rsid w:val="75071439"/>
    <w:rsid w:val="750D643F"/>
    <w:rsid w:val="75241FEA"/>
    <w:rsid w:val="752975C2"/>
    <w:rsid w:val="752C70F1"/>
    <w:rsid w:val="752D7D55"/>
    <w:rsid w:val="752F1C88"/>
    <w:rsid w:val="7532211D"/>
    <w:rsid w:val="75394CD8"/>
    <w:rsid w:val="753F0BD2"/>
    <w:rsid w:val="753F6E24"/>
    <w:rsid w:val="75412B9C"/>
    <w:rsid w:val="75662603"/>
    <w:rsid w:val="756B19C7"/>
    <w:rsid w:val="75703448"/>
    <w:rsid w:val="75734D20"/>
    <w:rsid w:val="75792336"/>
    <w:rsid w:val="757B16F4"/>
    <w:rsid w:val="757C3BD5"/>
    <w:rsid w:val="7581743D"/>
    <w:rsid w:val="758D193E"/>
    <w:rsid w:val="758D75E2"/>
    <w:rsid w:val="758F1B5A"/>
    <w:rsid w:val="75986327"/>
    <w:rsid w:val="759A04FF"/>
    <w:rsid w:val="759C7DD3"/>
    <w:rsid w:val="759F4EC0"/>
    <w:rsid w:val="75AA17D7"/>
    <w:rsid w:val="75AD1FE0"/>
    <w:rsid w:val="75BC0475"/>
    <w:rsid w:val="75BE0ADD"/>
    <w:rsid w:val="75C67E24"/>
    <w:rsid w:val="75CA04F1"/>
    <w:rsid w:val="75D25EEA"/>
    <w:rsid w:val="75E8126A"/>
    <w:rsid w:val="75EF0F06"/>
    <w:rsid w:val="75F06371"/>
    <w:rsid w:val="75FE45EA"/>
    <w:rsid w:val="7610431D"/>
    <w:rsid w:val="7613626B"/>
    <w:rsid w:val="76157B85"/>
    <w:rsid w:val="761734C3"/>
    <w:rsid w:val="761C7166"/>
    <w:rsid w:val="76206C56"/>
    <w:rsid w:val="762229CE"/>
    <w:rsid w:val="76312C11"/>
    <w:rsid w:val="76341118"/>
    <w:rsid w:val="76465F91"/>
    <w:rsid w:val="76472434"/>
    <w:rsid w:val="764D19B8"/>
    <w:rsid w:val="765E777E"/>
    <w:rsid w:val="766823AB"/>
    <w:rsid w:val="766E5C13"/>
    <w:rsid w:val="76736211"/>
    <w:rsid w:val="767945B8"/>
    <w:rsid w:val="767A350B"/>
    <w:rsid w:val="767E008B"/>
    <w:rsid w:val="767E397C"/>
    <w:rsid w:val="76880357"/>
    <w:rsid w:val="7688510D"/>
    <w:rsid w:val="768C7E47"/>
    <w:rsid w:val="76927701"/>
    <w:rsid w:val="769413F2"/>
    <w:rsid w:val="769A6A08"/>
    <w:rsid w:val="769B008A"/>
    <w:rsid w:val="76A258BD"/>
    <w:rsid w:val="76A333E3"/>
    <w:rsid w:val="76A553AD"/>
    <w:rsid w:val="76AB19E8"/>
    <w:rsid w:val="76AE24B4"/>
    <w:rsid w:val="76BD44A5"/>
    <w:rsid w:val="76C27D0D"/>
    <w:rsid w:val="76CE1B2D"/>
    <w:rsid w:val="76D717A6"/>
    <w:rsid w:val="76DE441B"/>
    <w:rsid w:val="76E6765B"/>
    <w:rsid w:val="76E97048"/>
    <w:rsid w:val="76EA1012"/>
    <w:rsid w:val="76ED1FB3"/>
    <w:rsid w:val="76F61765"/>
    <w:rsid w:val="76F62D49"/>
    <w:rsid w:val="76F65C09"/>
    <w:rsid w:val="76FD2AF3"/>
    <w:rsid w:val="77101B8D"/>
    <w:rsid w:val="771542E1"/>
    <w:rsid w:val="771D36E6"/>
    <w:rsid w:val="771F319A"/>
    <w:rsid w:val="77274B25"/>
    <w:rsid w:val="77297EB7"/>
    <w:rsid w:val="772C5186"/>
    <w:rsid w:val="772D6C40"/>
    <w:rsid w:val="772E7150"/>
    <w:rsid w:val="7735567E"/>
    <w:rsid w:val="77387FCF"/>
    <w:rsid w:val="77426B90"/>
    <w:rsid w:val="775947BB"/>
    <w:rsid w:val="77597468"/>
    <w:rsid w:val="775F555C"/>
    <w:rsid w:val="77613082"/>
    <w:rsid w:val="77707E71"/>
    <w:rsid w:val="77735147"/>
    <w:rsid w:val="77762421"/>
    <w:rsid w:val="77796881"/>
    <w:rsid w:val="77846CDF"/>
    <w:rsid w:val="779276DF"/>
    <w:rsid w:val="779E0807"/>
    <w:rsid w:val="77A15B74"/>
    <w:rsid w:val="77B6195A"/>
    <w:rsid w:val="77BA0F87"/>
    <w:rsid w:val="77D777E8"/>
    <w:rsid w:val="77E421DC"/>
    <w:rsid w:val="77E77FA4"/>
    <w:rsid w:val="77EA751B"/>
    <w:rsid w:val="780103C1"/>
    <w:rsid w:val="78016613"/>
    <w:rsid w:val="780600CD"/>
    <w:rsid w:val="780B1240"/>
    <w:rsid w:val="780D4FB8"/>
    <w:rsid w:val="780F09F4"/>
    <w:rsid w:val="78186399"/>
    <w:rsid w:val="781A1483"/>
    <w:rsid w:val="782B18E2"/>
    <w:rsid w:val="78324A1E"/>
    <w:rsid w:val="783C1535"/>
    <w:rsid w:val="78454752"/>
    <w:rsid w:val="784F02E1"/>
    <w:rsid w:val="7851759A"/>
    <w:rsid w:val="785229A8"/>
    <w:rsid w:val="785901FD"/>
    <w:rsid w:val="785F0F7A"/>
    <w:rsid w:val="786B1CDE"/>
    <w:rsid w:val="78760DAF"/>
    <w:rsid w:val="78793171"/>
    <w:rsid w:val="787943FB"/>
    <w:rsid w:val="787D20B0"/>
    <w:rsid w:val="787E5EB6"/>
    <w:rsid w:val="78810287"/>
    <w:rsid w:val="78824593"/>
    <w:rsid w:val="78964FAD"/>
    <w:rsid w:val="789C4F47"/>
    <w:rsid w:val="78A11715"/>
    <w:rsid w:val="78A37DFC"/>
    <w:rsid w:val="78A90480"/>
    <w:rsid w:val="78AC0BE6"/>
    <w:rsid w:val="78B1554E"/>
    <w:rsid w:val="78B43685"/>
    <w:rsid w:val="78C31B1A"/>
    <w:rsid w:val="78C7785D"/>
    <w:rsid w:val="78CC351E"/>
    <w:rsid w:val="78D35BBD"/>
    <w:rsid w:val="78D37FAF"/>
    <w:rsid w:val="78D646F6"/>
    <w:rsid w:val="78DA7590"/>
    <w:rsid w:val="78E20A03"/>
    <w:rsid w:val="78E30EC4"/>
    <w:rsid w:val="78E8315E"/>
    <w:rsid w:val="78F10436"/>
    <w:rsid w:val="78F817C4"/>
    <w:rsid w:val="78F9201C"/>
    <w:rsid w:val="78FD0B56"/>
    <w:rsid w:val="7904104F"/>
    <w:rsid w:val="790463BB"/>
    <w:rsid w:val="790939D1"/>
    <w:rsid w:val="790D1571"/>
    <w:rsid w:val="79122B54"/>
    <w:rsid w:val="791650FE"/>
    <w:rsid w:val="79175833"/>
    <w:rsid w:val="791D747D"/>
    <w:rsid w:val="79297BCF"/>
    <w:rsid w:val="792A1B99"/>
    <w:rsid w:val="792C4CC9"/>
    <w:rsid w:val="79312F28"/>
    <w:rsid w:val="79330A4E"/>
    <w:rsid w:val="79352A18"/>
    <w:rsid w:val="7936053E"/>
    <w:rsid w:val="793B7903"/>
    <w:rsid w:val="7940316B"/>
    <w:rsid w:val="79404F19"/>
    <w:rsid w:val="79442C5B"/>
    <w:rsid w:val="79490AB5"/>
    <w:rsid w:val="794C38BE"/>
    <w:rsid w:val="79507900"/>
    <w:rsid w:val="79594081"/>
    <w:rsid w:val="796D289A"/>
    <w:rsid w:val="796E46DA"/>
    <w:rsid w:val="79717E77"/>
    <w:rsid w:val="79752E15"/>
    <w:rsid w:val="79761652"/>
    <w:rsid w:val="79780B57"/>
    <w:rsid w:val="797C0647"/>
    <w:rsid w:val="79811327"/>
    <w:rsid w:val="798219D5"/>
    <w:rsid w:val="798D4602"/>
    <w:rsid w:val="798E3ED6"/>
    <w:rsid w:val="79905EA0"/>
    <w:rsid w:val="79935991"/>
    <w:rsid w:val="79951709"/>
    <w:rsid w:val="79974728"/>
    <w:rsid w:val="79983E20"/>
    <w:rsid w:val="799D236B"/>
    <w:rsid w:val="79A11E5C"/>
    <w:rsid w:val="79AC0800"/>
    <w:rsid w:val="79B43D9D"/>
    <w:rsid w:val="79B74AA6"/>
    <w:rsid w:val="79B778D1"/>
    <w:rsid w:val="79B86634"/>
    <w:rsid w:val="79C03F87"/>
    <w:rsid w:val="79C124FE"/>
    <w:rsid w:val="79D42231"/>
    <w:rsid w:val="79D45972"/>
    <w:rsid w:val="79DB76E8"/>
    <w:rsid w:val="79E104AA"/>
    <w:rsid w:val="79E93803"/>
    <w:rsid w:val="79ED50A1"/>
    <w:rsid w:val="79F62EF9"/>
    <w:rsid w:val="7A137FC7"/>
    <w:rsid w:val="7A1E16FE"/>
    <w:rsid w:val="7A1F0FD2"/>
    <w:rsid w:val="7A22231A"/>
    <w:rsid w:val="7A24780B"/>
    <w:rsid w:val="7A274CFC"/>
    <w:rsid w:val="7A2A3180"/>
    <w:rsid w:val="7A2B5BC9"/>
    <w:rsid w:val="7A316DFD"/>
    <w:rsid w:val="7A364017"/>
    <w:rsid w:val="7A3B22B0"/>
    <w:rsid w:val="7A48677B"/>
    <w:rsid w:val="7A5E1AFB"/>
    <w:rsid w:val="7A665F33"/>
    <w:rsid w:val="7A6660F8"/>
    <w:rsid w:val="7A6B1967"/>
    <w:rsid w:val="7A6D48C0"/>
    <w:rsid w:val="7A6F3D08"/>
    <w:rsid w:val="7A70182E"/>
    <w:rsid w:val="7A715CD2"/>
    <w:rsid w:val="7A7C3632"/>
    <w:rsid w:val="7A7C6425"/>
    <w:rsid w:val="7A8265E1"/>
    <w:rsid w:val="7A903C7E"/>
    <w:rsid w:val="7A9B4AFD"/>
    <w:rsid w:val="7AB07CD4"/>
    <w:rsid w:val="7AB21E46"/>
    <w:rsid w:val="7AB94F83"/>
    <w:rsid w:val="7AC322A6"/>
    <w:rsid w:val="7AC57DCC"/>
    <w:rsid w:val="7ADF6323"/>
    <w:rsid w:val="7AE475C4"/>
    <w:rsid w:val="7AE9497B"/>
    <w:rsid w:val="7AF10BC1"/>
    <w:rsid w:val="7AFA2D33"/>
    <w:rsid w:val="7B14665D"/>
    <w:rsid w:val="7B1D5512"/>
    <w:rsid w:val="7B2C3224"/>
    <w:rsid w:val="7B3650A3"/>
    <w:rsid w:val="7B3B410F"/>
    <w:rsid w:val="7B42766E"/>
    <w:rsid w:val="7B43689E"/>
    <w:rsid w:val="7B4738E3"/>
    <w:rsid w:val="7B486307"/>
    <w:rsid w:val="7B4E1B6F"/>
    <w:rsid w:val="7B4E6013"/>
    <w:rsid w:val="7B537186"/>
    <w:rsid w:val="7B5770BD"/>
    <w:rsid w:val="7B58479C"/>
    <w:rsid w:val="7B5E1E17"/>
    <w:rsid w:val="7B5E43AD"/>
    <w:rsid w:val="7B686D42"/>
    <w:rsid w:val="7B6969A9"/>
    <w:rsid w:val="7B6A54D9"/>
    <w:rsid w:val="7B727A53"/>
    <w:rsid w:val="7B7470FC"/>
    <w:rsid w:val="7B7A0FC8"/>
    <w:rsid w:val="7B7D06A6"/>
    <w:rsid w:val="7B7F61CD"/>
    <w:rsid w:val="7B841746"/>
    <w:rsid w:val="7B8B207E"/>
    <w:rsid w:val="7B8B4B71"/>
    <w:rsid w:val="7B8D7AD7"/>
    <w:rsid w:val="7B925FE7"/>
    <w:rsid w:val="7B98103C"/>
    <w:rsid w:val="7B9A3A6E"/>
    <w:rsid w:val="7B9A4DB4"/>
    <w:rsid w:val="7B9D6653"/>
    <w:rsid w:val="7BA14395"/>
    <w:rsid w:val="7BA53E28"/>
    <w:rsid w:val="7BA63759"/>
    <w:rsid w:val="7BA94FF8"/>
    <w:rsid w:val="7BD3786A"/>
    <w:rsid w:val="7BD61B65"/>
    <w:rsid w:val="7BD858DD"/>
    <w:rsid w:val="7BE55C9F"/>
    <w:rsid w:val="7BE6624C"/>
    <w:rsid w:val="7BFA3C79"/>
    <w:rsid w:val="7C0045FA"/>
    <w:rsid w:val="7C06069C"/>
    <w:rsid w:val="7C075F3B"/>
    <w:rsid w:val="7C1032C9"/>
    <w:rsid w:val="7C1508DF"/>
    <w:rsid w:val="7C1B0ED7"/>
    <w:rsid w:val="7C246915"/>
    <w:rsid w:val="7C330D65"/>
    <w:rsid w:val="7C3F3BAE"/>
    <w:rsid w:val="7C464F3C"/>
    <w:rsid w:val="7C4C69A8"/>
    <w:rsid w:val="7C4F3DF1"/>
    <w:rsid w:val="7C5076B5"/>
    <w:rsid w:val="7C611D76"/>
    <w:rsid w:val="7C63789C"/>
    <w:rsid w:val="7C644183"/>
    <w:rsid w:val="7C653614"/>
    <w:rsid w:val="7C730E76"/>
    <w:rsid w:val="7C743857"/>
    <w:rsid w:val="7C7F3FAA"/>
    <w:rsid w:val="7C896BD7"/>
    <w:rsid w:val="7C8D3F98"/>
    <w:rsid w:val="7C943EFA"/>
    <w:rsid w:val="7C950E2A"/>
    <w:rsid w:val="7C952014"/>
    <w:rsid w:val="7C9663A3"/>
    <w:rsid w:val="7C98391B"/>
    <w:rsid w:val="7C9C6796"/>
    <w:rsid w:val="7CA67789"/>
    <w:rsid w:val="7CA83501"/>
    <w:rsid w:val="7CB9570E"/>
    <w:rsid w:val="7CBC0D5A"/>
    <w:rsid w:val="7CCA3477"/>
    <w:rsid w:val="7CCF0A8E"/>
    <w:rsid w:val="7CCF4C6B"/>
    <w:rsid w:val="7CD2057E"/>
    <w:rsid w:val="7CDE5175"/>
    <w:rsid w:val="7CE26411"/>
    <w:rsid w:val="7CE502B1"/>
    <w:rsid w:val="7CE7227B"/>
    <w:rsid w:val="7CF36423"/>
    <w:rsid w:val="7CF93D5D"/>
    <w:rsid w:val="7D0239FF"/>
    <w:rsid w:val="7D034BDB"/>
    <w:rsid w:val="7D0428EB"/>
    <w:rsid w:val="7D0467C0"/>
    <w:rsid w:val="7D0A41BC"/>
    <w:rsid w:val="7D0D15B6"/>
    <w:rsid w:val="7D0E1EA7"/>
    <w:rsid w:val="7D115EA6"/>
    <w:rsid w:val="7D142945"/>
    <w:rsid w:val="7D225061"/>
    <w:rsid w:val="7D23702C"/>
    <w:rsid w:val="7D284642"/>
    <w:rsid w:val="7D33726F"/>
    <w:rsid w:val="7D344D95"/>
    <w:rsid w:val="7D37575A"/>
    <w:rsid w:val="7D3F0F24"/>
    <w:rsid w:val="7D4274B2"/>
    <w:rsid w:val="7D513B99"/>
    <w:rsid w:val="7D52346D"/>
    <w:rsid w:val="7D580A83"/>
    <w:rsid w:val="7D5B67C5"/>
    <w:rsid w:val="7D5E40CD"/>
    <w:rsid w:val="7D605B8A"/>
    <w:rsid w:val="7D6531A0"/>
    <w:rsid w:val="7D693BED"/>
    <w:rsid w:val="7D694C7C"/>
    <w:rsid w:val="7D6C2781"/>
    <w:rsid w:val="7D705BFF"/>
    <w:rsid w:val="7D711B45"/>
    <w:rsid w:val="7D7D04EA"/>
    <w:rsid w:val="7D824B7F"/>
    <w:rsid w:val="7D8950E1"/>
    <w:rsid w:val="7D8F0799"/>
    <w:rsid w:val="7D944F65"/>
    <w:rsid w:val="7D9558DE"/>
    <w:rsid w:val="7D957F29"/>
    <w:rsid w:val="7D983576"/>
    <w:rsid w:val="7D9D6DDE"/>
    <w:rsid w:val="7DA0067C"/>
    <w:rsid w:val="7DA61F6B"/>
    <w:rsid w:val="7DB06B11"/>
    <w:rsid w:val="7DB3215D"/>
    <w:rsid w:val="7DB92447"/>
    <w:rsid w:val="7DC10D1E"/>
    <w:rsid w:val="7DC51888"/>
    <w:rsid w:val="7DC600E3"/>
    <w:rsid w:val="7DC92BE0"/>
    <w:rsid w:val="7DCE51E9"/>
    <w:rsid w:val="7DD37B87"/>
    <w:rsid w:val="7DD44EEC"/>
    <w:rsid w:val="7DD722F0"/>
    <w:rsid w:val="7DD86068"/>
    <w:rsid w:val="7DDE34B5"/>
    <w:rsid w:val="7DDF2F52"/>
    <w:rsid w:val="7DEB7B49"/>
    <w:rsid w:val="7DF12C86"/>
    <w:rsid w:val="7DF34C50"/>
    <w:rsid w:val="7DFA5FDE"/>
    <w:rsid w:val="7E052BDE"/>
    <w:rsid w:val="7E0B440B"/>
    <w:rsid w:val="7E132BFC"/>
    <w:rsid w:val="7E1532BF"/>
    <w:rsid w:val="7E1B52D0"/>
    <w:rsid w:val="7E1D624C"/>
    <w:rsid w:val="7E2117BD"/>
    <w:rsid w:val="7E24305B"/>
    <w:rsid w:val="7E246BF6"/>
    <w:rsid w:val="7E2E5C88"/>
    <w:rsid w:val="7E3C666E"/>
    <w:rsid w:val="7E3E411D"/>
    <w:rsid w:val="7E4D6024"/>
    <w:rsid w:val="7E4E04C2"/>
    <w:rsid w:val="7E50377C"/>
    <w:rsid w:val="7E5637D7"/>
    <w:rsid w:val="7E58122B"/>
    <w:rsid w:val="7E5F4093"/>
    <w:rsid w:val="7E5F7640"/>
    <w:rsid w:val="7E6873EC"/>
    <w:rsid w:val="7E6D1E3F"/>
    <w:rsid w:val="7E6D67B0"/>
    <w:rsid w:val="7E762DB4"/>
    <w:rsid w:val="7E7A0ECD"/>
    <w:rsid w:val="7E7B3C1E"/>
    <w:rsid w:val="7E7C69F3"/>
    <w:rsid w:val="7E8104AE"/>
    <w:rsid w:val="7E81225C"/>
    <w:rsid w:val="7E8B30DA"/>
    <w:rsid w:val="7E8D6E52"/>
    <w:rsid w:val="7E9401E1"/>
    <w:rsid w:val="7EA30424"/>
    <w:rsid w:val="7EA33FDE"/>
    <w:rsid w:val="7EA40AE0"/>
    <w:rsid w:val="7EAB552B"/>
    <w:rsid w:val="7EB264E4"/>
    <w:rsid w:val="7EB56F67"/>
    <w:rsid w:val="7EB837A6"/>
    <w:rsid w:val="7EBB6578"/>
    <w:rsid w:val="7EC65EC0"/>
    <w:rsid w:val="7EC860DC"/>
    <w:rsid w:val="7ECD36F3"/>
    <w:rsid w:val="7ED455CC"/>
    <w:rsid w:val="7ED71E7C"/>
    <w:rsid w:val="7ED92098"/>
    <w:rsid w:val="7EE527EB"/>
    <w:rsid w:val="7EF42A2E"/>
    <w:rsid w:val="7F0709B3"/>
    <w:rsid w:val="7F0A6D29"/>
    <w:rsid w:val="7F0B7D77"/>
    <w:rsid w:val="7F10538E"/>
    <w:rsid w:val="7F1629A4"/>
    <w:rsid w:val="7F1950C0"/>
    <w:rsid w:val="7F250E39"/>
    <w:rsid w:val="7F264BB1"/>
    <w:rsid w:val="7F2D7CEE"/>
    <w:rsid w:val="7F3124A9"/>
    <w:rsid w:val="7F364DF4"/>
    <w:rsid w:val="7F405C73"/>
    <w:rsid w:val="7F435763"/>
    <w:rsid w:val="7F4C4618"/>
    <w:rsid w:val="7F597551"/>
    <w:rsid w:val="7F625BE9"/>
    <w:rsid w:val="7F6C6A68"/>
    <w:rsid w:val="7F7A0869"/>
    <w:rsid w:val="7F7D0C75"/>
    <w:rsid w:val="7F7D2A23"/>
    <w:rsid w:val="7F7E49ED"/>
    <w:rsid w:val="7F7F7177"/>
    <w:rsid w:val="7F916650"/>
    <w:rsid w:val="7F9D1317"/>
    <w:rsid w:val="7F9F508F"/>
    <w:rsid w:val="7FA12C09"/>
    <w:rsid w:val="7FA206DC"/>
    <w:rsid w:val="7FA2692E"/>
    <w:rsid w:val="7FA44DC6"/>
    <w:rsid w:val="7FA91A6A"/>
    <w:rsid w:val="7FA96067"/>
    <w:rsid w:val="7FB83A5B"/>
    <w:rsid w:val="7FB87EFF"/>
    <w:rsid w:val="7FBE40A5"/>
    <w:rsid w:val="7FBE43E0"/>
    <w:rsid w:val="7FC37379"/>
    <w:rsid w:val="7FCC39AA"/>
    <w:rsid w:val="7FD5285F"/>
    <w:rsid w:val="7FDB04BF"/>
    <w:rsid w:val="7FDF527F"/>
    <w:rsid w:val="7FE47E50"/>
    <w:rsid w:val="7FEE3921"/>
    <w:rsid w:val="7FF57F11"/>
    <w:rsid w:val="7FF75A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33"/>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34"/>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qFormat/>
    <w:locked/>
    <w:uiPriority w:val="99"/>
    <w:pPr>
      <w:keepNext/>
      <w:keepLines/>
      <w:numPr>
        <w:ilvl w:val="3"/>
        <w:numId w:val="1"/>
      </w:numPr>
      <w:ind w:left="0" w:firstLine="0"/>
      <w:jc w:val="left"/>
      <w:outlineLvl w:val="3"/>
    </w:pPr>
    <w:rPr>
      <w:b/>
      <w:bCs/>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47"/>
    <w:qFormat/>
    <w:uiPriority w:val="0"/>
    <w:pPr>
      <w:widowControl/>
      <w:snapToGrid w:val="0"/>
      <w:spacing w:before="60" w:after="160" w:line="259" w:lineRule="auto"/>
      <w:ind w:right="113"/>
    </w:pPr>
    <w:rPr>
      <w:kern w:val="0"/>
      <w:sz w:val="18"/>
      <w:szCs w:val="18"/>
    </w:rPr>
  </w:style>
  <w:style w:type="paragraph" w:customStyle="1" w:styleId="3">
    <w:name w:val="Normal (Web)1"/>
    <w:basedOn w:val="1"/>
    <w:next w:val="4"/>
    <w:qFormat/>
    <w:uiPriority w:val="0"/>
    <w:pPr>
      <w:widowControl/>
    </w:pPr>
    <w:rPr>
      <w:rFonts w:ascii="宋体"/>
      <w:sz w:val="24"/>
      <w:szCs w:val="21"/>
    </w:rPr>
  </w:style>
  <w:style w:type="paragraph" w:customStyle="1" w:styleId="4">
    <w:name w:val="Date1"/>
    <w:basedOn w:val="1"/>
    <w:next w:val="1"/>
    <w:qFormat/>
    <w:uiPriority w:val="0"/>
    <w:pPr>
      <w:ind w:left="2500" w:leftChars="2500"/>
    </w:pPr>
  </w:style>
  <w:style w:type="paragraph" w:styleId="9">
    <w:name w:val="Normal Indent"/>
    <w:basedOn w:val="1"/>
    <w:next w:val="1"/>
    <w:qFormat/>
    <w:uiPriority w:val="0"/>
    <w:pPr>
      <w:spacing w:line="460" w:lineRule="atLeast"/>
      <w:ind w:firstLine="420"/>
    </w:pPr>
    <w:rPr>
      <w:szCs w:val="20"/>
    </w:rPr>
  </w:style>
  <w:style w:type="paragraph" w:styleId="10">
    <w:name w:val="caption"/>
    <w:basedOn w:val="1"/>
    <w:next w:val="1"/>
    <w:qFormat/>
    <w:locked/>
    <w:uiPriority w:val="0"/>
    <w:rPr>
      <w:rFonts w:ascii="Arial" w:hAnsi="Arial" w:eastAsia="黑体"/>
      <w:sz w:val="20"/>
      <w:szCs w:val="20"/>
    </w:rPr>
  </w:style>
  <w:style w:type="paragraph" w:styleId="11">
    <w:name w:val="annotation text"/>
    <w:basedOn w:val="1"/>
    <w:next w:val="12"/>
    <w:link w:val="46"/>
    <w:semiHidden/>
    <w:qFormat/>
    <w:uiPriority w:val="0"/>
    <w:pPr>
      <w:jc w:val="left"/>
    </w:pPr>
    <w:rPr>
      <w:kern w:val="0"/>
      <w:sz w:val="20"/>
    </w:rPr>
  </w:style>
  <w:style w:type="paragraph" w:styleId="12">
    <w:name w:val="Body Text Indent 3"/>
    <w:basedOn w:val="1"/>
    <w:next w:val="13"/>
    <w:qFormat/>
    <w:uiPriority w:val="0"/>
    <w:pPr>
      <w:spacing w:after="120"/>
      <w:ind w:left="420" w:leftChars="200"/>
    </w:pPr>
    <w:rPr>
      <w:sz w:val="16"/>
      <w:szCs w:val="16"/>
    </w:rPr>
  </w:style>
  <w:style w:type="paragraph" w:styleId="13">
    <w:name w:val="Balloon Text"/>
    <w:basedOn w:val="1"/>
    <w:next w:val="14"/>
    <w:link w:val="50"/>
    <w:semiHidden/>
    <w:qFormat/>
    <w:uiPriority w:val="0"/>
    <w:rPr>
      <w:sz w:val="18"/>
      <w:szCs w:val="18"/>
    </w:rPr>
  </w:style>
  <w:style w:type="paragraph" w:styleId="14">
    <w:name w:val="Block Text"/>
    <w:basedOn w:val="1"/>
    <w:next w:val="1"/>
    <w:qFormat/>
    <w:uiPriority w:val="0"/>
    <w:pPr>
      <w:spacing w:line="240" w:lineRule="auto"/>
      <w:ind w:left="113" w:right="113" w:firstLine="3584"/>
      <w:jc w:val="center"/>
    </w:pPr>
  </w:style>
  <w:style w:type="paragraph" w:styleId="15">
    <w:name w:val="Body Text Indent"/>
    <w:basedOn w:val="1"/>
    <w:next w:val="16"/>
    <w:link w:val="48"/>
    <w:semiHidden/>
    <w:qFormat/>
    <w:uiPriority w:val="0"/>
    <w:pPr>
      <w:spacing w:after="120"/>
      <w:ind w:left="420" w:leftChars="200"/>
    </w:pPr>
  </w:style>
  <w:style w:type="paragraph" w:styleId="16">
    <w:name w:val="header"/>
    <w:basedOn w:val="1"/>
    <w:next w:val="17"/>
    <w:link w:val="52"/>
    <w:qFormat/>
    <w:uiPriority w:val="0"/>
    <w:pPr>
      <w:pBdr>
        <w:bottom w:val="single" w:color="auto" w:sz="6" w:space="1"/>
      </w:pBdr>
      <w:tabs>
        <w:tab w:val="center" w:pos="4153"/>
        <w:tab w:val="right" w:pos="8306"/>
      </w:tabs>
      <w:snapToGrid w:val="0"/>
      <w:jc w:val="center"/>
    </w:pPr>
    <w:rPr>
      <w:sz w:val="18"/>
      <w:szCs w:val="18"/>
    </w:rPr>
  </w:style>
  <w:style w:type="paragraph" w:customStyle="1" w:styleId="17">
    <w:name w:val="样式5"/>
    <w:basedOn w:val="1"/>
    <w:qFormat/>
    <w:uiPriority w:val="0"/>
    <w:pPr>
      <w:spacing w:line="380" w:lineRule="exact"/>
      <w:ind w:firstLine="566" w:firstLineChars="202"/>
    </w:pPr>
    <w:rPr>
      <w:rFonts w:eastAsia="华文行楷"/>
    </w:rPr>
  </w:style>
  <w:style w:type="paragraph" w:styleId="18">
    <w:name w:val="Plain Text"/>
    <w:basedOn w:val="1"/>
    <w:next w:val="19"/>
    <w:qFormat/>
    <w:uiPriority w:val="0"/>
    <w:rPr>
      <w:rFonts w:ascii="宋体" w:hAnsi="Courier New" w:cs="Courier New"/>
      <w:szCs w:val="21"/>
    </w:rPr>
  </w:style>
  <w:style w:type="paragraph" w:styleId="19">
    <w:name w:val="toc 1"/>
    <w:basedOn w:val="1"/>
    <w:next w:val="1"/>
    <w:qFormat/>
    <w:locked/>
    <w:uiPriority w:val="0"/>
    <w:pPr>
      <w:spacing w:line="360" w:lineRule="auto"/>
    </w:pPr>
    <w:rPr>
      <w:b/>
      <w:sz w:val="24"/>
    </w:rPr>
  </w:style>
  <w:style w:type="paragraph" w:styleId="20">
    <w:name w:val="Date"/>
    <w:basedOn w:val="1"/>
    <w:next w:val="1"/>
    <w:link w:val="49"/>
    <w:qFormat/>
    <w:uiPriority w:val="0"/>
    <w:pPr>
      <w:ind w:left="100" w:leftChars="2500"/>
    </w:pPr>
    <w:rPr>
      <w:kern w:val="0"/>
      <w:sz w:val="20"/>
    </w:rPr>
  </w:style>
  <w:style w:type="paragraph" w:styleId="21">
    <w:name w:val="Body Text Indent 2"/>
    <w:basedOn w:val="1"/>
    <w:next w:val="1"/>
    <w:qFormat/>
    <w:uiPriority w:val="0"/>
    <w:pPr>
      <w:spacing w:after="120" w:line="480" w:lineRule="auto"/>
      <w:ind w:left="420" w:leftChars="200"/>
    </w:pPr>
  </w:style>
  <w:style w:type="paragraph" w:styleId="22">
    <w:name w:val="footer"/>
    <w:basedOn w:val="1"/>
    <w:link w:val="51"/>
    <w:qFormat/>
    <w:uiPriority w:val="0"/>
    <w:pPr>
      <w:tabs>
        <w:tab w:val="center" w:pos="4153"/>
        <w:tab w:val="right" w:pos="8306"/>
      </w:tabs>
      <w:snapToGrid w:val="0"/>
      <w:jc w:val="left"/>
    </w:pPr>
    <w:rPr>
      <w:sz w:val="18"/>
      <w:szCs w:val="18"/>
    </w:rPr>
  </w:style>
  <w:style w:type="paragraph" w:styleId="23">
    <w:name w:val="List"/>
    <w:basedOn w:val="1"/>
    <w:qFormat/>
    <w:uiPriority w:val="0"/>
    <w:pPr>
      <w:ind w:left="200" w:hanging="200" w:hangingChars="200"/>
    </w:pPr>
  </w:style>
  <w:style w:type="paragraph" w:styleId="24">
    <w:name w:val="toc 6"/>
    <w:basedOn w:val="1"/>
    <w:next w:val="1"/>
    <w:qFormat/>
    <w:locked/>
    <w:uiPriority w:val="0"/>
    <w:pPr>
      <w:ind w:left="2100" w:leftChars="1000"/>
    </w:pPr>
  </w:style>
  <w:style w:type="paragraph" w:styleId="25">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26">
    <w:name w:val="toc 2"/>
    <w:basedOn w:val="1"/>
    <w:next w:val="1"/>
    <w:unhideWhenUsed/>
    <w:qFormat/>
    <w:locked/>
    <w:uiPriority w:val="39"/>
    <w:pPr>
      <w:ind w:left="420" w:leftChars="200"/>
    </w:pPr>
    <w:rPr>
      <w:rFonts w:ascii="Calibri" w:hAnsi="Calibri"/>
    </w:rPr>
  </w:style>
  <w:style w:type="paragraph" w:styleId="27">
    <w:name w:val="Message Header"/>
    <w:basedOn w:val="1"/>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28">
    <w:name w:val="Normal (Web)"/>
    <w:basedOn w:val="1"/>
    <w:link w:val="53"/>
    <w:qFormat/>
    <w:uiPriority w:val="0"/>
    <w:pPr>
      <w:widowControl/>
      <w:spacing w:before="100" w:beforeAutospacing="1" w:after="100" w:afterAutospacing="1"/>
      <w:jc w:val="left"/>
    </w:pPr>
    <w:rPr>
      <w:rFonts w:ascii="宋体" w:hAnsi="宋体"/>
      <w:kern w:val="0"/>
      <w:sz w:val="24"/>
    </w:rPr>
  </w:style>
  <w:style w:type="paragraph" w:styleId="29">
    <w:name w:val="annotation subject"/>
    <w:basedOn w:val="11"/>
    <w:next w:val="11"/>
    <w:link w:val="54"/>
    <w:semiHidden/>
    <w:qFormat/>
    <w:uiPriority w:val="0"/>
    <w:rPr>
      <w:b/>
      <w:bCs/>
    </w:rPr>
  </w:style>
  <w:style w:type="paragraph" w:styleId="30">
    <w:name w:val="Body Text First Indent"/>
    <w:basedOn w:val="1"/>
    <w:next w:val="31"/>
    <w:qFormat/>
    <w:uiPriority w:val="0"/>
    <w:pPr>
      <w:ind w:firstLine="420" w:firstLineChars="100"/>
    </w:pPr>
  </w:style>
  <w:style w:type="paragraph" w:customStyle="1" w:styleId="31">
    <w:name w:val="样式 正文首行缩进 + 首行缩进:  2 字符1"/>
    <w:basedOn w:val="30"/>
    <w:next w:val="19"/>
    <w:qFormat/>
    <w:uiPriority w:val="0"/>
    <w:pPr>
      <w:spacing w:line="360" w:lineRule="auto"/>
      <w:ind w:firstLine="480" w:firstLineChars="200"/>
    </w:pPr>
    <w:rPr>
      <w:sz w:val="24"/>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locked/>
    <w:uiPriority w:val="0"/>
    <w:rPr>
      <w:b/>
    </w:rPr>
  </w:style>
  <w:style w:type="character" w:styleId="36">
    <w:name w:val="page number"/>
    <w:basedOn w:val="34"/>
    <w:qFormat/>
    <w:uiPriority w:val="0"/>
    <w:rPr>
      <w:rFonts w:hint="default" w:ascii="Times New Roman" w:hAnsi="Times New Roman" w:cs="Times New Roman"/>
    </w:rPr>
  </w:style>
  <w:style w:type="character" w:styleId="37">
    <w:name w:val="FollowedHyperlink"/>
    <w:basedOn w:val="34"/>
    <w:qFormat/>
    <w:uiPriority w:val="0"/>
    <w:rPr>
      <w:color w:val="185ECF"/>
      <w:u w:val="none"/>
    </w:rPr>
  </w:style>
  <w:style w:type="character" w:styleId="38">
    <w:name w:val="Emphasis"/>
    <w:qFormat/>
    <w:locked/>
    <w:uiPriority w:val="0"/>
    <w:rPr>
      <w:i/>
    </w:rPr>
  </w:style>
  <w:style w:type="character" w:styleId="39">
    <w:name w:val="Hyperlink"/>
    <w:qFormat/>
    <w:uiPriority w:val="0"/>
    <w:rPr>
      <w:color w:val="0000FF"/>
      <w:u w:val="single"/>
    </w:rPr>
  </w:style>
  <w:style w:type="character" w:styleId="40">
    <w:name w:val="annotation reference"/>
    <w:semiHidden/>
    <w:qFormat/>
    <w:uiPriority w:val="0"/>
    <w:rPr>
      <w:sz w:val="21"/>
    </w:rPr>
  </w:style>
  <w:style w:type="paragraph" w:customStyle="1" w:styleId="41">
    <w:name w:val="xl27"/>
    <w:basedOn w:val="1"/>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2">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3">
    <w:name w:val="内容"/>
    <w:basedOn w:val="1"/>
    <w:qFormat/>
    <w:uiPriority w:val="0"/>
    <w:pPr>
      <w:spacing w:beforeLines="50" w:afterLines="50"/>
      <w:ind w:firstLine="200" w:firstLineChars="200"/>
    </w:pPr>
    <w:rPr>
      <w:color w:val="000000"/>
      <w:sz w:val="24"/>
    </w:rPr>
  </w:style>
  <w:style w:type="paragraph" w:customStyle="1" w:styleId="44">
    <w:name w:val="Default"/>
    <w:basedOn w:val="45"/>
    <w:next w:val="1"/>
    <w:qFormat/>
    <w:uiPriority w:val="0"/>
    <w:pPr>
      <w:widowControl w:val="0"/>
      <w:autoSpaceDE w:val="0"/>
      <w:autoSpaceDN w:val="0"/>
    </w:pPr>
    <w:rPr>
      <w:color w:val="000000"/>
    </w:rPr>
  </w:style>
  <w:style w:type="paragraph" w:customStyle="1" w:styleId="45">
    <w:name w:val="纯文本1"/>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46">
    <w:name w:val="批注文字 字符"/>
    <w:link w:val="11"/>
    <w:qFormat/>
    <w:locked/>
    <w:uiPriority w:val="0"/>
    <w:rPr>
      <w:rFonts w:ascii="Times New Roman" w:hAnsi="Times New Roman" w:eastAsia="宋体"/>
      <w:sz w:val="24"/>
    </w:rPr>
  </w:style>
  <w:style w:type="character" w:customStyle="1" w:styleId="47">
    <w:name w:val="正文文本 字符"/>
    <w:link w:val="2"/>
    <w:qFormat/>
    <w:locked/>
    <w:uiPriority w:val="0"/>
    <w:rPr>
      <w:sz w:val="18"/>
    </w:rPr>
  </w:style>
  <w:style w:type="character" w:customStyle="1" w:styleId="48">
    <w:name w:val="正文文本缩进 字符"/>
    <w:link w:val="15"/>
    <w:semiHidden/>
    <w:qFormat/>
    <w:locked/>
    <w:uiPriority w:val="0"/>
    <w:rPr>
      <w:rFonts w:ascii="Times New Roman" w:hAnsi="Times New Roman" w:eastAsia="宋体" w:cs="Times New Roman"/>
      <w:sz w:val="24"/>
      <w:szCs w:val="24"/>
    </w:rPr>
  </w:style>
  <w:style w:type="character" w:customStyle="1" w:styleId="49">
    <w:name w:val="日期 字符1"/>
    <w:link w:val="20"/>
    <w:qFormat/>
    <w:locked/>
    <w:uiPriority w:val="0"/>
    <w:rPr>
      <w:rFonts w:ascii="Times New Roman" w:hAnsi="Times New Roman" w:eastAsia="宋体"/>
      <w:sz w:val="24"/>
    </w:rPr>
  </w:style>
  <w:style w:type="character" w:customStyle="1" w:styleId="50">
    <w:name w:val="批注框文本 字符"/>
    <w:link w:val="13"/>
    <w:semiHidden/>
    <w:qFormat/>
    <w:locked/>
    <w:uiPriority w:val="0"/>
    <w:rPr>
      <w:rFonts w:ascii="Times New Roman" w:hAnsi="Times New Roman" w:eastAsia="宋体" w:cs="Times New Roman"/>
      <w:sz w:val="18"/>
      <w:szCs w:val="18"/>
    </w:rPr>
  </w:style>
  <w:style w:type="character" w:customStyle="1" w:styleId="51">
    <w:name w:val="页脚 字符"/>
    <w:link w:val="22"/>
    <w:qFormat/>
    <w:locked/>
    <w:uiPriority w:val="0"/>
    <w:rPr>
      <w:rFonts w:cs="Times New Roman"/>
      <w:sz w:val="18"/>
      <w:szCs w:val="18"/>
    </w:rPr>
  </w:style>
  <w:style w:type="character" w:customStyle="1" w:styleId="52">
    <w:name w:val="页眉 字符1"/>
    <w:link w:val="16"/>
    <w:qFormat/>
    <w:locked/>
    <w:uiPriority w:val="0"/>
    <w:rPr>
      <w:rFonts w:cs="Times New Roman"/>
      <w:sz w:val="18"/>
      <w:szCs w:val="18"/>
    </w:rPr>
  </w:style>
  <w:style w:type="character" w:customStyle="1" w:styleId="53">
    <w:name w:val="普通(网站) 字符"/>
    <w:link w:val="28"/>
    <w:qFormat/>
    <w:locked/>
    <w:uiPriority w:val="0"/>
    <w:rPr>
      <w:rFonts w:ascii="宋体" w:hAnsi="宋体" w:eastAsia="宋体"/>
      <w:sz w:val="24"/>
    </w:rPr>
  </w:style>
  <w:style w:type="character" w:customStyle="1" w:styleId="54">
    <w:name w:val="批注主题 字符"/>
    <w:link w:val="29"/>
    <w:semiHidden/>
    <w:qFormat/>
    <w:locked/>
    <w:uiPriority w:val="0"/>
    <w:rPr>
      <w:rFonts w:cs="Times New Roman"/>
      <w:b/>
      <w:bCs/>
      <w:kern w:val="2"/>
      <w:szCs w:val="24"/>
    </w:rPr>
  </w:style>
  <w:style w:type="character" w:customStyle="1" w:styleId="55">
    <w:name w:val="页眉 字符"/>
    <w:qFormat/>
    <w:uiPriority w:val="0"/>
    <w:rPr>
      <w:rFonts w:hint="default" w:ascii="Calibri" w:hAnsi="Calibri" w:cs="Calibri"/>
    </w:rPr>
  </w:style>
  <w:style w:type="character" w:customStyle="1" w:styleId="56">
    <w:name w:val="普通(网站) Char"/>
    <w:qFormat/>
    <w:locked/>
    <w:uiPriority w:val="0"/>
    <w:rPr>
      <w:rFonts w:ascii="宋体" w:hAnsi="宋体" w:eastAsia="宋体"/>
      <w:sz w:val="24"/>
    </w:rPr>
  </w:style>
  <w:style w:type="character" w:customStyle="1" w:styleId="57">
    <w:name w:val="日期 字符"/>
    <w:semiHidden/>
    <w:qFormat/>
    <w:uiPriority w:val="0"/>
    <w:rPr>
      <w:rFonts w:ascii="Times New Roman" w:hAnsi="Times New Roman" w:eastAsia="宋体" w:cs="Times New Roman"/>
      <w:sz w:val="24"/>
      <w:szCs w:val="24"/>
    </w:rPr>
  </w:style>
  <w:style w:type="character" w:customStyle="1" w:styleId="58">
    <w:name w:val="批注文字 字符1"/>
    <w:semiHidden/>
    <w:qFormat/>
    <w:uiPriority w:val="0"/>
    <w:rPr>
      <w:rFonts w:ascii="Times New Roman" w:hAnsi="Times New Roman" w:eastAsia="宋体" w:cs="Times New Roman"/>
      <w:sz w:val="24"/>
      <w:szCs w:val="24"/>
    </w:rPr>
  </w:style>
  <w:style w:type="character" w:customStyle="1" w:styleId="59">
    <w:name w:val="正文文本 字符1"/>
    <w:semiHidden/>
    <w:qFormat/>
    <w:uiPriority w:val="0"/>
    <w:rPr>
      <w:rFonts w:ascii="Times New Roman" w:hAnsi="Times New Roman" w:eastAsia="宋体" w:cs="Times New Roman"/>
      <w:sz w:val="24"/>
      <w:szCs w:val="24"/>
    </w:rPr>
  </w:style>
  <w:style w:type="character" w:customStyle="1" w:styleId="60">
    <w:name w:val="表格 Char"/>
    <w:link w:val="61"/>
    <w:qFormat/>
    <w:locked/>
    <w:uiPriority w:val="0"/>
    <w:rPr>
      <w:rFonts w:ascii="宋体"/>
      <w:sz w:val="21"/>
    </w:rPr>
  </w:style>
  <w:style w:type="paragraph" w:customStyle="1" w:styleId="61">
    <w:name w:val="表格"/>
    <w:basedOn w:val="9"/>
    <w:next w:val="1"/>
    <w:link w:val="60"/>
    <w:qFormat/>
    <w:uiPriority w:val="0"/>
    <w:pPr>
      <w:adjustRightInd w:val="0"/>
      <w:snapToGrid w:val="0"/>
      <w:spacing w:beforeLines="10" w:afterLines="10" w:line="259" w:lineRule="auto"/>
      <w:jc w:val="center"/>
    </w:pPr>
    <w:rPr>
      <w:rFonts w:ascii="宋体"/>
      <w:kern w:val="0"/>
      <w:sz w:val="20"/>
      <w:szCs w:val="21"/>
    </w:rPr>
  </w:style>
  <w:style w:type="character" w:customStyle="1" w:styleId="62">
    <w:name w:val="apple-converted-space"/>
    <w:qFormat/>
    <w:uiPriority w:val="0"/>
    <w:rPr>
      <w:rFonts w:hint="default" w:ascii="Times New Roman" w:hAnsi="Times New Roman" w:cs="Times New Roman"/>
    </w:rPr>
  </w:style>
  <w:style w:type="paragraph" w:customStyle="1" w:styleId="63">
    <w:name w:val="样式 标题 1 + 首行缩进:  2 字符"/>
    <w:basedOn w:val="5"/>
    <w:qFormat/>
    <w:uiPriority w:val="0"/>
    <w:pPr>
      <w:spacing w:before="0" w:after="0" w:line="720" w:lineRule="auto"/>
      <w:ind w:firstLine="200" w:firstLineChars="200"/>
      <w:jc w:val="center"/>
    </w:pPr>
    <w:rPr>
      <w:rFonts w:ascii="黑体" w:cs="宋体"/>
      <w:kern w:val="2"/>
      <w:sz w:val="36"/>
      <w:szCs w:val="20"/>
    </w:rPr>
  </w:style>
  <w:style w:type="paragraph" w:customStyle="1" w:styleId="64">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65">
    <w:name w:val="表格标题"/>
    <w:basedOn w:val="1"/>
    <w:next w:val="1"/>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66">
    <w:name w:val="【表头】"/>
    <w:basedOn w:val="1"/>
    <w:qFormat/>
    <w:uiPriority w:val="0"/>
    <w:pPr>
      <w:spacing w:line="460" w:lineRule="exact"/>
      <w:jc w:val="center"/>
    </w:pPr>
    <w:rPr>
      <w:rFonts w:eastAsia="黑体"/>
      <w:sz w:val="24"/>
    </w:rPr>
  </w:style>
  <w:style w:type="paragraph" w:customStyle="1" w:styleId="67">
    <w:name w:val="【正文】"/>
    <w:basedOn w:val="1"/>
    <w:next w:val="27"/>
    <w:qFormat/>
    <w:uiPriority w:val="0"/>
    <w:pPr>
      <w:spacing w:line="440" w:lineRule="exact"/>
      <w:ind w:firstLine="544"/>
    </w:pPr>
    <w:rPr>
      <w:rFonts w:cs="宋体"/>
      <w:szCs w:val="20"/>
    </w:rPr>
  </w:style>
  <w:style w:type="paragraph" w:customStyle="1" w:styleId="68">
    <w:name w:val="正文00"/>
    <w:basedOn w:val="1"/>
    <w:qFormat/>
    <w:uiPriority w:val="0"/>
    <w:pPr>
      <w:widowControl/>
      <w:spacing w:line="425" w:lineRule="atLeast"/>
      <w:ind w:left="107" w:leftChars="51" w:right="124" w:rightChars="59" w:firstLine="480"/>
      <w:textAlignment w:val="baseline"/>
    </w:pPr>
    <w:rPr>
      <w:rFonts w:ascii="Calibri"/>
      <w:sz w:val="28"/>
    </w:rPr>
  </w:style>
  <w:style w:type="paragraph" w:customStyle="1" w:styleId="69">
    <w:name w:val="表头"/>
    <w:basedOn w:val="23"/>
    <w:next w:val="1"/>
    <w:qFormat/>
    <w:uiPriority w:val="0"/>
    <w:rPr>
      <w:rFonts w:eastAsia="黑体"/>
    </w:rPr>
  </w:style>
  <w:style w:type="paragraph" w:customStyle="1" w:styleId="70">
    <w:name w:val="样式4"/>
    <w:basedOn w:val="2"/>
    <w:qFormat/>
    <w:uiPriority w:val="0"/>
    <w:pPr>
      <w:adjustRightInd w:val="0"/>
      <w:jc w:val="center"/>
    </w:pPr>
    <w:rPr>
      <w:sz w:val="24"/>
    </w:rPr>
  </w:style>
  <w:style w:type="paragraph" w:customStyle="1" w:styleId="71">
    <w:name w:val="Table Paragraph"/>
    <w:basedOn w:val="1"/>
    <w:unhideWhenUsed/>
    <w:qFormat/>
    <w:uiPriority w:val="1"/>
    <w:rPr>
      <w:sz w:val="24"/>
    </w:rPr>
  </w:style>
  <w:style w:type="paragraph" w:customStyle="1" w:styleId="72">
    <w:name w:val="煤炭资源普查报告格式"/>
    <w:basedOn w:val="1"/>
    <w:qFormat/>
    <w:uiPriority w:val="0"/>
    <w:pPr>
      <w:spacing w:line="500" w:lineRule="exact"/>
    </w:pPr>
  </w:style>
  <w:style w:type="paragraph" w:customStyle="1" w:styleId="73">
    <w:name w:val="表头文字"/>
    <w:basedOn w:val="1"/>
    <w:qFormat/>
    <w:uiPriority w:val="0"/>
    <w:pPr>
      <w:adjustRightInd w:val="0"/>
      <w:jc w:val="center"/>
    </w:pPr>
    <w:rPr>
      <w:sz w:val="28"/>
      <w:szCs w:val="20"/>
    </w:rPr>
  </w:style>
  <w:style w:type="paragraph" w:customStyle="1" w:styleId="74">
    <w:name w:val="标题4"/>
    <w:basedOn w:val="68"/>
    <w:qFormat/>
    <w:uiPriority w:val="0"/>
    <w:pPr>
      <w:ind w:left="51" w:right="59" w:firstLine="100" w:firstLineChars="100"/>
    </w:pPr>
    <w:rPr>
      <w:b/>
    </w:rPr>
  </w:style>
  <w:style w:type="paragraph" w:customStyle="1" w:styleId="75">
    <w:name w:val="正文----------------"/>
    <w:basedOn w:val="1"/>
    <w:qFormat/>
    <w:uiPriority w:val="0"/>
    <w:pPr>
      <w:spacing w:line="440" w:lineRule="exact"/>
      <w:ind w:firstLine="544" w:firstLineChars="200"/>
    </w:pPr>
    <w:rPr>
      <w:rFonts w:ascii="Calibri" w:cs="宋体"/>
      <w:spacing w:val="16"/>
      <w:szCs w:val="20"/>
    </w:rPr>
  </w:style>
  <w:style w:type="paragraph" w:customStyle="1" w:styleId="76">
    <w:name w:val="表文"/>
    <w:basedOn w:val="1"/>
    <w:qFormat/>
    <w:uiPriority w:val="0"/>
    <w:pPr>
      <w:tabs>
        <w:tab w:val="left" w:pos="6480"/>
      </w:tabs>
      <w:spacing w:line="360" w:lineRule="exact"/>
    </w:pPr>
    <w:rPr>
      <w:rFonts w:ascii="宋体" w:hAnsi="宋体"/>
      <w:sz w:val="24"/>
    </w:rPr>
  </w:style>
  <w:style w:type="paragraph" w:customStyle="1" w:styleId="77">
    <w:name w:val="表格文字"/>
    <w:basedOn w:val="1"/>
    <w:link w:val="145"/>
    <w:qFormat/>
    <w:uiPriority w:val="0"/>
    <w:pPr>
      <w:jc w:val="center"/>
    </w:pPr>
    <w:rPr>
      <w:rFonts w:ascii="new times roma" w:hAnsi="new times roma"/>
    </w:rPr>
  </w:style>
  <w:style w:type="paragraph" w:styleId="78">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79">
    <w:name w:val="表格内容"/>
    <w:basedOn w:val="80"/>
    <w:next w:val="1"/>
    <w:qFormat/>
    <w:uiPriority w:val="0"/>
    <w:pPr>
      <w:spacing w:line="240" w:lineRule="exact"/>
    </w:pPr>
    <w:rPr>
      <w:snapToGrid w:val="0"/>
      <w:color w:val="FF0000"/>
      <w:kern w:val="0"/>
      <w:sz w:val="21"/>
      <w:szCs w:val="21"/>
    </w:rPr>
  </w:style>
  <w:style w:type="paragraph" w:customStyle="1" w:styleId="80">
    <w:name w:val="封皮-证书编号"/>
    <w:basedOn w:val="1"/>
    <w:qFormat/>
    <w:uiPriority w:val="0"/>
    <w:pPr>
      <w:jc w:val="center"/>
    </w:pPr>
    <w:rPr>
      <w:rFonts w:eastAsia="黑体"/>
      <w:sz w:val="28"/>
    </w:rPr>
  </w:style>
  <w:style w:type="paragraph" w:customStyle="1" w:styleId="8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2">
    <w:name w:val="表头-------------"/>
    <w:basedOn w:val="1"/>
    <w:qFormat/>
    <w:uiPriority w:val="0"/>
    <w:pPr>
      <w:spacing w:line="460" w:lineRule="exact"/>
      <w:jc w:val="center"/>
    </w:pPr>
    <w:rPr>
      <w:rFonts w:ascii="Calibri" w:eastAsia="黑体" w:cs="宋体"/>
      <w:szCs w:val="20"/>
    </w:rPr>
  </w:style>
  <w:style w:type="paragraph" w:customStyle="1" w:styleId="83">
    <w:name w:val="BodyText"/>
    <w:basedOn w:val="1"/>
    <w:qFormat/>
    <w:uiPriority w:val="0"/>
    <w:pPr>
      <w:textAlignment w:val="baseline"/>
    </w:pPr>
    <w:rPr>
      <w:rFonts w:ascii="宋体" w:hAnsi="宋体"/>
      <w:szCs w:val="21"/>
    </w:rPr>
  </w:style>
  <w:style w:type="paragraph" w:customStyle="1" w:styleId="84">
    <w:name w:val="正文01"/>
    <w:basedOn w:val="1"/>
    <w:qFormat/>
    <w:uiPriority w:val="0"/>
    <w:pPr>
      <w:spacing w:before="60" w:line="460" w:lineRule="exact"/>
      <w:ind w:firstLine="200" w:firstLineChars="200"/>
    </w:pPr>
    <w:rPr>
      <w:snapToGrid w:val="0"/>
      <w:kern w:val="0"/>
      <w:sz w:val="24"/>
    </w:rPr>
  </w:style>
  <w:style w:type="paragraph" w:customStyle="1" w:styleId="85">
    <w:name w:val="样式 正文文字-1 + 首行缩进:  2.1 字符1"/>
    <w:basedOn w:val="86"/>
    <w:qFormat/>
    <w:uiPriority w:val="0"/>
    <w:pPr>
      <w:spacing w:line="440" w:lineRule="exact"/>
      <w:ind w:firstLine="210"/>
    </w:pPr>
    <w:rPr>
      <w:rFonts w:cs="宋体"/>
      <w:szCs w:val="20"/>
    </w:rPr>
  </w:style>
  <w:style w:type="paragraph" w:customStyle="1" w:styleId="86">
    <w:name w:val="正文文字-1 Char"/>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87">
    <w:name w:val="表格正文"/>
    <w:basedOn w:val="1"/>
    <w:qFormat/>
    <w:uiPriority w:val="0"/>
    <w:pPr>
      <w:spacing w:line="360" w:lineRule="exact"/>
      <w:ind w:firstLine="640" w:firstLineChars="200"/>
      <w:jc w:val="center"/>
    </w:pPr>
    <w:rPr>
      <w:sz w:val="28"/>
      <w:szCs w:val="28"/>
    </w:rPr>
  </w:style>
  <w:style w:type="paragraph" w:customStyle="1" w:styleId="88">
    <w:name w:val="Table caption|1"/>
    <w:basedOn w:val="1"/>
    <w:qFormat/>
    <w:uiPriority w:val="0"/>
    <w:rPr>
      <w:rFonts w:ascii="宋体" w:hAnsi="宋体" w:cs="宋体"/>
      <w:sz w:val="13"/>
      <w:szCs w:val="13"/>
      <w:lang w:val="zh-TW" w:eastAsia="zh-TW" w:bidi="zh-TW"/>
    </w:rPr>
  </w:style>
  <w:style w:type="paragraph" w:customStyle="1" w:styleId="89">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90">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91">
    <w:name w:val="正文_14"/>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2">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styleId="93">
    <w:name w:val="List Paragraph"/>
    <w:basedOn w:val="1"/>
    <w:qFormat/>
    <w:uiPriority w:val="34"/>
    <w:pPr>
      <w:ind w:firstLine="420" w:firstLineChars="200"/>
    </w:pPr>
    <w:rPr>
      <w:szCs w:val="22"/>
    </w:rPr>
  </w:style>
  <w:style w:type="paragraph" w:customStyle="1" w:styleId="94">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95">
    <w:name w:val="样式 Times New Roman 五号 居中1"/>
    <w:basedOn w:val="1"/>
    <w:qFormat/>
    <w:uiPriority w:val="0"/>
    <w:pPr>
      <w:jc w:val="center"/>
    </w:pPr>
    <w:rPr>
      <w:rFonts w:cs="宋体"/>
      <w:szCs w:val="20"/>
    </w:rPr>
  </w:style>
  <w:style w:type="paragraph" w:customStyle="1" w:styleId="96">
    <w:name w:val="_Style 3"/>
    <w:basedOn w:val="1"/>
    <w:qFormat/>
    <w:uiPriority w:val="34"/>
    <w:pPr>
      <w:ind w:firstLine="420" w:firstLineChars="200"/>
    </w:pPr>
    <w:rPr>
      <w:rFonts w:ascii="Calibri" w:hAnsi="Calibri"/>
      <w:szCs w:val="22"/>
    </w:rPr>
  </w:style>
  <w:style w:type="paragraph" w:customStyle="1" w:styleId="97">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98">
    <w:name w:val="Body text|4"/>
    <w:basedOn w:val="1"/>
    <w:qFormat/>
    <w:uiPriority w:val="0"/>
    <w:pPr>
      <w:spacing w:line="434" w:lineRule="auto"/>
      <w:ind w:firstLine="500"/>
    </w:pPr>
    <w:rPr>
      <w:color w:val="FF0000"/>
    </w:rPr>
  </w:style>
  <w:style w:type="paragraph" w:customStyle="1" w:styleId="99">
    <w:name w:val="Body text|1"/>
    <w:basedOn w:val="1"/>
    <w:qFormat/>
    <w:uiPriority w:val="0"/>
    <w:pPr>
      <w:spacing w:line="480" w:lineRule="auto"/>
      <w:ind w:firstLine="400"/>
    </w:pPr>
    <w:rPr>
      <w:rFonts w:ascii="宋体" w:hAnsi="宋体" w:cs="宋体"/>
      <w:sz w:val="22"/>
      <w:szCs w:val="22"/>
      <w:lang w:val="zh-TW" w:eastAsia="zh-TW" w:bidi="zh-TW"/>
    </w:rPr>
  </w:style>
  <w:style w:type="paragraph" w:customStyle="1" w:styleId="100">
    <w:name w:val="Other|1"/>
    <w:basedOn w:val="1"/>
    <w:qFormat/>
    <w:uiPriority w:val="0"/>
    <w:pPr>
      <w:jc w:val="center"/>
    </w:pPr>
    <w:rPr>
      <w:rFonts w:ascii="宋体" w:hAnsi="宋体" w:cs="宋体"/>
      <w:sz w:val="20"/>
      <w:szCs w:val="20"/>
      <w:lang w:val="zh-TW" w:eastAsia="zh-TW" w:bidi="zh-TW"/>
    </w:rPr>
  </w:style>
  <w:style w:type="paragraph" w:customStyle="1" w:styleId="101">
    <w:name w:val="首行缩进表格正文"/>
    <w:basedOn w:val="1"/>
    <w:qFormat/>
    <w:uiPriority w:val="0"/>
    <w:pPr>
      <w:spacing w:line="360" w:lineRule="auto"/>
      <w:ind w:firstLine="720" w:firstLineChars="200"/>
      <w:jc w:val="left"/>
    </w:pPr>
  </w:style>
  <w:style w:type="paragraph" w:customStyle="1" w:styleId="102">
    <w:name w:val="C首行缩进正文"/>
    <w:basedOn w:val="67"/>
    <w:qFormat/>
    <w:uiPriority w:val="0"/>
    <w:pPr>
      <w:spacing w:line="360" w:lineRule="auto"/>
      <w:ind w:firstLine="200"/>
    </w:pPr>
    <w:rPr>
      <w:color w:val="000000"/>
    </w:rPr>
  </w:style>
  <w:style w:type="paragraph" w:customStyle="1" w:styleId="103">
    <w:name w:val="C【表中文字】-"/>
    <w:basedOn w:val="1"/>
    <w:qFormat/>
    <w:uiPriority w:val="0"/>
    <w:pPr>
      <w:adjustRightInd w:val="0"/>
      <w:snapToGrid w:val="0"/>
      <w:jc w:val="center"/>
    </w:pPr>
    <w:rPr>
      <w:kern w:val="0"/>
      <w:szCs w:val="20"/>
    </w:rPr>
  </w:style>
  <w:style w:type="paragraph" w:customStyle="1" w:styleId="104">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05">
    <w:name w:val="11111"/>
    <w:basedOn w:val="1"/>
    <w:next w:val="1"/>
    <w:qFormat/>
    <w:uiPriority w:val="0"/>
    <w:pPr>
      <w:spacing w:line="360" w:lineRule="auto"/>
      <w:ind w:firstLine="200" w:firstLineChars="200"/>
    </w:pPr>
    <w:rPr>
      <w:rFonts w:hAnsi="宋体" w:cs="宋体"/>
    </w:rPr>
  </w:style>
  <w:style w:type="character" w:customStyle="1" w:styleId="106">
    <w:name w:val="chakan"/>
    <w:basedOn w:val="34"/>
    <w:qFormat/>
    <w:uiPriority w:val="0"/>
    <w:rPr>
      <w:color w:val="0064EA"/>
    </w:rPr>
  </w:style>
  <w:style w:type="character" w:customStyle="1" w:styleId="107">
    <w:name w:val="checkbox2"/>
    <w:basedOn w:val="34"/>
    <w:qFormat/>
    <w:uiPriority w:val="0"/>
  </w:style>
  <w:style w:type="character" w:customStyle="1" w:styleId="108">
    <w:name w:val="shenbao"/>
    <w:basedOn w:val="34"/>
    <w:qFormat/>
    <w:uiPriority w:val="0"/>
    <w:rPr>
      <w:color w:val="EF6334"/>
    </w:rPr>
  </w:style>
  <w:style w:type="character" w:customStyle="1" w:styleId="109">
    <w:name w:val="checkbox"/>
    <w:basedOn w:val="34"/>
    <w:qFormat/>
    <w:uiPriority w:val="0"/>
  </w:style>
  <w:style w:type="paragraph" w:customStyle="1" w:styleId="110">
    <w:name w:val="表中"/>
    <w:basedOn w:val="1"/>
    <w:qFormat/>
    <w:uiPriority w:val="0"/>
    <w:pPr>
      <w:spacing w:line="240" w:lineRule="exact"/>
    </w:pPr>
    <w:rPr>
      <w:szCs w:val="21"/>
    </w:rPr>
  </w:style>
  <w:style w:type="paragraph" w:customStyle="1" w:styleId="111">
    <w:name w:val="TOC2"/>
    <w:basedOn w:val="1"/>
    <w:next w:val="1"/>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2">
    <w:name w:val="中文报告书样式"/>
    <w:basedOn w:val="1"/>
    <w:qFormat/>
    <w:uiPriority w:val="0"/>
    <w:pPr>
      <w:adjustRightInd w:val="0"/>
      <w:spacing w:line="480" w:lineRule="atLeast"/>
      <w:ind w:firstLine="482"/>
      <w:textAlignment w:val="baseline"/>
    </w:pPr>
    <w:rPr>
      <w:kern w:val="24"/>
      <w:szCs w:val="20"/>
    </w:rPr>
  </w:style>
  <w:style w:type="paragraph" w:customStyle="1" w:styleId="113">
    <w:name w:val="UserStyle_0"/>
    <w:basedOn w:val="114"/>
    <w:next w:val="115"/>
    <w:qFormat/>
    <w:uiPriority w:val="0"/>
    <w:pPr>
      <w:spacing w:line="360" w:lineRule="auto"/>
      <w:ind w:firstLine="480" w:firstLineChars="200"/>
    </w:pPr>
    <w:rPr>
      <w:rFonts w:ascii="Calibri" w:hAnsi="Calibri"/>
      <w:sz w:val="24"/>
      <w:szCs w:val="22"/>
    </w:rPr>
  </w:style>
  <w:style w:type="paragraph" w:customStyle="1" w:styleId="114">
    <w:name w:val="UserStyle_1"/>
    <w:basedOn w:val="1"/>
    <w:next w:val="1"/>
    <w:qFormat/>
    <w:uiPriority w:val="0"/>
    <w:pPr>
      <w:spacing w:after="120"/>
      <w:textAlignment w:val="baseline"/>
    </w:pPr>
  </w:style>
  <w:style w:type="paragraph" w:customStyle="1" w:styleId="115">
    <w:name w:val="TOC1"/>
    <w:basedOn w:val="1"/>
    <w:next w:val="1"/>
    <w:qFormat/>
    <w:uiPriority w:val="0"/>
    <w:pPr>
      <w:spacing w:line="360" w:lineRule="auto"/>
      <w:textAlignment w:val="baseline"/>
    </w:pPr>
    <w:rPr>
      <w:rFonts w:ascii="Calibri" w:hAnsi="Calibri"/>
      <w:b/>
      <w:sz w:val="24"/>
      <w:szCs w:val="22"/>
    </w:rPr>
  </w:style>
  <w:style w:type="character" w:customStyle="1" w:styleId="116">
    <w:name w:val="NormalCharacter"/>
    <w:qFormat/>
    <w:uiPriority w:val="0"/>
    <w:rPr>
      <w:kern w:val="2"/>
      <w:sz w:val="21"/>
      <w:szCs w:val="24"/>
      <w:lang w:val="en-US" w:eastAsia="zh-CN" w:bidi="ar-SA"/>
    </w:rPr>
  </w:style>
  <w:style w:type="paragraph" w:customStyle="1" w:styleId="117">
    <w:name w:val="表头1"/>
    <w:basedOn w:val="118"/>
    <w:next w:val="1"/>
    <w:qFormat/>
    <w:uiPriority w:val="0"/>
    <w:pPr>
      <w:spacing w:before="120" w:beforeLines="50"/>
    </w:pPr>
  </w:style>
  <w:style w:type="paragraph" w:customStyle="1" w:styleId="118">
    <w:name w:val="文华表标题"/>
    <w:basedOn w:val="119"/>
    <w:qFormat/>
    <w:uiPriority w:val="0"/>
    <w:pPr>
      <w:spacing w:line="240" w:lineRule="auto"/>
      <w:ind w:firstLine="0"/>
      <w:jc w:val="center"/>
    </w:pPr>
    <w:rPr>
      <w:rFonts w:eastAsia="黑体"/>
    </w:rPr>
  </w:style>
  <w:style w:type="paragraph" w:customStyle="1" w:styleId="119">
    <w:name w:val="文华表正文"/>
    <w:basedOn w:val="64"/>
    <w:qFormat/>
    <w:uiPriority w:val="0"/>
  </w:style>
  <w:style w:type="paragraph" w:customStyle="1" w:styleId="120">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1">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2">
    <w:name w:val="文华表1级标题1"/>
    <w:basedOn w:val="5"/>
    <w:next w:val="123"/>
    <w:qFormat/>
    <w:uiPriority w:val="0"/>
    <w:pPr>
      <w:keepNext w:val="0"/>
    </w:pPr>
    <w:rPr>
      <w:kern w:val="4"/>
      <w:sz w:val="28"/>
    </w:rPr>
  </w:style>
  <w:style w:type="paragraph" w:customStyle="1" w:styleId="123">
    <w:name w:val="文本正文"/>
    <w:basedOn w:val="1"/>
    <w:qFormat/>
    <w:uiPriority w:val="0"/>
    <w:pPr>
      <w:spacing w:line="360" w:lineRule="auto"/>
      <w:ind w:firstLine="480" w:firstLineChars="200"/>
    </w:pPr>
    <w:rPr>
      <w:rFonts w:ascii="Calibri" w:hAnsi="Calibri"/>
      <w:sz w:val="24"/>
    </w:rPr>
  </w:style>
  <w:style w:type="paragraph" w:customStyle="1" w:styleId="124">
    <w:name w:val="zxzx书正文"/>
    <w:basedOn w:val="1"/>
    <w:qFormat/>
    <w:uiPriority w:val="0"/>
    <w:pPr>
      <w:widowControl/>
      <w:spacing w:line="440" w:lineRule="exact"/>
      <w:ind w:firstLine="880" w:firstLineChars="200"/>
      <w:jc w:val="left"/>
    </w:pPr>
    <w:rPr>
      <w:sz w:val="24"/>
    </w:rPr>
  </w:style>
  <w:style w:type="paragraph" w:customStyle="1" w:styleId="125">
    <w:name w:val="正文--环评"/>
    <w:basedOn w:val="1"/>
    <w:qFormat/>
    <w:uiPriority w:val="0"/>
    <w:pPr>
      <w:spacing w:line="360" w:lineRule="auto"/>
      <w:ind w:firstLine="480" w:firstLineChars="200"/>
    </w:pPr>
    <w:rPr>
      <w:rFonts w:cs="宋体"/>
      <w:color w:val="000000"/>
      <w:spacing w:val="0"/>
      <w:sz w:val="24"/>
    </w:rPr>
  </w:style>
  <w:style w:type="paragraph" w:customStyle="1" w:styleId="126">
    <w:name w:val="表中文字（工大）"/>
    <w:basedOn w:val="1"/>
    <w:qFormat/>
    <w:uiPriority w:val="0"/>
    <w:pPr>
      <w:spacing w:line="440" w:lineRule="exact"/>
      <w:jc w:val="center"/>
    </w:pPr>
    <w:rPr>
      <w:sz w:val="21"/>
      <w:szCs w:val="20"/>
    </w:rPr>
  </w:style>
  <w:style w:type="character" w:customStyle="1" w:styleId="127">
    <w:name w:val="font11"/>
    <w:basedOn w:val="34"/>
    <w:qFormat/>
    <w:uiPriority w:val="0"/>
    <w:rPr>
      <w:rFonts w:hint="default" w:ascii="Times New Roman" w:hAnsi="Times New Roman" w:cs="Times New Roman"/>
      <w:color w:val="000000"/>
      <w:sz w:val="18"/>
      <w:szCs w:val="18"/>
      <w:u w:val="none"/>
    </w:rPr>
  </w:style>
  <w:style w:type="character" w:customStyle="1" w:styleId="128">
    <w:name w:val="font21"/>
    <w:basedOn w:val="34"/>
    <w:qFormat/>
    <w:uiPriority w:val="0"/>
    <w:rPr>
      <w:rFonts w:hint="eastAsia" w:ascii="宋体" w:hAnsi="宋体" w:eastAsia="宋体" w:cs="宋体"/>
      <w:color w:val="000000"/>
      <w:sz w:val="18"/>
      <w:szCs w:val="18"/>
      <w:u w:val="none"/>
    </w:rPr>
  </w:style>
  <w:style w:type="paragraph" w:customStyle="1" w:styleId="129">
    <w:name w:val="文本框样式"/>
    <w:basedOn w:val="1"/>
    <w:qFormat/>
    <w:uiPriority w:val="0"/>
    <w:pPr>
      <w:spacing w:line="240" w:lineRule="auto"/>
      <w:ind w:firstLine="0" w:firstLineChars="0"/>
      <w:jc w:val="center"/>
    </w:pPr>
    <w:rPr>
      <w:sz w:val="21"/>
    </w:rPr>
  </w:style>
  <w:style w:type="paragraph" w:customStyle="1" w:styleId="130">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1">
    <w:name w:val="cucd-0"/>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2">
    <w:name w:val="段落正文"/>
    <w:basedOn w:val="1"/>
    <w:qFormat/>
    <w:uiPriority w:val="0"/>
    <w:pPr>
      <w:widowControl w:val="0"/>
      <w:spacing w:line="500" w:lineRule="atLeast"/>
    </w:pPr>
    <w:rPr>
      <w:rFonts w:eastAsia="仿宋_GB2312"/>
      <w:szCs w:val="28"/>
    </w:rPr>
  </w:style>
  <w:style w:type="character" w:customStyle="1" w:styleId="133">
    <w:name w:val="标题 1 Char1"/>
    <w:link w:val="5"/>
    <w:qFormat/>
    <w:uiPriority w:val="0"/>
    <w:rPr>
      <w:rFonts w:eastAsia="黑体"/>
      <w:b/>
      <w:bCs/>
      <w:color w:val="000000"/>
      <w:kern w:val="44"/>
      <w:sz w:val="30"/>
      <w:szCs w:val="30"/>
    </w:rPr>
  </w:style>
  <w:style w:type="character" w:customStyle="1" w:styleId="134">
    <w:name w:val="标题 2 Char"/>
    <w:link w:val="6"/>
    <w:qFormat/>
    <w:uiPriority w:val="0"/>
    <w:rPr>
      <w:rFonts w:ascii="Arial" w:hAnsi="Arial" w:eastAsia="黑体"/>
      <w:b/>
      <w:bCs/>
      <w:sz w:val="32"/>
      <w:szCs w:val="32"/>
    </w:rPr>
  </w:style>
  <w:style w:type="paragraph" w:customStyle="1" w:styleId="135">
    <w:name w:val="表体"/>
    <w:basedOn w:val="1"/>
    <w:qFormat/>
    <w:uiPriority w:val="0"/>
    <w:pPr>
      <w:spacing w:line="240" w:lineRule="auto"/>
    </w:pPr>
    <w:rPr>
      <w:sz w:val="21"/>
      <w:szCs w:val="21"/>
    </w:rPr>
  </w:style>
  <w:style w:type="paragraph" w:customStyle="1" w:styleId="136">
    <w:name w:val="Char Char Char Char Char Char Char2"/>
    <w:basedOn w:val="1"/>
    <w:qFormat/>
    <w:uiPriority w:val="0"/>
    <w:pPr>
      <w:snapToGrid w:val="0"/>
      <w:spacing w:line="360" w:lineRule="auto"/>
      <w:ind w:firstLine="529" w:firstLineChars="200"/>
    </w:pPr>
  </w:style>
  <w:style w:type="paragraph" w:customStyle="1" w:styleId="137">
    <w:name w:val="表格题目"/>
    <w:basedOn w:val="1"/>
    <w:qFormat/>
    <w:uiPriority w:val="0"/>
    <w:pPr>
      <w:spacing w:line="240" w:lineRule="atLeast"/>
      <w:jc w:val="center"/>
    </w:pPr>
    <w:rPr>
      <w:rFonts w:ascii="黑体" w:hAnsi="宋体" w:eastAsia="黑体"/>
      <w:sz w:val="24"/>
    </w:rPr>
  </w:style>
  <w:style w:type="table" w:customStyle="1" w:styleId="138">
    <w:name w:val="Table Normal"/>
    <w:semiHidden/>
    <w:unhideWhenUsed/>
    <w:qFormat/>
    <w:uiPriority w:val="0"/>
    <w:tblPr>
      <w:tblCellMar>
        <w:top w:w="0" w:type="dxa"/>
        <w:left w:w="0" w:type="dxa"/>
        <w:bottom w:w="0" w:type="dxa"/>
        <w:right w:w="0" w:type="dxa"/>
      </w:tblCellMar>
    </w:tblPr>
  </w:style>
  <w:style w:type="character" w:customStyle="1" w:styleId="139">
    <w:name w:val="正文（首行缩进两字） Char"/>
    <w:qFormat/>
    <w:uiPriority w:val="0"/>
    <w:rPr>
      <w:rFonts w:eastAsia="宋体"/>
      <w:kern w:val="2"/>
      <w:sz w:val="24"/>
      <w:lang w:val="en-US" w:eastAsia="zh-CN"/>
    </w:rPr>
  </w:style>
  <w:style w:type="paragraph" w:customStyle="1" w:styleId="140">
    <w:name w:val="表中文字"/>
    <w:basedOn w:val="1"/>
    <w:qFormat/>
    <w:uiPriority w:val="0"/>
    <w:pPr>
      <w:jc w:val="center"/>
    </w:pPr>
    <w:rPr>
      <w:szCs w:val="20"/>
    </w:rPr>
  </w:style>
  <w:style w:type="paragraph" w:customStyle="1" w:styleId="141">
    <w:name w:val="正文格式"/>
    <w:basedOn w:val="1"/>
    <w:qFormat/>
    <w:uiPriority w:val="0"/>
    <w:pPr>
      <w:spacing w:line="360" w:lineRule="auto"/>
      <w:ind w:firstLine="482"/>
    </w:pPr>
  </w:style>
  <w:style w:type="paragraph" w:customStyle="1" w:styleId="142">
    <w:name w:val="Table Text"/>
    <w:basedOn w:val="1"/>
    <w:semiHidden/>
    <w:qFormat/>
    <w:uiPriority w:val="0"/>
    <w:rPr>
      <w:rFonts w:ascii="宋体" w:hAnsi="宋体" w:eastAsia="宋体" w:cs="宋体"/>
      <w:sz w:val="24"/>
      <w:szCs w:val="24"/>
      <w:lang w:val="en-US" w:eastAsia="en-US" w:bidi="ar-SA"/>
    </w:rPr>
  </w:style>
  <w:style w:type="paragraph" w:customStyle="1" w:styleId="143">
    <w:name w:val="【表中文字】"/>
    <w:basedOn w:val="1"/>
    <w:qFormat/>
    <w:uiPriority w:val="0"/>
    <w:pPr>
      <w:jc w:val="center"/>
    </w:pPr>
    <w:rPr>
      <w:kern w:val="0"/>
      <w:szCs w:val="20"/>
    </w:rPr>
  </w:style>
  <w:style w:type="paragraph" w:customStyle="1" w:styleId="144">
    <w:name w:val="a正文"/>
    <w:basedOn w:val="141"/>
    <w:qFormat/>
    <w:uiPriority w:val="0"/>
    <w:pPr>
      <w:spacing w:line="520" w:lineRule="exact"/>
      <w:ind w:firstLine="200" w:firstLineChars="200"/>
    </w:pPr>
    <w:rPr>
      <w:kern w:val="0"/>
      <w:szCs w:val="21"/>
    </w:rPr>
  </w:style>
  <w:style w:type="character" w:customStyle="1" w:styleId="145">
    <w:name w:val="表格文字 Char"/>
    <w:link w:val="77"/>
    <w:qFormat/>
    <w:uiPriority w:val="0"/>
    <w:rPr>
      <w:rFonts w:ascii="new times roma" w:hAnsi="new times roma"/>
    </w:rPr>
  </w:style>
  <w:style w:type="paragraph" w:customStyle="1" w:styleId="146">
    <w:name w:val="表表头"/>
    <w:basedOn w:val="1"/>
    <w:qFormat/>
    <w:uiPriority w:val="0"/>
    <w:pPr>
      <w:jc w:val="center"/>
    </w:pPr>
    <w:rPr>
      <w:rFonts w:ascii="Calibri" w:hAnsi="Calibri" w:eastAsia="黑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45.jpeg"/><Relationship Id="rId7" Type="http://schemas.openxmlformats.org/officeDocument/2006/relationships/theme" Target="theme/theme1.xml"/><Relationship Id="rId69" Type="http://schemas.openxmlformats.org/officeDocument/2006/relationships/image" Target="media/image44.jpeg"/><Relationship Id="rId68" Type="http://schemas.openxmlformats.org/officeDocument/2006/relationships/image" Target="media/image43.jpeg"/><Relationship Id="rId67" Type="http://schemas.openxmlformats.org/officeDocument/2006/relationships/image" Target="media/image42.png"/><Relationship Id="rId66" Type="http://schemas.openxmlformats.org/officeDocument/2006/relationships/image" Target="media/image41.png"/><Relationship Id="rId65" Type="http://schemas.openxmlformats.org/officeDocument/2006/relationships/image" Target="media/image40.emf"/><Relationship Id="rId64" Type="http://schemas.openxmlformats.org/officeDocument/2006/relationships/oleObject" Target="embeddings/oleObject18.bin"/><Relationship Id="rId63" Type="http://schemas.openxmlformats.org/officeDocument/2006/relationships/image" Target="media/image39.emf"/><Relationship Id="rId62" Type="http://schemas.openxmlformats.org/officeDocument/2006/relationships/oleObject" Target="embeddings/oleObject17.bin"/><Relationship Id="rId61" Type="http://schemas.openxmlformats.org/officeDocument/2006/relationships/image" Target="media/image38.emf"/><Relationship Id="rId60" Type="http://schemas.openxmlformats.org/officeDocument/2006/relationships/oleObject" Target="embeddings/oleObject16.bin"/><Relationship Id="rId6" Type="http://schemas.openxmlformats.org/officeDocument/2006/relationships/footer" Target="footer4.xml"/><Relationship Id="rId59" Type="http://schemas.openxmlformats.org/officeDocument/2006/relationships/image" Target="media/image37.jpeg"/><Relationship Id="rId58" Type="http://schemas.openxmlformats.org/officeDocument/2006/relationships/image" Target="media/image36.jpe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jpeg"/><Relationship Id="rId51" Type="http://schemas.openxmlformats.org/officeDocument/2006/relationships/image" Target="media/image29.jpeg"/><Relationship Id="rId50" Type="http://schemas.openxmlformats.org/officeDocument/2006/relationships/image" Target="media/image28.jpeg"/><Relationship Id="rId5" Type="http://schemas.openxmlformats.org/officeDocument/2006/relationships/footer" Target="footer3.xml"/><Relationship Id="rId49" Type="http://schemas.openxmlformats.org/officeDocument/2006/relationships/image" Target="media/image27.jpe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jpe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jpeg"/><Relationship Id="rId42" Type="http://schemas.openxmlformats.org/officeDocument/2006/relationships/image" Target="media/image20.png"/><Relationship Id="rId41" Type="http://schemas.openxmlformats.org/officeDocument/2006/relationships/image" Target="media/image19.wmf"/><Relationship Id="rId40" Type="http://schemas.openxmlformats.org/officeDocument/2006/relationships/oleObject" Target="embeddings/oleObject15.bin"/><Relationship Id="rId4" Type="http://schemas.openxmlformats.org/officeDocument/2006/relationships/footer" Target="footer2.xml"/><Relationship Id="rId39" Type="http://schemas.openxmlformats.org/officeDocument/2006/relationships/image" Target="media/image18.wmf"/><Relationship Id="rId38" Type="http://schemas.openxmlformats.org/officeDocument/2006/relationships/oleObject" Target="embeddings/oleObject14.bin"/><Relationship Id="rId37" Type="http://schemas.openxmlformats.org/officeDocument/2006/relationships/image" Target="media/image17.wmf"/><Relationship Id="rId36" Type="http://schemas.openxmlformats.org/officeDocument/2006/relationships/oleObject" Target="embeddings/oleObject13.bin"/><Relationship Id="rId35" Type="http://schemas.openxmlformats.org/officeDocument/2006/relationships/image" Target="media/image16.wmf"/><Relationship Id="rId34" Type="http://schemas.openxmlformats.org/officeDocument/2006/relationships/oleObject" Target="embeddings/oleObject12.bin"/><Relationship Id="rId33" Type="http://schemas.openxmlformats.org/officeDocument/2006/relationships/image" Target="media/image15.wmf"/><Relationship Id="rId32" Type="http://schemas.openxmlformats.org/officeDocument/2006/relationships/oleObject" Target="embeddings/oleObject11.bin"/><Relationship Id="rId31" Type="http://schemas.openxmlformats.org/officeDocument/2006/relationships/image" Target="media/image14.wmf"/><Relationship Id="rId30" Type="http://schemas.openxmlformats.org/officeDocument/2006/relationships/oleObject" Target="embeddings/oleObject10.bin"/><Relationship Id="rId3" Type="http://schemas.openxmlformats.org/officeDocument/2006/relationships/footer" Target="footer1.xml"/><Relationship Id="rId29" Type="http://schemas.openxmlformats.org/officeDocument/2006/relationships/image" Target="media/image13.wmf"/><Relationship Id="rId28" Type="http://schemas.openxmlformats.org/officeDocument/2006/relationships/oleObject" Target="embeddings/oleObject9.bin"/><Relationship Id="rId27" Type="http://schemas.openxmlformats.org/officeDocument/2006/relationships/image" Target="media/image12.wmf"/><Relationship Id="rId26" Type="http://schemas.openxmlformats.org/officeDocument/2006/relationships/oleObject" Target="embeddings/oleObject8.bin"/><Relationship Id="rId25" Type="http://schemas.openxmlformats.org/officeDocument/2006/relationships/image" Target="media/image11.wmf"/><Relationship Id="rId24" Type="http://schemas.openxmlformats.org/officeDocument/2006/relationships/oleObject" Target="embeddings/oleObject7.bin"/><Relationship Id="rId23" Type="http://schemas.openxmlformats.org/officeDocument/2006/relationships/image" Target="media/image10.wmf"/><Relationship Id="rId22" Type="http://schemas.openxmlformats.org/officeDocument/2006/relationships/oleObject" Target="embeddings/oleObject6.bin"/><Relationship Id="rId21" Type="http://schemas.openxmlformats.org/officeDocument/2006/relationships/image" Target="media/image9.png"/><Relationship Id="rId20" Type="http://schemas.openxmlformats.org/officeDocument/2006/relationships/image" Target="media/image8.e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7.emf"/><Relationship Id="rId17" Type="http://schemas.openxmlformats.org/officeDocument/2006/relationships/oleObject" Target="embeddings/oleObject4.bin"/><Relationship Id="rId16" Type="http://schemas.openxmlformats.org/officeDocument/2006/relationships/image" Target="media/image6.png"/><Relationship Id="rId15" Type="http://schemas.openxmlformats.org/officeDocument/2006/relationships/image" Target="media/image5.emf"/><Relationship Id="rId14" Type="http://schemas.openxmlformats.org/officeDocument/2006/relationships/oleObject" Target="embeddings/oleObject3.bin"/><Relationship Id="rId13" Type="http://schemas.openxmlformats.org/officeDocument/2006/relationships/image" Target="media/image4.emf"/><Relationship Id="rId12" Type="http://schemas.openxmlformats.org/officeDocument/2006/relationships/oleObject" Target="embeddings/oleObject2.bin"/><Relationship Id="rId11" Type="http://schemas.openxmlformats.org/officeDocument/2006/relationships/image" Target="media/image3.emf"/><Relationship Id="rId10" Type="http://schemas.openxmlformats.org/officeDocument/2006/relationships/oleObject" Target="embeddings/oleObject1.bin"/><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67</Pages>
  <Words>28268</Words>
  <Characters>34059</Characters>
  <Lines>1</Lines>
  <Paragraphs>1</Paragraphs>
  <TotalTime>9</TotalTime>
  <ScaleCrop>false</ScaleCrop>
  <LinksUpToDate>false</LinksUpToDate>
  <CharactersWithSpaces>34262</CharactersWithSpaces>
  <Application>WPS Office_12.1.0.15933_F1E327BC-269C-435d-A152-05C5408002CA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WPS_1697530123</cp:lastModifiedBy>
  <cp:lastPrinted>2021-09-16T08:57:00Z</cp:lastPrinted>
  <dcterms:modified xsi:type="dcterms:W3CDTF">2023-11-02T02:27:33Z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2052-12.1.0.15933</vt:lpwstr>
  </property>
  <property fmtid="{D5CDD505-2E9C-101B-9397-08002B2CF9AE}" pid="3" name="ICV">
    <vt:lpwstr>E42F10E49C2D4B8BBD67936EA11753D8_13</vt:lpwstr>
  </property>
</Properties>
</file>