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rPr>
          <w:b/>
          <w:bCs/>
          <w:color w:val="FF0000"/>
          <w:sz w:val="44"/>
          <w:szCs w:val="44"/>
          <w:highlight w:val="none"/>
          <w:lang w:val="zh-CN"/>
        </w:rPr>
      </w:pPr>
    </w:p>
    <w:p>
      <w:pPr>
        <w:jc w:val="both"/>
        <w:rPr>
          <w:rFonts w:hint="eastAsia" w:ascii="Times New Roman" w:hAnsi="Times New Roman" w:cs="Times New Roman"/>
          <w:b/>
          <w:bCs w:val="0"/>
          <w:color w:val="FF0000"/>
          <w:sz w:val="44"/>
          <w:szCs w:val="44"/>
          <w:highlight w:val="none"/>
          <w:lang w:val="en-US" w:eastAsia="zh-CN"/>
        </w:rPr>
      </w:pPr>
    </w:p>
    <w:p>
      <w:pPr>
        <w:rPr>
          <w:rFonts w:hint="eastAsia"/>
          <w:color w:val="FF0000"/>
          <w:highlight w:val="none"/>
          <w:lang w:val="en-US" w:eastAsia="zh-CN"/>
        </w:rPr>
      </w:pPr>
    </w:p>
    <w:p>
      <w:pPr>
        <w:pStyle w:val="27"/>
        <w:rPr>
          <w:rFonts w:hint="eastAsia"/>
          <w:color w:val="FF0000"/>
          <w:highlight w:val="none"/>
          <w:lang w:val="en-US" w:eastAsia="zh-CN"/>
        </w:rPr>
      </w:pPr>
    </w:p>
    <w:p>
      <w:pPr>
        <w:rPr>
          <w:rFonts w:hint="eastAsia"/>
          <w:color w:val="FF0000"/>
          <w:highlight w:val="none"/>
          <w:lang w:val="en-US" w:eastAsia="zh-CN"/>
        </w:rPr>
      </w:pPr>
    </w:p>
    <w:p>
      <w:pPr>
        <w:pStyle w:val="18"/>
        <w:rPr>
          <w:rFonts w:hint="eastAsia"/>
          <w:color w:val="FF0000"/>
          <w:lang w:val="en-US" w:eastAsia="zh-CN"/>
        </w:rPr>
      </w:pPr>
    </w:p>
    <w:p>
      <w:pPr>
        <w:rPr>
          <w:rFonts w:hint="eastAsia"/>
          <w:color w:val="FF0000"/>
          <w:lang w:val="en-US" w:eastAsia="zh-CN"/>
        </w:rPr>
      </w:pPr>
    </w:p>
    <w:p>
      <w:pPr>
        <w:jc w:val="center"/>
        <w:rPr>
          <w:rFonts w:hint="eastAsia" w:ascii="宋体" w:hAnsi="宋体" w:eastAsia="宋体" w:cs="宋体"/>
          <w:b/>
          <w:bCs w:val="0"/>
          <w:color w:val="auto"/>
          <w:sz w:val="44"/>
          <w:szCs w:val="44"/>
          <w:highlight w:val="none"/>
          <w:lang w:val="zh-CN"/>
        </w:rPr>
      </w:pPr>
      <w:r>
        <w:rPr>
          <w:rFonts w:hint="eastAsia" w:ascii="宋体" w:hAnsi="宋体" w:eastAsia="宋体" w:cs="宋体"/>
          <w:b/>
          <w:bCs w:val="0"/>
          <w:color w:val="auto"/>
          <w:sz w:val="44"/>
          <w:szCs w:val="44"/>
          <w:highlight w:val="none"/>
          <w:lang w:val="zh-CN"/>
        </w:rPr>
        <w:t>长兴供热锅炉设施建设项目</w:t>
      </w:r>
    </w:p>
    <w:p>
      <w:pPr>
        <w:jc w:val="center"/>
        <w:rPr>
          <w:rFonts w:hint="eastAsia" w:ascii="宋体" w:hAnsi="宋体" w:eastAsia="宋体" w:cs="宋体"/>
          <w:b/>
          <w:bCs w:val="0"/>
          <w:color w:val="auto"/>
          <w:sz w:val="44"/>
          <w:szCs w:val="44"/>
          <w:highlight w:val="none"/>
          <w:lang w:val="zh-CN"/>
        </w:rPr>
      </w:pPr>
      <w:r>
        <w:rPr>
          <w:rFonts w:hint="eastAsia" w:ascii="宋体" w:hAnsi="宋体" w:eastAsia="宋体" w:cs="宋体"/>
          <w:b/>
          <w:bCs w:val="0"/>
          <w:color w:val="auto"/>
          <w:sz w:val="44"/>
          <w:szCs w:val="44"/>
          <w:highlight w:val="none"/>
          <w:lang w:val="zh-CN"/>
        </w:rPr>
        <w:t>竣工环境保护验收监测报告</w:t>
      </w:r>
      <w:r>
        <w:rPr>
          <w:rFonts w:hint="eastAsia" w:ascii="宋体" w:hAnsi="宋体" w:eastAsia="宋体" w:cs="宋体"/>
          <w:b/>
          <w:bCs w:val="0"/>
          <w:color w:val="auto"/>
          <w:sz w:val="44"/>
          <w:szCs w:val="44"/>
          <w:highlight w:val="none"/>
          <w:lang w:val="zh-CN" w:eastAsia="zh-CN"/>
        </w:rPr>
        <w:t>表</w:t>
      </w:r>
    </w:p>
    <w:p>
      <w:pPr>
        <w:pStyle w:val="3"/>
        <w:rPr>
          <w:rFonts w:hint="default" w:ascii="Times New Roman" w:hAnsi="Times New Roman" w:cs="Times New Roman"/>
          <w:b/>
          <w:bCs w:val="0"/>
          <w:color w:val="auto"/>
          <w:sz w:val="44"/>
          <w:szCs w:val="44"/>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pStyle w:val="3"/>
        <w:rPr>
          <w:b/>
          <w:bCs/>
          <w:color w:val="auto"/>
          <w:highlight w:val="none"/>
        </w:rPr>
      </w:pPr>
    </w:p>
    <w:p>
      <w:pPr>
        <w:rPr>
          <w:b/>
          <w:bCs/>
          <w:color w:val="auto"/>
          <w:sz w:val="32"/>
          <w:szCs w:val="32"/>
          <w:highlight w:val="none"/>
          <w:lang w:val="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cs="Times New Roman"/>
          <w:b/>
          <w:bCs/>
          <w:color w:val="auto"/>
          <w:sz w:val="32"/>
          <w:szCs w:val="32"/>
          <w:highlight w:val="none"/>
          <w:u w:val="single"/>
          <w:lang w:val="en-US" w:eastAsia="zh-CN"/>
        </w:rPr>
      </w:pPr>
      <w:r>
        <w:rPr>
          <w:rFonts w:hint="eastAsia" w:eastAsia="宋体" w:cs="Times New Roman"/>
          <w:b/>
          <w:bCs/>
          <w:color w:val="auto"/>
          <w:sz w:val="32"/>
          <w:szCs w:val="32"/>
          <w:highlight w:val="none"/>
          <w:lang w:val="zh-CN" w:eastAsia="zh-CN"/>
        </w:rPr>
        <w:t>建设单位：</w:t>
      </w:r>
      <w:r>
        <w:rPr>
          <w:rFonts w:hint="eastAsia" w:eastAsia="宋体" w:cs="Times New Roman"/>
          <w:b/>
          <w:bCs/>
          <w:color w:val="auto"/>
          <w:sz w:val="32"/>
          <w:szCs w:val="32"/>
          <w:highlight w:val="none"/>
          <w:u w:val="single"/>
          <w:lang w:val="zh-CN" w:eastAsia="zh-CN"/>
        </w:rPr>
        <w:t>尚志市长兴供热服务有限责任公司</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964" w:firstLineChars="300"/>
        <w:jc w:val="both"/>
        <w:textAlignment w:val="auto"/>
        <w:outlineLvl w:val="9"/>
        <w:rPr>
          <w:rFonts w:hint="default" w:ascii="Times New Roman" w:hAnsi="Times New Roman" w:eastAsia="宋体" w:cs="Times New Roman"/>
          <w:b/>
          <w:bCs/>
          <w:color w:val="auto"/>
          <w:sz w:val="32"/>
          <w:szCs w:val="32"/>
          <w:highlight w:val="yellow"/>
          <w:lang w:val="en-US" w:eastAsia="zh-CN"/>
        </w:rPr>
      </w:pPr>
      <w:r>
        <w:rPr>
          <w:rFonts w:hint="eastAsia" w:eastAsia="宋体" w:cs="Times New Roman"/>
          <w:b/>
          <w:bCs/>
          <w:color w:val="auto"/>
          <w:sz w:val="32"/>
          <w:szCs w:val="32"/>
          <w:highlight w:val="none"/>
          <w:lang w:val="en-US" w:eastAsia="zh-CN"/>
        </w:rPr>
        <w:t>编制</w:t>
      </w:r>
      <w:r>
        <w:rPr>
          <w:rFonts w:hint="default" w:ascii="Times New Roman" w:hAnsi="Times New Roman" w:eastAsia="宋体" w:cs="Times New Roman"/>
          <w:b/>
          <w:bCs/>
          <w:color w:val="auto"/>
          <w:sz w:val="32"/>
          <w:szCs w:val="32"/>
          <w:highlight w:val="none"/>
          <w:lang w:val="zh-CN"/>
        </w:rPr>
        <w:t>单位：</w:t>
      </w:r>
      <w:r>
        <w:rPr>
          <w:rFonts w:hint="eastAsia" w:eastAsia="宋体" w:cs="Times New Roman"/>
          <w:b/>
          <w:bCs/>
          <w:color w:val="auto"/>
          <w:sz w:val="32"/>
          <w:szCs w:val="32"/>
          <w:highlight w:val="none"/>
          <w:u w:val="single"/>
          <w:lang w:val="zh-CN" w:eastAsia="zh-CN"/>
        </w:rPr>
        <w:t>尚志市长兴供热服务有限责任公司</w:t>
      </w:r>
    </w:p>
    <w:p>
      <w:pPr>
        <w:pStyle w:val="27"/>
        <w:rPr>
          <w:rFonts w:hint="eastAsia" w:ascii="Times New Roman" w:hAnsi="Times New Roman" w:cs="Times New Roman"/>
          <w:b/>
          <w:bCs/>
          <w:color w:val="auto"/>
          <w:sz w:val="32"/>
          <w:szCs w:val="32"/>
          <w:highlight w:val="none"/>
          <w:lang w:val="zh-CN"/>
        </w:rPr>
      </w:pPr>
    </w:p>
    <w:p>
      <w:pPr>
        <w:rPr>
          <w:rFonts w:hint="eastAsia" w:ascii="Times New Roman" w:hAnsi="Times New Roman" w:cs="Times New Roman"/>
          <w:b/>
          <w:bCs/>
          <w:color w:val="auto"/>
          <w:sz w:val="32"/>
          <w:szCs w:val="32"/>
          <w:highlight w:val="none"/>
          <w:lang w:val="zh-CN"/>
        </w:rPr>
      </w:pPr>
    </w:p>
    <w:p>
      <w:pPr>
        <w:pStyle w:val="27"/>
        <w:rPr>
          <w:rFonts w:hint="eastAsia"/>
          <w:color w:val="auto"/>
          <w:lang w:val="zh-CN"/>
        </w:rPr>
      </w:pPr>
    </w:p>
    <w:p>
      <w:pPr>
        <w:autoSpaceDE w:val="0"/>
        <w:autoSpaceDN w:val="0"/>
        <w:adjustRightInd w:val="0"/>
        <w:jc w:val="center"/>
        <w:rPr>
          <w:rFonts w:hint="default" w:ascii="Times New Roman" w:hAnsi="Times New Roman" w:cs="Times New Roman"/>
          <w:b/>
          <w:bCs/>
          <w:color w:val="auto"/>
          <w:sz w:val="32"/>
          <w:szCs w:val="32"/>
          <w:highlight w:val="none"/>
          <w:lang w:val="zh-CN"/>
        </w:rPr>
      </w:pPr>
      <w:r>
        <w:rPr>
          <w:rFonts w:hint="eastAsia" w:ascii="Times New Roman" w:hAnsi="Times New Roman" w:cs="Times New Roman"/>
          <w:b/>
          <w:bCs/>
          <w:color w:val="auto"/>
          <w:sz w:val="32"/>
          <w:szCs w:val="32"/>
          <w:highlight w:val="none"/>
          <w:lang w:val="en-US" w:eastAsia="zh-CN"/>
        </w:rPr>
        <w:t>2023</w:t>
      </w:r>
      <w:r>
        <w:rPr>
          <w:rFonts w:hint="default" w:ascii="Times New Roman" w:hAnsi="Times New Roman" w:cs="Times New Roman"/>
          <w:b/>
          <w:bCs/>
          <w:color w:val="auto"/>
          <w:sz w:val="32"/>
          <w:szCs w:val="32"/>
          <w:highlight w:val="none"/>
          <w:lang w:val="zh-CN"/>
        </w:rPr>
        <w:t>年</w:t>
      </w:r>
      <w:r>
        <w:rPr>
          <w:rFonts w:hint="eastAsia" w:ascii="Times New Roman" w:hAnsi="Times New Roman" w:cs="Times New Roman"/>
          <w:b/>
          <w:bCs/>
          <w:color w:val="auto"/>
          <w:sz w:val="32"/>
          <w:szCs w:val="32"/>
          <w:highlight w:val="none"/>
          <w:lang w:val="en-US" w:eastAsia="zh-CN"/>
        </w:rPr>
        <w:t>09</w:t>
      </w:r>
      <w:r>
        <w:rPr>
          <w:rFonts w:hint="default" w:ascii="Times New Roman" w:hAnsi="Times New Roman" w:cs="Times New Roman"/>
          <w:b/>
          <w:bCs/>
          <w:color w:val="auto"/>
          <w:sz w:val="32"/>
          <w:szCs w:val="32"/>
          <w:highlight w:val="none"/>
          <w:lang w:val="zh-CN"/>
        </w:rPr>
        <w:t>月</w:t>
      </w:r>
    </w:p>
    <w:p>
      <w:pPr>
        <w:autoSpaceDE w:val="0"/>
        <w:autoSpaceDN w:val="0"/>
        <w:adjustRightInd w:val="0"/>
        <w:jc w:val="center"/>
        <w:rPr>
          <w:color w:val="auto"/>
          <w:kern w:val="0"/>
          <w:sz w:val="24"/>
          <w:highlight w:val="none"/>
          <w:lang w:bidi="ar"/>
        </w:rPr>
        <w:sectPr>
          <w:footerReference r:id="rId3"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color w:val="auto"/>
          <w:sz w:val="28"/>
          <w:szCs w:val="28"/>
          <w:lang w:val="en-US"/>
        </w:rPr>
      </w:pPr>
      <w:r>
        <w:rPr>
          <w:rFonts w:hint="eastAsia"/>
          <w:color w:val="auto"/>
          <w:sz w:val="28"/>
          <w:szCs w:val="28"/>
          <w:lang w:val="en-US" w:eastAsia="zh-CN"/>
        </w:rPr>
        <w:t>建设单位</w:t>
      </w:r>
      <w:r>
        <w:rPr>
          <w:rFonts w:hint="eastAsia"/>
          <w:color w:val="auto"/>
          <w:sz w:val="28"/>
          <w:szCs w:val="28"/>
        </w:rPr>
        <w:t>法人</w:t>
      </w:r>
      <w:r>
        <w:rPr>
          <w:rFonts w:hint="eastAsia"/>
          <w:color w:val="auto"/>
          <w:sz w:val="28"/>
          <w:szCs w:val="28"/>
          <w:lang w:val="en-US" w:eastAsia="zh-CN"/>
        </w:rPr>
        <w:t>代表：         （签字）</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color w:val="auto"/>
          <w:sz w:val="28"/>
          <w:szCs w:val="28"/>
          <w:lang w:val="en-US" w:eastAsia="zh-CN"/>
        </w:rPr>
      </w:pPr>
      <w:r>
        <w:rPr>
          <w:rFonts w:hint="eastAsia"/>
          <w:color w:val="auto"/>
          <w:sz w:val="28"/>
          <w:szCs w:val="28"/>
          <w:lang w:val="en-US" w:eastAsia="zh-CN"/>
        </w:rPr>
        <w:t>编制单位法人</w:t>
      </w:r>
      <w:r>
        <w:rPr>
          <w:rFonts w:hint="eastAsia"/>
          <w:color w:val="auto"/>
          <w:sz w:val="28"/>
          <w:szCs w:val="28"/>
        </w:rPr>
        <w:t>代表：</w:t>
      </w:r>
      <w:r>
        <w:rPr>
          <w:rFonts w:hint="eastAsia"/>
          <w:color w:val="auto"/>
          <w:sz w:val="28"/>
          <w:szCs w:val="28"/>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color w:val="auto"/>
          <w:sz w:val="28"/>
          <w:szCs w:val="28"/>
          <w:lang w:val="en-US" w:eastAsia="zh-CN"/>
        </w:rPr>
      </w:pPr>
      <w:r>
        <w:rPr>
          <w:rFonts w:hint="eastAsia"/>
          <w:color w:val="auto"/>
          <w:sz w:val="28"/>
          <w:szCs w:val="28"/>
        </w:rPr>
        <w:t>项目负责人：</w:t>
      </w:r>
      <w:r>
        <w:rPr>
          <w:rFonts w:hint="eastAsia"/>
          <w:color w:val="auto"/>
          <w:sz w:val="28"/>
          <w:szCs w:val="28"/>
          <w:lang w:val="en-US" w:eastAsia="zh-CN"/>
        </w:rPr>
        <w:t xml:space="preserve">               （签字）</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bCs/>
          <w:color w:val="FF0000"/>
          <w:szCs w:val="30"/>
          <w:highlight w:val="none"/>
          <w:lang w:val="en-US" w:eastAsia="zh-CN"/>
        </w:rPr>
      </w:pPr>
      <w:r>
        <w:rPr>
          <w:rFonts w:hint="eastAsia"/>
          <w:color w:val="auto"/>
          <w:sz w:val="28"/>
          <w:szCs w:val="28"/>
          <w:lang w:val="en-US" w:eastAsia="zh-CN"/>
        </w:rPr>
        <w:t>报告编写人：               （签字）</w:t>
      </w:r>
    </w:p>
    <w:p>
      <w:pPr>
        <w:keepNext w:val="0"/>
        <w:keepLines w:val="0"/>
        <w:widowControl w:val="0"/>
        <w:suppressLineNumbers w:val="0"/>
        <w:spacing w:before="0" w:beforeAutospacing="0" w:after="0" w:afterAutospacing="0"/>
        <w:ind w:left="0" w:right="0"/>
        <w:jc w:val="both"/>
        <w:outlineLvl w:val="9"/>
        <w:rPr>
          <w:rFonts w:hint="default" w:ascii="Times New Roman" w:hAnsi="Times New Roman" w:eastAsia="宋体" w:cs="Times New Roman"/>
          <w:color w:val="FF0000"/>
          <w:sz w:val="28"/>
          <w:szCs w:val="24"/>
          <w:highlight w:val="none"/>
          <w:lang w:val="en-U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FF0000"/>
          <w:sz w:val="28"/>
          <w:szCs w:val="28"/>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FF0000"/>
          <w:sz w:val="28"/>
          <w:szCs w:val="28"/>
          <w:highlight w:val="none"/>
          <w:lang w:eastAsia="zh-CN"/>
        </w:rPr>
      </w:pPr>
    </w:p>
    <w:p>
      <w:pPr>
        <w:pStyle w:val="27"/>
        <w:rPr>
          <w:rFonts w:hint="eastAsia" w:ascii="宋体" w:hAnsi="宋体" w:eastAsia="宋体" w:cs="宋体"/>
          <w:b w:val="0"/>
          <w:bCs/>
          <w:color w:val="FF0000"/>
          <w:sz w:val="28"/>
          <w:szCs w:val="28"/>
          <w:highlight w:val="none"/>
          <w:lang w:eastAsia="zh-CN"/>
        </w:rPr>
      </w:pPr>
    </w:p>
    <w:p>
      <w:pPr>
        <w:rPr>
          <w:rFonts w:hint="eastAsia" w:ascii="宋体" w:hAnsi="宋体" w:eastAsia="宋体" w:cs="宋体"/>
          <w:b w:val="0"/>
          <w:bCs/>
          <w:color w:val="FF0000"/>
          <w:sz w:val="28"/>
          <w:szCs w:val="28"/>
          <w:highlight w:val="none"/>
          <w:lang w:eastAsia="zh-CN"/>
        </w:rPr>
      </w:pPr>
    </w:p>
    <w:p>
      <w:pPr>
        <w:pStyle w:val="27"/>
        <w:rPr>
          <w:rFonts w:hint="eastAsia" w:ascii="宋体" w:hAnsi="宋体" w:eastAsia="宋体" w:cs="宋体"/>
          <w:b w:val="0"/>
          <w:bCs/>
          <w:color w:val="FF0000"/>
          <w:sz w:val="28"/>
          <w:szCs w:val="28"/>
          <w:highlight w:val="none"/>
          <w:lang w:eastAsia="zh-CN"/>
        </w:rPr>
      </w:pPr>
    </w:p>
    <w:p>
      <w:pPr>
        <w:rPr>
          <w:rFonts w:hint="eastAsia" w:ascii="宋体" w:hAnsi="宋体" w:eastAsia="宋体" w:cs="宋体"/>
          <w:b w:val="0"/>
          <w:bCs/>
          <w:color w:val="FF0000"/>
          <w:sz w:val="28"/>
          <w:szCs w:val="28"/>
          <w:highlight w:val="none"/>
          <w:lang w:eastAsia="zh-CN"/>
        </w:rPr>
      </w:pPr>
    </w:p>
    <w:p>
      <w:pPr>
        <w:pStyle w:val="27"/>
        <w:rPr>
          <w:rFonts w:hint="eastAsia" w:ascii="宋体" w:hAnsi="宋体" w:eastAsia="宋体" w:cs="宋体"/>
          <w:b w:val="0"/>
          <w:bCs/>
          <w:color w:val="FF0000"/>
          <w:sz w:val="28"/>
          <w:szCs w:val="28"/>
          <w:highlight w:val="none"/>
          <w:lang w:eastAsia="zh-CN"/>
        </w:rPr>
      </w:pPr>
    </w:p>
    <w:p>
      <w:pPr>
        <w:rPr>
          <w:rFonts w:hint="eastAsia" w:ascii="宋体" w:hAnsi="宋体" w:eastAsia="宋体" w:cs="宋体"/>
          <w:b w:val="0"/>
          <w:bCs/>
          <w:color w:val="FF0000"/>
          <w:sz w:val="28"/>
          <w:szCs w:val="28"/>
          <w:highlight w:val="none"/>
          <w:lang w:eastAsia="zh-CN"/>
        </w:rPr>
      </w:pPr>
    </w:p>
    <w:p>
      <w:pPr>
        <w:spacing w:line="360" w:lineRule="auto"/>
        <w:rPr>
          <w:rFonts w:eastAsia="仿宋_GB2312"/>
          <w:b/>
          <w:color w:val="FF0000"/>
          <w:sz w:val="28"/>
          <w:highlight w:val="none"/>
        </w:rPr>
      </w:pPr>
    </w:p>
    <w:p>
      <w:pPr>
        <w:spacing w:line="360" w:lineRule="auto"/>
        <w:rPr>
          <w:rFonts w:eastAsia="仿宋_GB2312"/>
          <w:b/>
          <w:color w:val="FF0000"/>
          <w:sz w:val="28"/>
          <w:highlight w:val="none"/>
        </w:rPr>
      </w:pPr>
    </w:p>
    <w:p>
      <w:pPr>
        <w:spacing w:line="360" w:lineRule="auto"/>
        <w:rPr>
          <w:rFonts w:eastAsia="仿宋_GB2312"/>
          <w:b/>
          <w:color w:val="FF0000"/>
          <w:sz w:val="28"/>
          <w:highlight w:val="none"/>
        </w:rPr>
      </w:pPr>
    </w:p>
    <w:tbl>
      <w:tblPr>
        <w:tblStyle w:val="21"/>
        <w:tblW w:w="8528" w:type="dxa"/>
        <w:tblInd w:w="0" w:type="dxa"/>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tcBorders>
              <w:top w:val="nil"/>
              <w:left w:val="nil"/>
              <w:bottom w:val="nil"/>
              <w:right w:val="nil"/>
            </w:tcBorders>
            <w:vAlign w:val="top"/>
          </w:tcPr>
          <w:p>
            <w:pPr>
              <w:spacing w:line="360" w:lineRule="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尚志市长兴供热服务有限责任公司</w:t>
            </w:r>
            <w:r>
              <w:rPr>
                <w:rFonts w:hint="default" w:ascii="Times New Roman" w:hAnsi="Times New Roman" w:eastAsia="宋体" w:cs="Times New Roman"/>
                <w:color w:val="auto"/>
                <w:sz w:val="24"/>
                <w:szCs w:val="24"/>
                <w:highlight w:val="none"/>
                <w:lang w:eastAsia="zh-CN"/>
              </w:rPr>
              <w:t>（盖章）</w:t>
            </w:r>
          </w:p>
        </w:tc>
        <w:tc>
          <w:tcPr>
            <w:tcW w:w="4264" w:type="dxa"/>
            <w:tcBorders>
              <w:top w:val="nil"/>
              <w:left w:val="nil"/>
              <w:bottom w:val="nil"/>
              <w:right w:val="nil"/>
            </w:tcBorders>
            <w:vAlign w:val="top"/>
          </w:tcPr>
          <w:p>
            <w:pPr>
              <w:spacing w:line="360" w:lineRule="auto"/>
              <w:rPr>
                <w:rFonts w:hint="default" w:ascii="Times New Roman" w:hAnsi="Times New Roman" w:eastAsia="宋体" w:cs="Times New Roman"/>
                <w:color w:val="auto"/>
                <w:sz w:val="24"/>
                <w:szCs w:val="24"/>
                <w:highlight w:val="yellow"/>
                <w:lang w:eastAsia="zh-CN"/>
              </w:rPr>
            </w:pPr>
            <w:r>
              <w:rPr>
                <w:rFonts w:hint="default" w:ascii="Times New Roman" w:hAnsi="Times New Roman" w:eastAsia="宋体" w:cs="Times New Roman"/>
                <w:color w:val="auto"/>
                <w:sz w:val="24"/>
                <w:szCs w:val="24"/>
                <w:highlight w:val="none"/>
              </w:rPr>
              <w:t>建设单位</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尚志市长兴供热服务有限责任公司</w:t>
            </w:r>
            <w:r>
              <w:rPr>
                <w:rFonts w:hint="default" w:ascii="Times New Roman" w:hAnsi="Times New Roman" w:eastAsia="宋体" w:cs="Times New Roman"/>
                <w:color w:val="auto"/>
                <w:sz w:val="24"/>
                <w:szCs w:val="24"/>
                <w:highlight w:val="none"/>
                <w:lang w:eastAsia="zh-CN"/>
              </w:rPr>
              <w:t>（盖章）</w:t>
            </w:r>
          </w:p>
        </w:tc>
      </w:tr>
      <w:tr>
        <w:tblPrEx>
          <w:tblCellMar>
            <w:top w:w="0" w:type="dxa"/>
            <w:left w:w="108" w:type="dxa"/>
            <w:bottom w:w="0" w:type="dxa"/>
            <w:right w:w="108" w:type="dxa"/>
          </w:tblCellMar>
        </w:tblPrEx>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szCs w:val="24"/>
                <w:highlight w:val="none"/>
              </w:rPr>
              <w:t>电</w:t>
            </w:r>
            <w:r>
              <w:rPr>
                <w:rFonts w:hint="default" w:ascii="Times New Roman" w:hAnsi="Times New Roman" w:eastAsia="宋体" w:cs="Times New Roman"/>
                <w:color w:val="auto"/>
                <w:sz w:val="24"/>
                <w:szCs w:val="24"/>
                <w:highlight w:val="none"/>
                <w:lang w:val="en-US" w:eastAsia="zh-CN"/>
              </w:rPr>
              <w:t>话：</w:t>
            </w:r>
            <w:r>
              <w:rPr>
                <w:rFonts w:hint="eastAsia" w:ascii="Times New Roman" w:hAnsi="Times New Roman" w:eastAsia="宋体" w:cs="Times New Roman"/>
                <w:color w:val="auto"/>
                <w:sz w:val="24"/>
                <w:szCs w:val="24"/>
                <w:highlight w:val="none"/>
                <w:lang w:val="en-US" w:eastAsia="zh-CN"/>
              </w:rPr>
              <w:t>13936149176</w:t>
            </w:r>
          </w:p>
        </w:tc>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rPr>
              <w:t>电</w:t>
            </w:r>
            <w:r>
              <w:rPr>
                <w:rFonts w:hint="default" w:ascii="Times New Roman" w:hAnsi="Times New Roman" w:eastAsia="宋体" w:cs="Times New Roman"/>
                <w:color w:val="auto"/>
                <w:sz w:val="24"/>
                <w:szCs w:val="24"/>
                <w:highlight w:val="none"/>
                <w:lang w:val="en-US" w:eastAsia="zh-CN"/>
              </w:rPr>
              <w:t>话：</w:t>
            </w:r>
            <w:r>
              <w:rPr>
                <w:rFonts w:hint="eastAsia" w:ascii="Times New Roman" w:hAnsi="Times New Roman" w:eastAsia="宋体" w:cs="Times New Roman"/>
                <w:color w:val="auto"/>
                <w:sz w:val="24"/>
                <w:szCs w:val="24"/>
                <w:highlight w:val="none"/>
                <w:lang w:val="en-US" w:eastAsia="zh-CN"/>
              </w:rPr>
              <w:t>13936149176</w:t>
            </w:r>
          </w:p>
        </w:tc>
      </w:tr>
      <w:tr>
        <w:tblPrEx>
          <w:tblCellMar>
            <w:top w:w="0" w:type="dxa"/>
            <w:left w:w="108" w:type="dxa"/>
            <w:bottom w:w="0" w:type="dxa"/>
            <w:right w:w="108" w:type="dxa"/>
          </w:tblCellMar>
        </w:tblPrEx>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传真</w:t>
            </w:r>
            <w:r>
              <w:rPr>
                <w:rFonts w:hint="default" w:ascii="Times New Roman" w:hAnsi="Times New Roman" w:eastAsia="宋体" w:cs="Times New Roman"/>
                <w:color w:val="auto"/>
                <w:sz w:val="24"/>
                <w:szCs w:val="24"/>
                <w:highlight w:val="none"/>
                <w:lang w:eastAsia="zh-CN"/>
              </w:rPr>
              <w:t>：——</w:t>
            </w:r>
          </w:p>
        </w:tc>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传真</w:t>
            </w:r>
            <w:r>
              <w:rPr>
                <w:rFonts w:hint="default" w:ascii="Times New Roman" w:hAnsi="Times New Roman" w:eastAsia="宋体" w:cs="Times New Roman"/>
                <w:color w:val="auto"/>
                <w:sz w:val="24"/>
                <w:szCs w:val="24"/>
                <w:highlight w:val="none"/>
                <w:lang w:eastAsia="zh-CN"/>
              </w:rPr>
              <w:t>：——</w:t>
            </w:r>
          </w:p>
        </w:tc>
      </w:tr>
      <w:tr>
        <w:tblPrEx>
          <w:tblCellMar>
            <w:top w:w="0" w:type="dxa"/>
            <w:left w:w="108" w:type="dxa"/>
            <w:bottom w:w="0" w:type="dxa"/>
            <w:right w:w="108" w:type="dxa"/>
          </w:tblCellMar>
        </w:tblPrEx>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highlight w:val="none"/>
                <w:lang w:val="en-US"/>
              </w:rPr>
            </w:pPr>
            <w:r>
              <w:rPr>
                <w:rFonts w:hint="default" w:ascii="Times New Roman" w:hAnsi="Times New Roman" w:eastAsia="宋体" w:cs="Times New Roman"/>
                <w:color w:val="auto"/>
                <w:sz w:val="24"/>
                <w:szCs w:val="24"/>
                <w:highlight w:val="none"/>
              </w:rPr>
              <w:t>邮编</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150600</w:t>
            </w:r>
          </w:p>
        </w:tc>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yellow"/>
                <w:lang w:val="en-US"/>
              </w:rPr>
            </w:pPr>
            <w:r>
              <w:rPr>
                <w:rFonts w:hint="default" w:ascii="Times New Roman" w:hAnsi="Times New Roman" w:eastAsia="宋体" w:cs="Times New Roman"/>
                <w:color w:val="auto"/>
                <w:sz w:val="24"/>
                <w:szCs w:val="24"/>
                <w:highlight w:val="none"/>
              </w:rPr>
              <w:t>邮编</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150600</w:t>
            </w:r>
          </w:p>
        </w:tc>
      </w:tr>
      <w:tr>
        <w:tblPrEx>
          <w:tblCellMar>
            <w:top w:w="0" w:type="dxa"/>
            <w:left w:w="108" w:type="dxa"/>
            <w:bottom w:w="0" w:type="dxa"/>
            <w:right w:w="108" w:type="dxa"/>
          </w:tblCellMar>
        </w:tblPrEx>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黑龙江省哈尔滨市尚志市东浦新区</w:t>
            </w:r>
          </w:p>
        </w:tc>
        <w:tc>
          <w:tcPr>
            <w:tcW w:w="4264" w:type="dxa"/>
            <w:tcBorders>
              <w:top w:val="nil"/>
              <w:left w:val="nil"/>
              <w:bottom w:val="nil"/>
              <w:right w:val="nil"/>
            </w:tcBorders>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地址</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黑龙江省哈尔滨市尚志市东浦新区</w:t>
            </w:r>
          </w:p>
        </w:tc>
      </w:tr>
    </w:tbl>
    <w:p>
      <w:pPr>
        <w:spacing w:line="360" w:lineRule="auto"/>
        <w:rPr>
          <w:bCs/>
          <w:color w:val="FF0000"/>
          <w:sz w:val="28"/>
          <w:szCs w:val="28"/>
          <w:highlight w:val="none"/>
        </w:rPr>
        <w:sectPr>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ascii="宋体" w:hAnsi="宋体" w:eastAsia="宋体" w:cstheme="minorBidi"/>
          <w:color w:val="auto"/>
          <w:kern w:val="2"/>
          <w:sz w:val="30"/>
          <w:szCs w:val="30"/>
          <w:highlight w:val="none"/>
          <w:lang w:val="en-US" w:eastAsia="zh-CN" w:bidi="ar-SA"/>
        </w:rPr>
        <w:id w:val="147468453"/>
        <w15:color w:val="DBDBDB"/>
        <w:docPartObj>
          <w:docPartGallery w:val="Table of Contents"/>
          <w:docPartUnique/>
        </w:docPartObj>
      </w:sdtPr>
      <w:sdtEndPr>
        <w:rPr>
          <w:rFonts w:ascii="宋体" w:hAnsi="宋体" w:eastAsia="宋体" w:cstheme="minorBidi"/>
          <w:color w:val="FF0000"/>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color w:val="FF0000"/>
              <w:sz w:val="28"/>
              <w:szCs w:val="28"/>
              <w:highlight w:val="none"/>
            </w:rPr>
          </w:pPr>
          <w:r>
            <w:rPr>
              <w:rFonts w:hint="default" w:ascii="Times New Roman" w:hAnsi="Times New Roman" w:eastAsia="宋体" w:cs="Times New Roman"/>
              <w:color w:val="auto"/>
              <w:sz w:val="30"/>
              <w:szCs w:val="30"/>
              <w:highlight w:val="none"/>
            </w:rPr>
            <w:t>目</w:t>
          </w:r>
          <w:r>
            <w:rPr>
              <w:rFonts w:hint="eastAsia" w:ascii="Times New Roman" w:hAnsi="Times New Roman" w:eastAsia="宋体" w:cs="Times New Roman"/>
              <w:color w:val="auto"/>
              <w:sz w:val="30"/>
              <w:szCs w:val="30"/>
              <w:highlight w:val="none"/>
              <w:lang w:val="en-US" w:eastAsia="zh-CN"/>
            </w:rPr>
            <w:t xml:space="preserve"> </w:t>
          </w:r>
          <w:r>
            <w:rPr>
              <w:rFonts w:hint="default" w:ascii="Times New Roman" w:hAnsi="Times New Roman" w:eastAsia="宋体" w:cs="Times New Roman"/>
              <w:color w:val="auto"/>
              <w:sz w:val="30"/>
              <w:szCs w:val="30"/>
              <w:highlight w:val="none"/>
            </w:rPr>
            <w:t>录</w:t>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color w:val="FF0000"/>
              <w:sz w:val="24"/>
              <w:szCs w:val="24"/>
              <w:highlight w:val="none"/>
            </w:rPr>
            <w:instrText xml:space="preserve">TOC \o "1-1" \h \u </w:instrText>
          </w:r>
          <w:r>
            <w:rPr>
              <w:rFonts w:hint="default" w:ascii="Times New Roman" w:hAnsi="Times New Roman" w:cs="Times New Roman"/>
              <w:color w:val="FF0000"/>
              <w:sz w:val="24"/>
              <w:szCs w:val="24"/>
              <w:highlight w:val="none"/>
            </w:rPr>
            <w:fldChar w:fldCharType="separate"/>
          </w: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_Toc4807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eastAsia="zh-CN"/>
            </w:rPr>
            <w:t>表一</w:t>
          </w:r>
          <w:r>
            <w:rPr>
              <w:rFonts w:hint="default" w:ascii="Times New Roman" w:hAnsi="Times New Roman" w:eastAsia="宋体" w:cs="Times New Roman"/>
              <w:bCs/>
              <w:sz w:val="24"/>
              <w:szCs w:val="24"/>
              <w:highlight w:val="none"/>
              <w:lang w:val="en-US" w:eastAsia="zh-CN"/>
            </w:rPr>
            <w:t xml:space="preserve"> 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_Toc4807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_Toc18893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eastAsia="zh-CN"/>
            </w:rPr>
            <w:t>表二</w:t>
          </w:r>
          <w:r>
            <w:rPr>
              <w:rFonts w:hint="default" w:ascii="Times New Roman" w:hAnsi="Times New Roman" w:eastAsia="宋体" w:cs="Times New Roman"/>
              <w:bCs/>
              <w:sz w:val="24"/>
              <w:szCs w:val="24"/>
              <w:highlight w:val="none"/>
              <w:lang w:val="en-US" w:eastAsia="zh-CN"/>
            </w:rPr>
            <w:t xml:space="preserve"> </w:t>
          </w:r>
          <w:r>
            <w:rPr>
              <w:rFonts w:hint="default" w:ascii="Times New Roman" w:hAnsi="Times New Roman" w:eastAsia="宋体" w:cs="Times New Roman"/>
              <w:bCs/>
              <w:sz w:val="24"/>
              <w:szCs w:val="24"/>
              <w:highlight w:val="none"/>
              <w:lang w:eastAsia="zh-CN"/>
            </w:rPr>
            <w:t>工程建设内容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_Toc18893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_Toc20459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表三 主要污染源、污染物处理和排放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_Toc4977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表四 建设项目环评报告表的主要结论与建议及审批部门审批决定</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_Toc231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val="0"/>
              <w:sz w:val="24"/>
              <w:szCs w:val="24"/>
              <w:highlight w:val="none"/>
            </w:rPr>
            <w:t>表五</w:t>
          </w:r>
          <w:r>
            <w:rPr>
              <w:rFonts w:hint="default" w:ascii="Times New Roman" w:hAnsi="Times New Roman" w:eastAsia="宋体" w:cs="Times New Roman"/>
              <w:bCs w:val="0"/>
              <w:sz w:val="24"/>
              <w:szCs w:val="24"/>
              <w:highlight w:val="none"/>
              <w:lang w:val="en-US" w:eastAsia="zh-CN"/>
            </w:rPr>
            <w:t xml:space="preserve"> 验收监测质量保证及质量控制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_Toc9054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sz w:val="24"/>
              <w:szCs w:val="24"/>
              <w:highlight w:val="none"/>
            </w:rPr>
            <w:t>表六</w:t>
          </w:r>
          <w:r>
            <w:rPr>
              <w:rFonts w:hint="default" w:ascii="Times New Roman" w:hAnsi="Times New Roman" w:eastAsia="宋体" w:cs="Times New Roman"/>
              <w:sz w:val="24"/>
              <w:szCs w:val="24"/>
              <w:highlight w:val="none"/>
              <w:lang w:val="en-US" w:eastAsia="zh-CN"/>
            </w:rPr>
            <w:t xml:space="preserve"> 验收监测内容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_Toc9054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_Toc674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sz w:val="24"/>
              <w:szCs w:val="24"/>
              <w:highlight w:val="none"/>
            </w:rPr>
            <w:t>表七</w:t>
          </w:r>
          <w:r>
            <w:rPr>
              <w:rFonts w:hint="default" w:ascii="Times New Roman" w:hAnsi="Times New Roman" w:eastAsia="宋体" w:cs="Times New Roman"/>
              <w:sz w:val="24"/>
              <w:szCs w:val="24"/>
              <w:highlight w:val="none"/>
              <w:lang w:val="en-US" w:eastAsia="zh-CN"/>
            </w:rPr>
            <w:t xml:space="preserve"> 验收监测结果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_Toc15181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sz w:val="24"/>
              <w:szCs w:val="24"/>
              <w:lang w:val="en-US" w:eastAsia="zh-CN"/>
            </w:rPr>
            <w:t xml:space="preserve">表八 </w:t>
          </w:r>
          <w:r>
            <w:rPr>
              <w:rFonts w:hint="default" w:ascii="Times New Roman" w:hAnsi="Times New Roman" w:eastAsia="宋体" w:cs="Times New Roman"/>
              <w:sz w:val="24"/>
              <w:szCs w:val="24"/>
              <w:lang w:eastAsia="zh-CN"/>
            </w:rPr>
            <w:t>验收监测结论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_Toc15181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22</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_Toc20115 </w:instrText>
          </w:r>
          <w:r>
            <w:rPr>
              <w:rFonts w:hint="default" w:ascii="Times New Roman" w:hAnsi="Times New Roman" w:cs="Times New Roman"/>
              <w:sz w:val="24"/>
              <w:szCs w:val="24"/>
              <w:highlight w:val="none"/>
            </w:rPr>
            <w:fldChar w:fldCharType="separate"/>
          </w:r>
          <w:r>
            <w:rPr>
              <w:rFonts w:hint="default" w:ascii="Times New Roman" w:hAnsi="Times New Roman" w:cs="Times New Roman"/>
              <w:sz w:val="24"/>
              <w:szCs w:val="24"/>
              <w:highlight w:val="none"/>
            </w:rPr>
            <w:t>建设项目工程竣工环境保护“三同时”验收登记表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_Toc23260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 1 本项目地理位置图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_Toc23260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_Toc10719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 2 本项目平面布置图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_Toc10719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_Toc20145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附图 3 本项目现场图片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_Toc20145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_Toc8795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1 环境影响评价批复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_Toc14827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2 应急预案备案表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_Toc14827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33</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_Toc28872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3 排污许可证</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_Toc28872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35</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_Toc29687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4 营业执照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_Toc29687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_Toc20930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5 公司名称变更说明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_Toc9801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6 检测报告</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_Toc9801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color w:val="FF0000"/>
              <w:sz w:val="24"/>
              <w:szCs w:val="24"/>
              <w:highlight w:val="none"/>
            </w:rPr>
            <w:fldChar w:fldCharType="begin"/>
          </w:r>
          <w:r>
            <w:rPr>
              <w:rFonts w:hint="default" w:ascii="Times New Roman" w:hAnsi="Times New Roman" w:cs="Times New Roman"/>
              <w:sz w:val="24"/>
              <w:szCs w:val="24"/>
              <w:highlight w:val="none"/>
            </w:rPr>
            <w:instrText xml:space="preserve"> HYPERLINK \l _Toc13103 </w:instrText>
          </w:r>
          <w:r>
            <w:rPr>
              <w:rFonts w:hint="default" w:ascii="Times New Roman" w:hAnsi="Times New Roman" w:cs="Times New Roman"/>
              <w:sz w:val="24"/>
              <w:szCs w:val="24"/>
              <w:highlight w:val="none"/>
            </w:rPr>
            <w:fldChar w:fldCharType="separate"/>
          </w:r>
          <w:r>
            <w:rPr>
              <w:rFonts w:hint="default" w:ascii="Times New Roman" w:hAnsi="Times New Roman" w:eastAsia="宋体" w:cs="Times New Roman"/>
              <w:bCs/>
              <w:sz w:val="24"/>
              <w:szCs w:val="24"/>
              <w:highlight w:val="none"/>
              <w:lang w:val="en-US" w:eastAsia="zh-CN"/>
            </w:rPr>
            <w:t>附件 7 公示截图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color w:val="FF0000"/>
              <w:sz w:val="24"/>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FF0000"/>
              <w:sz w:val="24"/>
              <w:szCs w:val="24"/>
              <w:highlight w:val="none"/>
            </w:rPr>
          </w:pPr>
          <w:r>
            <w:rPr>
              <w:rFonts w:hint="default" w:ascii="Times New Roman" w:hAnsi="Times New Roman" w:cs="Times New Roman"/>
              <w:color w:val="FF0000"/>
              <w:sz w:val="24"/>
              <w:szCs w:val="24"/>
              <w:highlight w:val="none"/>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FF0000"/>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b/>
          <w:bCs/>
          <w:color w:val="FF0000"/>
          <w:sz w:val="28"/>
          <w:szCs w:val="28"/>
          <w:highlight w:val="none"/>
          <w:lang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eastAsia" w:ascii="仿宋" w:hAnsi="仿宋" w:eastAsia="仿宋" w:cs="仿宋"/>
          <w:b/>
          <w:bCs/>
          <w:color w:val="auto"/>
          <w:sz w:val="28"/>
          <w:szCs w:val="28"/>
          <w:highlight w:val="none"/>
          <w:lang w:val="en-US" w:eastAsia="zh-CN"/>
        </w:rPr>
      </w:pPr>
      <w:bookmarkStart w:id="0" w:name="_Toc11562"/>
      <w:bookmarkStart w:id="1" w:name="_Toc4807"/>
      <w:r>
        <w:rPr>
          <w:rFonts w:hint="eastAsia" w:ascii="宋体" w:hAnsi="宋体" w:eastAsia="宋体" w:cs="宋体"/>
          <w:b/>
          <w:bCs/>
          <w:color w:val="auto"/>
          <w:sz w:val="28"/>
          <w:szCs w:val="28"/>
          <w:highlight w:val="none"/>
          <w:lang w:eastAsia="zh-CN"/>
        </w:rPr>
        <w:t>表一</w:t>
      </w:r>
      <w:r>
        <w:rPr>
          <w:rFonts w:hint="eastAsia" w:ascii="宋体" w:hAnsi="宋体" w:eastAsia="宋体" w:cs="宋体"/>
          <w:b/>
          <w:bCs/>
          <w:color w:val="auto"/>
          <w:sz w:val="28"/>
          <w:szCs w:val="28"/>
          <w:highlight w:val="none"/>
          <w:lang w:val="en-US" w:eastAsia="zh-CN"/>
        </w:rPr>
        <w:t xml:space="preserve"> 项目概况</w:t>
      </w:r>
      <w:bookmarkEnd w:id="0"/>
      <w:bookmarkEnd w:id="1"/>
    </w:p>
    <w:tbl>
      <w:tblPr>
        <w:tblStyle w:val="22"/>
        <w:tblW w:w="9021"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2362"/>
        <w:gridCol w:w="2189"/>
        <w:gridCol w:w="1005"/>
        <w:gridCol w:w="720"/>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建设项目名称</w:t>
            </w:r>
          </w:p>
        </w:tc>
        <w:tc>
          <w:tcPr>
            <w:tcW w:w="7220" w:type="dxa"/>
            <w:gridSpan w:val="5"/>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eastAsia" w:cstheme="minorBidi"/>
                <w:color w:val="auto"/>
                <w:kern w:val="0"/>
                <w:sz w:val="24"/>
                <w:szCs w:val="24"/>
                <w:highlight w:val="none"/>
                <w:lang w:val="en-US" w:eastAsia="zh-CN" w:bidi="ar-SA"/>
              </w:rPr>
              <w:t>长兴供热锅炉设施建设项目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建设单位名称</w:t>
            </w:r>
          </w:p>
        </w:tc>
        <w:tc>
          <w:tcPr>
            <w:tcW w:w="7220" w:type="dxa"/>
            <w:gridSpan w:val="5"/>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eastAsia" w:cstheme="minorBidi"/>
                <w:color w:val="auto"/>
                <w:kern w:val="0"/>
                <w:sz w:val="24"/>
                <w:szCs w:val="24"/>
                <w:highlight w:val="none"/>
                <w:lang w:val="en-US" w:eastAsia="zh-CN" w:bidi="ar-SA"/>
              </w:rPr>
              <w:t>尚志市长兴供热服务有限责任公司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建设项目性质</w:t>
            </w:r>
          </w:p>
        </w:tc>
        <w:tc>
          <w:tcPr>
            <w:tcW w:w="7220" w:type="dxa"/>
            <w:gridSpan w:val="5"/>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eastAsia" w:asciiTheme="minorHAnsi" w:hAnsiTheme="minorHAnsi" w:eastAsiaTheme="minorEastAsia" w:cstheme="minorBidi"/>
                <w:color w:val="auto"/>
                <w:kern w:val="0"/>
                <w:sz w:val="24"/>
                <w:szCs w:val="24"/>
                <w:highlight w:val="none"/>
                <w:lang w:val="en-US" w:eastAsia="zh-CN" w:bidi="ar-SA"/>
              </w:rPr>
              <w:t>新建</w:t>
            </w:r>
            <w:r>
              <w:rPr>
                <w:rFonts w:hint="eastAsia" w:cstheme="minorBidi"/>
                <w:color w:val="auto"/>
                <w:kern w:val="0"/>
                <w:sz w:val="24"/>
                <w:szCs w:val="24"/>
                <w:highlight w:val="none"/>
                <w:lang w:val="en-US" w:eastAsia="zh-CN" w:bidi="ar-SA"/>
              </w:rPr>
              <w:t xml:space="preserve">  </w:t>
            </w:r>
            <w:r>
              <w:rPr>
                <w:rFonts w:hint="eastAsia" w:asciiTheme="minorHAnsi" w:hAnsiTheme="minorHAnsi" w:eastAsiaTheme="minorEastAsia" w:cstheme="minorBidi"/>
                <w:color w:val="auto"/>
                <w:kern w:val="0"/>
                <w:sz w:val="24"/>
                <w:szCs w:val="24"/>
                <w:highlight w:val="none"/>
                <w:lang w:val="en-US" w:eastAsia="zh-CN" w:bidi="ar-SA"/>
              </w:rPr>
              <w:t>改扩建√</w:t>
            </w:r>
            <w:r>
              <w:rPr>
                <w:rFonts w:hint="eastAsia" w:cstheme="minorBidi"/>
                <w:color w:val="auto"/>
                <w:kern w:val="0"/>
                <w:sz w:val="24"/>
                <w:szCs w:val="24"/>
                <w:highlight w:val="none"/>
                <w:lang w:val="en-US" w:eastAsia="zh-CN" w:bidi="ar-SA"/>
              </w:rPr>
              <w:t xml:space="preserve">  </w:t>
            </w:r>
            <w:r>
              <w:rPr>
                <w:rFonts w:hint="eastAsia" w:asciiTheme="minorHAnsi" w:hAnsiTheme="minorHAnsi" w:eastAsiaTheme="minorEastAsia" w:cstheme="minorBidi"/>
                <w:color w:val="auto"/>
                <w:kern w:val="0"/>
                <w:sz w:val="24"/>
                <w:szCs w:val="24"/>
                <w:highlight w:val="none"/>
                <w:lang w:val="en-US" w:eastAsia="zh-CN" w:bidi="ar-SA"/>
              </w:rPr>
              <w:t>技改</w:t>
            </w:r>
            <w:r>
              <w:rPr>
                <w:rFonts w:hint="eastAsia" w:cstheme="minorBidi"/>
                <w:color w:val="auto"/>
                <w:kern w:val="0"/>
                <w:sz w:val="24"/>
                <w:szCs w:val="24"/>
                <w:highlight w:val="none"/>
                <w:lang w:val="en-US" w:eastAsia="zh-CN" w:bidi="ar-SA"/>
              </w:rPr>
              <w:t xml:space="preserve">  </w:t>
            </w:r>
            <w:r>
              <w:rPr>
                <w:rFonts w:hint="eastAsia" w:asciiTheme="minorHAnsi" w:hAnsiTheme="minorHAnsi" w:eastAsiaTheme="minorEastAsia" w:cstheme="minorBidi"/>
                <w:color w:val="auto"/>
                <w:kern w:val="0"/>
                <w:sz w:val="24"/>
                <w:szCs w:val="24"/>
                <w:highlight w:val="none"/>
                <w:lang w:val="en-US" w:eastAsia="zh-CN" w:bidi="ar-SA"/>
              </w:rPr>
              <w:t>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建设地点</w:t>
            </w:r>
          </w:p>
        </w:tc>
        <w:tc>
          <w:tcPr>
            <w:tcW w:w="7220" w:type="dxa"/>
            <w:gridSpan w:val="5"/>
            <w:vAlign w:val="center"/>
          </w:tcPr>
          <w:p>
            <w:pPr>
              <w:pStyle w:val="27"/>
              <w:jc w:val="center"/>
              <w:outlineLvl w:val="9"/>
              <w:rPr>
                <w:rFonts w:hint="eastAsia" w:eastAsiaTheme="minorEastAsia"/>
                <w:szCs w:val="21"/>
                <w:u w:val="none"/>
                <w:lang w:val="en-US" w:eastAsia="zh-CN"/>
              </w:rPr>
            </w:pPr>
            <w:r>
              <w:rPr>
                <w:rFonts w:eastAsiaTheme="minorEastAsia"/>
                <w:szCs w:val="21"/>
                <w:u w:val="none"/>
              </w:rPr>
              <w:t>黑龙江省哈尔滨市尚志市东浦新区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主要产品名称</w:t>
            </w:r>
          </w:p>
        </w:tc>
        <w:tc>
          <w:tcPr>
            <w:tcW w:w="7220" w:type="dxa"/>
            <w:gridSpan w:val="5"/>
            <w:vAlign w:val="center"/>
          </w:tcPr>
          <w:p>
            <w:pPr>
              <w:pStyle w:val="27"/>
              <w:jc w:val="center"/>
              <w:outlineLvl w:val="9"/>
              <w:rPr>
                <w:rFonts w:hint="default" w:eastAsiaTheme="minorEastAsia"/>
                <w:szCs w:val="21"/>
                <w:u w:val="none"/>
                <w:lang w:val="en-US" w:eastAsia="zh-CN"/>
              </w:rPr>
            </w:pPr>
            <w:r>
              <w:rPr>
                <w:rFonts w:hint="eastAsia" w:eastAsiaTheme="minorEastAsia"/>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设计生产能力</w:t>
            </w:r>
          </w:p>
        </w:tc>
        <w:tc>
          <w:tcPr>
            <w:tcW w:w="7220" w:type="dxa"/>
            <w:gridSpan w:val="5"/>
            <w:vAlign w:val="center"/>
          </w:tcPr>
          <w:p>
            <w:pPr>
              <w:pStyle w:val="27"/>
              <w:jc w:val="center"/>
              <w:outlineLvl w:val="9"/>
              <w:rPr>
                <w:rFonts w:hint="eastAsia" w:ascii="Times New Roman" w:hAnsi="Times New Roman" w:cs="Times New Roman" w:eastAsiaTheme="minorEastAsia"/>
                <w:szCs w:val="21"/>
                <w:highlight w:val="none"/>
                <w:u w:val="none"/>
                <w:lang w:val="en-US" w:eastAsia="zh-CN"/>
              </w:rPr>
            </w:pPr>
            <w:r>
              <w:rPr>
                <w:rFonts w:hint="default" w:ascii="Times New Roman" w:hAnsi="Times New Roman" w:cs="Times New Roman" w:eastAsiaTheme="minorEastAsia"/>
                <w:szCs w:val="21"/>
                <w:highlight w:val="none"/>
                <w:u w:val="none"/>
              </w:rPr>
              <w:t>新增1台29MW热水锅炉</w:t>
            </w:r>
            <w:r>
              <w:rPr>
                <w:rFonts w:hint="default" w:ascii="Times New Roman" w:hAnsi="Times New Roman" w:cs="Times New Roman" w:eastAsiaTheme="minorEastAsia"/>
                <w:szCs w:val="21"/>
                <w:highlight w:val="none"/>
                <w:u w:val="none"/>
                <w:lang w:eastAsia="zh-CN"/>
              </w:rPr>
              <w:t>、</w:t>
            </w:r>
            <w:r>
              <w:rPr>
                <w:rFonts w:hint="default" w:ascii="Times New Roman" w:hAnsi="Times New Roman" w:cs="Times New Roman" w:eastAsiaTheme="minorEastAsia"/>
                <w:szCs w:val="21"/>
                <w:highlight w:val="none"/>
                <w:u w:val="none"/>
                <w:lang w:val="en-US" w:eastAsia="zh-CN"/>
              </w:rPr>
              <w:t>新增</w:t>
            </w:r>
            <w:r>
              <w:rPr>
                <w:rFonts w:hint="eastAsia" w:ascii="Times New Roman" w:hAnsi="Times New Roman" w:cs="Times New Roman"/>
                <w:szCs w:val="21"/>
                <w:highlight w:val="none"/>
                <w:u w:val="none"/>
                <w:lang w:val="en-US" w:eastAsia="zh-CN"/>
              </w:rPr>
              <w:t>42</w:t>
            </w:r>
            <w:r>
              <w:rPr>
                <w:rFonts w:hint="default" w:ascii="Times New Roman" w:hAnsi="Times New Roman" w:cs="Times New Roman" w:eastAsiaTheme="minorEastAsia"/>
                <w:szCs w:val="21"/>
                <w:highlight w:val="none"/>
                <w:u w:val="none"/>
              </w:rPr>
              <w:t>万m</w:t>
            </w:r>
            <w:r>
              <w:rPr>
                <w:rFonts w:hint="default" w:ascii="Times New Roman" w:hAnsi="Times New Roman" w:cs="Times New Roman" w:eastAsiaTheme="minorEastAsia"/>
                <w:szCs w:val="21"/>
                <w:highlight w:val="none"/>
                <w:u w:val="none"/>
                <w:vertAlign w:val="superscript"/>
              </w:rPr>
              <w:t>2</w:t>
            </w:r>
            <w:r>
              <w:rPr>
                <w:rFonts w:hint="default" w:ascii="Times New Roman" w:hAnsi="Times New Roman" w:cs="Times New Roman" w:eastAsiaTheme="minorEastAsia"/>
                <w:szCs w:val="21"/>
                <w:highlight w:val="none"/>
                <w:u w:val="none"/>
              </w:rPr>
              <w:t>的供热</w:t>
            </w:r>
            <w:r>
              <w:rPr>
                <w:rFonts w:hint="default" w:ascii="Times New Roman" w:hAnsi="Times New Roman" w:cs="Times New Roman" w:eastAsiaTheme="minorEastAsia"/>
                <w:szCs w:val="21"/>
                <w:highlight w:val="none"/>
                <w:u w:val="none"/>
                <w:lang w:val="en-US"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实际生产能力</w:t>
            </w:r>
          </w:p>
        </w:tc>
        <w:tc>
          <w:tcPr>
            <w:tcW w:w="7220" w:type="dxa"/>
            <w:gridSpan w:val="5"/>
            <w:vAlign w:val="center"/>
          </w:tcPr>
          <w:p>
            <w:pPr>
              <w:pStyle w:val="27"/>
              <w:jc w:val="center"/>
              <w:outlineLvl w:val="9"/>
              <w:rPr>
                <w:rFonts w:hint="eastAsia" w:ascii="Times New Roman" w:hAnsi="Times New Roman" w:cs="Times New Roman" w:eastAsiaTheme="minorEastAsia"/>
                <w:szCs w:val="21"/>
                <w:highlight w:val="none"/>
                <w:u w:val="none"/>
                <w:lang w:val="en-US" w:eastAsia="zh-CN"/>
              </w:rPr>
            </w:pPr>
            <w:r>
              <w:rPr>
                <w:rFonts w:hint="default" w:ascii="Times New Roman" w:hAnsi="Times New Roman" w:cs="Times New Roman" w:eastAsiaTheme="minorEastAsia"/>
                <w:szCs w:val="21"/>
                <w:highlight w:val="none"/>
                <w:u w:val="none"/>
              </w:rPr>
              <w:t>新增1台29MW热水锅炉</w:t>
            </w:r>
            <w:r>
              <w:rPr>
                <w:rFonts w:hint="default" w:ascii="Times New Roman" w:hAnsi="Times New Roman" w:cs="Times New Roman" w:eastAsiaTheme="minorEastAsia"/>
                <w:szCs w:val="21"/>
                <w:highlight w:val="none"/>
                <w:u w:val="none"/>
                <w:lang w:eastAsia="zh-CN"/>
              </w:rPr>
              <w:t>、</w:t>
            </w:r>
            <w:r>
              <w:rPr>
                <w:rFonts w:hint="default" w:ascii="Times New Roman" w:hAnsi="Times New Roman" w:cs="Times New Roman" w:eastAsiaTheme="minorEastAsia"/>
                <w:szCs w:val="21"/>
                <w:highlight w:val="none"/>
                <w:u w:val="none"/>
                <w:lang w:val="en-US" w:eastAsia="zh-CN"/>
              </w:rPr>
              <w:t>新增</w:t>
            </w:r>
            <w:r>
              <w:rPr>
                <w:rFonts w:hint="eastAsia" w:ascii="Times New Roman" w:hAnsi="Times New Roman" w:cs="Times New Roman"/>
                <w:szCs w:val="21"/>
                <w:highlight w:val="none"/>
                <w:u w:val="none"/>
                <w:lang w:val="en-US" w:eastAsia="zh-CN"/>
              </w:rPr>
              <w:t>42</w:t>
            </w:r>
            <w:r>
              <w:rPr>
                <w:rFonts w:hint="default" w:ascii="Times New Roman" w:hAnsi="Times New Roman" w:cs="Times New Roman" w:eastAsiaTheme="minorEastAsia"/>
                <w:szCs w:val="21"/>
                <w:highlight w:val="none"/>
                <w:u w:val="none"/>
              </w:rPr>
              <w:t>万m</w:t>
            </w:r>
            <w:r>
              <w:rPr>
                <w:rFonts w:hint="default" w:ascii="Times New Roman" w:hAnsi="Times New Roman" w:cs="Times New Roman" w:eastAsiaTheme="minorEastAsia"/>
                <w:szCs w:val="21"/>
                <w:highlight w:val="none"/>
                <w:u w:val="none"/>
                <w:vertAlign w:val="superscript"/>
              </w:rPr>
              <w:t>2</w:t>
            </w:r>
            <w:r>
              <w:rPr>
                <w:rFonts w:hint="default" w:ascii="Times New Roman" w:hAnsi="Times New Roman" w:cs="Times New Roman" w:eastAsiaTheme="minorEastAsia"/>
                <w:szCs w:val="21"/>
                <w:highlight w:val="none"/>
                <w:u w:val="none"/>
              </w:rPr>
              <w:t>的供热</w:t>
            </w:r>
            <w:r>
              <w:rPr>
                <w:rFonts w:hint="default" w:ascii="Times New Roman" w:hAnsi="Times New Roman" w:cs="Times New Roman" w:eastAsiaTheme="minorEastAsia"/>
                <w:szCs w:val="21"/>
                <w:highlight w:val="none"/>
                <w:u w:val="none"/>
                <w:lang w:val="en-US" w:eastAsia="zh-CN"/>
              </w:rPr>
              <w:t>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建设项目环评时间</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20</w:t>
            </w:r>
            <w:r>
              <w:rPr>
                <w:rFonts w:hint="default" w:ascii="Times New Roman" w:hAnsi="Times New Roman" w:cs="Times New Roman"/>
                <w:color w:val="auto"/>
                <w:kern w:val="0"/>
                <w:sz w:val="24"/>
                <w:szCs w:val="24"/>
                <w:highlight w:val="none"/>
                <w:lang w:val="en-US" w:eastAsia="zh-CN" w:bidi="ar-SA"/>
              </w:rPr>
              <w:t>2</w:t>
            </w:r>
            <w:r>
              <w:rPr>
                <w:rFonts w:hint="eastAsia" w:ascii="Times New Roman" w:hAnsi="Times New Roman" w:cs="Times New Roman"/>
                <w:color w:val="auto"/>
                <w:kern w:val="0"/>
                <w:sz w:val="24"/>
                <w:szCs w:val="24"/>
                <w:highlight w:val="none"/>
                <w:lang w:val="en-US" w:eastAsia="zh-CN" w:bidi="ar-SA"/>
              </w:rPr>
              <w:t>2</w:t>
            </w:r>
            <w:r>
              <w:rPr>
                <w:rFonts w:hint="default" w:ascii="Times New Roman" w:hAnsi="Times New Roman" w:cs="Times New Roman" w:eastAsiaTheme="minorEastAsia"/>
                <w:color w:val="auto"/>
                <w:kern w:val="0"/>
                <w:sz w:val="24"/>
                <w:szCs w:val="24"/>
                <w:highlight w:val="none"/>
                <w:lang w:val="en-US" w:eastAsia="zh-CN" w:bidi="ar-SA"/>
              </w:rPr>
              <w:t>年</w:t>
            </w:r>
            <w:r>
              <w:rPr>
                <w:rFonts w:hint="eastAsia" w:ascii="Times New Roman" w:hAnsi="Times New Roman" w:cs="Times New Roman"/>
                <w:color w:val="auto"/>
                <w:kern w:val="0"/>
                <w:sz w:val="24"/>
                <w:szCs w:val="24"/>
                <w:highlight w:val="none"/>
                <w:lang w:val="en-US" w:eastAsia="zh-CN" w:bidi="ar-SA"/>
              </w:rPr>
              <w:t>7</w:t>
            </w:r>
            <w:r>
              <w:rPr>
                <w:rFonts w:hint="default" w:ascii="Times New Roman" w:hAnsi="Times New Roman" w:cs="Times New Roman" w:eastAsiaTheme="minorEastAsia"/>
                <w:color w:val="auto"/>
                <w:kern w:val="0"/>
                <w:sz w:val="24"/>
                <w:szCs w:val="24"/>
                <w:highlight w:val="none"/>
                <w:lang w:val="en-US" w:eastAsia="zh-CN" w:bidi="ar-SA"/>
              </w:rPr>
              <w:t>月</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开工建设时间</w:t>
            </w:r>
          </w:p>
        </w:tc>
        <w:tc>
          <w:tcPr>
            <w:tcW w:w="2638" w:type="dxa"/>
            <w:gridSpan w:val="3"/>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2022年9月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调试时间</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验收现场监测时间</w:t>
            </w:r>
          </w:p>
        </w:tc>
        <w:tc>
          <w:tcPr>
            <w:tcW w:w="2638" w:type="dxa"/>
            <w:gridSpan w:val="3"/>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202</w:t>
            </w:r>
            <w:r>
              <w:rPr>
                <w:rFonts w:hint="eastAsia" w:ascii="Times New Roman" w:hAnsi="Times New Roman" w:cs="Times New Roman"/>
                <w:color w:val="auto"/>
                <w:kern w:val="0"/>
                <w:sz w:val="24"/>
                <w:szCs w:val="24"/>
                <w:highlight w:val="none"/>
                <w:lang w:val="en-US" w:eastAsia="zh-CN" w:bidi="ar-SA"/>
              </w:rPr>
              <w:t>3</w:t>
            </w:r>
            <w:r>
              <w:rPr>
                <w:rFonts w:hint="default" w:ascii="Times New Roman" w:hAnsi="Times New Roman" w:cs="Times New Roman" w:eastAsiaTheme="minorEastAsia"/>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04</w:t>
            </w:r>
            <w:r>
              <w:rPr>
                <w:rFonts w:hint="default" w:ascii="Times New Roman" w:hAnsi="Times New Roman" w:cs="Times New Roman" w:eastAsiaTheme="minorEastAsia"/>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04</w:t>
            </w:r>
            <w:r>
              <w:rPr>
                <w:rFonts w:hint="default" w:ascii="Times New Roman" w:hAnsi="Times New Roman" w:cs="Times New Roman" w:eastAsiaTheme="minorEastAsia"/>
                <w:color w:val="auto"/>
                <w:kern w:val="0"/>
                <w:sz w:val="24"/>
                <w:szCs w:val="24"/>
                <w:highlight w:val="none"/>
                <w:lang w:val="en-US" w:eastAsia="zh-CN" w:bidi="ar-SA"/>
              </w:rPr>
              <w:t>~202</w:t>
            </w:r>
            <w:r>
              <w:rPr>
                <w:rFonts w:hint="eastAsia" w:ascii="Times New Roman" w:hAnsi="Times New Roman" w:cs="Times New Roman"/>
                <w:color w:val="auto"/>
                <w:kern w:val="0"/>
                <w:sz w:val="24"/>
                <w:szCs w:val="24"/>
                <w:highlight w:val="none"/>
                <w:lang w:val="en-US" w:eastAsia="zh-CN" w:bidi="ar-SA"/>
              </w:rPr>
              <w:t>3</w:t>
            </w:r>
            <w:r>
              <w:rPr>
                <w:rFonts w:hint="default" w:ascii="Times New Roman" w:hAnsi="Times New Roman" w:cs="Times New Roman" w:eastAsiaTheme="minorEastAsia"/>
                <w:color w:val="auto"/>
                <w:kern w:val="0"/>
                <w:sz w:val="24"/>
                <w:szCs w:val="24"/>
                <w:highlight w:val="none"/>
                <w:lang w:val="en-US" w:eastAsia="zh-CN" w:bidi="ar-SA"/>
              </w:rPr>
              <w:t>.</w:t>
            </w:r>
            <w:r>
              <w:rPr>
                <w:rFonts w:hint="eastAsia" w:ascii="Times New Roman" w:hAnsi="Times New Roman" w:cs="Times New Roman"/>
                <w:color w:val="auto"/>
                <w:kern w:val="0"/>
                <w:sz w:val="24"/>
                <w:szCs w:val="24"/>
                <w:highlight w:val="none"/>
                <w:lang w:val="en-US" w:eastAsia="zh-CN" w:bidi="ar-SA"/>
              </w:rPr>
              <w:t>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环评报告表</w:t>
            </w:r>
          </w:p>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审批部门</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哈尔滨市尚志生态环境局</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环评报告表</w:t>
            </w:r>
          </w:p>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编制单位</w:t>
            </w:r>
          </w:p>
        </w:tc>
        <w:tc>
          <w:tcPr>
            <w:tcW w:w="2638" w:type="dxa"/>
            <w:gridSpan w:val="3"/>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黑龙江辰瀚环境保护有限公司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环保设施设计单位</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环保设施施工单位</w:t>
            </w:r>
          </w:p>
        </w:tc>
        <w:tc>
          <w:tcPr>
            <w:tcW w:w="2638" w:type="dxa"/>
            <w:gridSpan w:val="3"/>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投资总概算</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220</w:t>
            </w:r>
            <w:r>
              <w:rPr>
                <w:rFonts w:hint="default" w:ascii="Times New Roman" w:hAnsi="Times New Roman" w:cs="Times New Roman" w:eastAsiaTheme="minorEastAsia"/>
                <w:color w:val="auto"/>
                <w:kern w:val="0"/>
                <w:sz w:val="24"/>
                <w:szCs w:val="24"/>
                <w:highlight w:val="none"/>
                <w:lang w:val="en-US" w:eastAsia="zh-CN" w:bidi="ar-SA"/>
              </w:rPr>
              <w:t>万</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环保投资总概算</w:t>
            </w:r>
          </w:p>
        </w:tc>
        <w:tc>
          <w:tcPr>
            <w:tcW w:w="10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25</w:t>
            </w:r>
            <w:r>
              <w:rPr>
                <w:rFonts w:hint="default" w:ascii="Times New Roman" w:hAnsi="Times New Roman" w:cs="Times New Roman" w:eastAsiaTheme="minorEastAsia"/>
                <w:color w:val="auto"/>
                <w:kern w:val="0"/>
                <w:sz w:val="24"/>
                <w:szCs w:val="24"/>
                <w:highlight w:val="none"/>
                <w:lang w:val="en-US" w:eastAsia="zh-CN" w:bidi="ar-SA"/>
              </w:rPr>
              <w:t>万</w:t>
            </w:r>
          </w:p>
        </w:tc>
        <w:tc>
          <w:tcPr>
            <w:tcW w:w="720"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比例</w:t>
            </w:r>
          </w:p>
        </w:tc>
        <w:tc>
          <w:tcPr>
            <w:tcW w:w="913"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11.36</w:t>
            </w:r>
            <w:r>
              <w:rPr>
                <w:rFonts w:hint="default" w:ascii="Times New Roman" w:hAnsi="Times New Roman" w:cs="Times New Roman" w:eastAsiaTheme="minorEastAsia"/>
                <w:color w:val="auto"/>
                <w:kern w:val="0"/>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实际总概算</w:t>
            </w:r>
          </w:p>
        </w:tc>
        <w:tc>
          <w:tcPr>
            <w:tcW w:w="2377"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220</w:t>
            </w:r>
            <w:r>
              <w:rPr>
                <w:rFonts w:hint="default" w:ascii="Times New Roman" w:hAnsi="Times New Roman" w:cs="Times New Roman" w:eastAsiaTheme="minorEastAsia"/>
                <w:color w:val="auto"/>
                <w:kern w:val="0"/>
                <w:sz w:val="24"/>
                <w:szCs w:val="24"/>
                <w:highlight w:val="none"/>
                <w:lang w:val="en-US" w:eastAsia="zh-CN" w:bidi="ar-SA"/>
              </w:rPr>
              <w:t>万</w:t>
            </w:r>
          </w:p>
        </w:tc>
        <w:tc>
          <w:tcPr>
            <w:tcW w:w="22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环保投资</w:t>
            </w:r>
          </w:p>
        </w:tc>
        <w:tc>
          <w:tcPr>
            <w:tcW w:w="1005"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25</w:t>
            </w:r>
            <w:r>
              <w:rPr>
                <w:rFonts w:hint="default" w:ascii="Times New Roman" w:hAnsi="Times New Roman" w:cs="Times New Roman" w:eastAsiaTheme="minorEastAsia"/>
                <w:color w:val="auto"/>
                <w:kern w:val="0"/>
                <w:sz w:val="24"/>
                <w:szCs w:val="24"/>
                <w:highlight w:val="none"/>
                <w:lang w:val="en-US" w:eastAsia="zh-CN" w:bidi="ar-SA"/>
              </w:rPr>
              <w:t>万</w:t>
            </w:r>
          </w:p>
        </w:tc>
        <w:tc>
          <w:tcPr>
            <w:tcW w:w="720"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default" w:ascii="Times New Roman" w:hAnsi="Times New Roman" w:cs="Times New Roman" w:eastAsiaTheme="minorEastAsia"/>
                <w:color w:val="auto"/>
                <w:kern w:val="0"/>
                <w:sz w:val="24"/>
                <w:szCs w:val="24"/>
                <w:highlight w:val="none"/>
                <w:lang w:val="en-US" w:eastAsia="zh-CN" w:bidi="ar-SA"/>
              </w:rPr>
              <w:t>比例</w:t>
            </w:r>
          </w:p>
        </w:tc>
        <w:tc>
          <w:tcPr>
            <w:tcW w:w="913" w:type="dxa"/>
            <w:vAlign w:val="center"/>
          </w:tcPr>
          <w:p>
            <w:pPr>
              <w:pStyle w:val="27"/>
              <w:jc w:val="center"/>
              <w:outlineLvl w:val="9"/>
              <w:rPr>
                <w:rFonts w:hint="default" w:ascii="Times New Roman" w:hAnsi="Times New Roman" w:cs="Times New Roman" w:eastAsiaTheme="minorEastAsia"/>
                <w:color w:val="auto"/>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bidi="ar-SA"/>
              </w:rPr>
              <w:t>11.36</w:t>
            </w:r>
            <w:r>
              <w:rPr>
                <w:rFonts w:hint="default" w:ascii="Times New Roman" w:hAnsi="Times New Roman" w:cs="Times New Roman" w:eastAsiaTheme="minorEastAsia"/>
                <w:color w:val="auto"/>
                <w:kern w:val="0"/>
                <w:sz w:val="24"/>
                <w:szCs w:val="24"/>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1" w:type="dxa"/>
            <w:vAlign w:val="center"/>
          </w:tcPr>
          <w:p>
            <w:pPr>
              <w:pStyle w:val="27"/>
              <w:jc w:val="center"/>
              <w:outlineLvl w:val="9"/>
              <w:rPr>
                <w:rFonts w:hint="default" w:asciiTheme="minorHAnsi" w:hAnsiTheme="minorHAnsi" w:eastAsiaTheme="minorEastAsia" w:cstheme="minorBidi"/>
                <w:color w:val="auto"/>
                <w:kern w:val="0"/>
                <w:sz w:val="24"/>
                <w:szCs w:val="24"/>
                <w:highlight w:val="none"/>
                <w:lang w:val="en-US" w:eastAsia="zh-CN" w:bidi="ar-SA"/>
              </w:rPr>
            </w:pPr>
            <w:r>
              <w:rPr>
                <w:rFonts w:hint="default" w:asciiTheme="minorHAnsi" w:hAnsiTheme="minorHAnsi" w:eastAsiaTheme="minorEastAsia" w:cstheme="minorBidi"/>
                <w:color w:val="auto"/>
                <w:kern w:val="0"/>
                <w:sz w:val="24"/>
                <w:szCs w:val="24"/>
                <w:highlight w:val="none"/>
                <w:lang w:val="en-US" w:eastAsia="zh-CN" w:bidi="ar-SA"/>
              </w:rPr>
              <w:t>验收监测依据</w:t>
            </w:r>
          </w:p>
        </w:tc>
        <w:tc>
          <w:tcPr>
            <w:tcW w:w="7220" w:type="dxa"/>
            <w:gridSpan w:val="5"/>
            <w:vAlign w:val="center"/>
          </w:tcPr>
          <w:p>
            <w:pPr>
              <w:pStyle w:val="27"/>
              <w:numPr>
                <w:ilvl w:val="0"/>
                <w:numId w:val="1"/>
              </w:numPr>
              <w:spacing w:line="360" w:lineRule="auto"/>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《关于印发&lt;中国环境监测总站建设项目环境保护验收监测管理规定&gt;的通知》（总站验字[2005]172号，中国环境监测总站，2005.12.14）</w:t>
            </w:r>
          </w:p>
          <w:p>
            <w:pPr>
              <w:pStyle w:val="27"/>
              <w:numPr>
                <w:ilvl w:val="0"/>
                <w:numId w:val="0"/>
              </w:numPr>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《关于规范建设单位自主开展建设项目竣工环境保护验收的通知》（环办环评函[2017]1235号）</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、《建设项目环境保护管理条例》（中华人民共和国国务院令第682号，2017.10.</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1）</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、关于发布《建设项目竣工环境保护验收暂行办法》的公告（国环规环评[2017]4号）</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、关于印发《黑龙江省环境保护厅关于建设项目环境保护设施验收的工作指引（试行）》的通知（黑龙江省环境保护厅，黑环函[2018]284号，2018.08.23）</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、《关于印发&lt;污染影响类建设项目重大变动清单（试行）&gt;的通知》（环办环评函〔2020〕688号，2020年12月13日）</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lang w:val="en-US" w:eastAsia="zh-CN"/>
              </w:rPr>
              <w:t>、《建设项目竣工环境保护验收技术指南 污染影响类》（公告2018年第9号，中华人民共和国生态环境部，2018.05.15）</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长兴供热锅炉设施建设项目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eastAsia="宋体" w:cs="Times New Roman"/>
                <w:color w:val="auto"/>
                <w:sz w:val="24"/>
                <w:szCs w:val="24"/>
                <w:highlight w:val="none"/>
                <w:lang w:val="en-US" w:eastAsia="zh-CN"/>
              </w:rPr>
              <w:t>黑龙江辰瀚环境保护有限公司，2022.1</w:t>
            </w:r>
            <w:r>
              <w:rPr>
                <w:rFonts w:hint="default" w:ascii="Times New Roman" w:hAnsi="Times New Roman" w:eastAsia="宋体" w:cs="Times New Roman"/>
                <w:color w:val="auto"/>
                <w:sz w:val="24"/>
                <w:szCs w:val="24"/>
                <w:highlight w:val="none"/>
                <w:lang w:val="en-US" w:eastAsia="zh-CN"/>
              </w:rPr>
              <w:t>）</w:t>
            </w:r>
          </w:p>
          <w:p>
            <w:pPr>
              <w:pStyle w:val="27"/>
              <w:spacing w:line="36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、《关于</w:t>
            </w:r>
            <w:r>
              <w:rPr>
                <w:rFonts w:hint="eastAsia" w:cstheme="minorBidi"/>
                <w:color w:val="auto"/>
                <w:kern w:val="0"/>
                <w:sz w:val="24"/>
                <w:szCs w:val="24"/>
                <w:highlight w:val="none"/>
                <w:lang w:val="en-US" w:eastAsia="zh-CN" w:bidi="ar-SA"/>
              </w:rPr>
              <w:t>长兴供热锅炉设施建设项目</w:t>
            </w:r>
            <w:r>
              <w:rPr>
                <w:rFonts w:hint="default" w:ascii="Times New Roman" w:hAnsi="Times New Roman" w:eastAsia="宋体" w:cs="Times New Roman"/>
                <w:color w:val="auto"/>
                <w:sz w:val="24"/>
                <w:szCs w:val="24"/>
                <w:highlight w:val="none"/>
                <w:lang w:val="en-US" w:eastAsia="zh-CN"/>
              </w:rPr>
              <w:t>环境影响报告表</w:t>
            </w:r>
            <w:r>
              <w:rPr>
                <w:rFonts w:hint="eastAsia" w:ascii="Times New Roman" w:hAnsi="Times New Roman" w:eastAsia="宋体" w:cs="Times New Roman"/>
                <w:color w:val="auto"/>
                <w:sz w:val="24"/>
                <w:szCs w:val="24"/>
                <w:highlight w:val="none"/>
                <w:lang w:val="en-US" w:eastAsia="zh-CN"/>
              </w:rPr>
              <w:t>审批意见</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尚环审表［2022］43号</w:t>
            </w:r>
            <w:r>
              <w:rPr>
                <w:rFonts w:hint="default" w:ascii="Times New Roman" w:hAnsi="Times New Roman" w:eastAsia="宋体" w:cs="Times New Roman"/>
                <w:color w:val="auto"/>
                <w:sz w:val="24"/>
                <w:szCs w:val="24"/>
                <w:highlight w:val="none"/>
                <w:lang w:val="en-US" w:eastAsia="zh-CN"/>
              </w:rPr>
              <w:t>）</w:t>
            </w:r>
          </w:p>
          <w:p>
            <w:pPr>
              <w:pStyle w:val="27"/>
              <w:spacing w:line="360" w:lineRule="auto"/>
              <w:jc w:val="both"/>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10、应急预案备案表（2023.3.23）</w:t>
            </w:r>
          </w:p>
          <w:p>
            <w:pPr>
              <w:pStyle w:val="27"/>
              <w:spacing w:line="360" w:lineRule="auto"/>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shd w:val="clear"/>
                <w:lang w:val="en-US" w:eastAsia="zh-CN"/>
              </w:rPr>
              <w:t>11、排污许可证（2023.03.03）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1" w:type="dxa"/>
            <w:vAlign w:val="center"/>
          </w:tcPr>
          <w:p>
            <w:pPr>
              <w:pStyle w:val="27"/>
              <w:jc w:val="center"/>
              <w:outlineLvl w:val="9"/>
              <w:rPr>
                <w:rFonts w:hint="default" w:asciiTheme="minorHAnsi" w:hAnsiTheme="minorHAnsi" w:eastAsiaTheme="minorEastAsia" w:cstheme="minorBidi"/>
                <w:color w:val="FF0000"/>
                <w:kern w:val="0"/>
                <w:sz w:val="24"/>
                <w:szCs w:val="24"/>
                <w:highlight w:val="none"/>
                <w:lang w:val="en-US" w:eastAsia="zh-CN" w:bidi="ar-SA"/>
              </w:rPr>
            </w:pPr>
            <w:r>
              <w:rPr>
                <w:rFonts w:hint="default" w:ascii="Times New Roman" w:hAnsi="Times New Roman" w:eastAsia="宋体" w:cs="Times New Roman"/>
                <w:color w:val="auto"/>
                <w:sz w:val="24"/>
                <w:szCs w:val="24"/>
                <w:highlight w:val="none"/>
                <w:vertAlign w:val="baseline"/>
                <w:lang w:eastAsia="zh-CN"/>
              </w:rPr>
              <w:t>验收监测评价标准、标号、级别、限值</w:t>
            </w:r>
          </w:p>
        </w:tc>
        <w:tc>
          <w:tcPr>
            <w:tcW w:w="7220" w:type="dxa"/>
            <w:gridSpan w:val="5"/>
            <w:vAlign w:val="center"/>
          </w:tcPr>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b/>
                <w:bCs/>
                <w:color w:val="auto"/>
                <w:sz w:val="24"/>
                <w:szCs w:val="24"/>
                <w:highlight w:val="none"/>
              </w:rPr>
            </w:pPr>
            <w:r>
              <w:rPr>
                <w:rFonts w:hint="default"/>
                <w:b/>
                <w:bCs/>
                <w:color w:val="auto"/>
                <w:sz w:val="24"/>
                <w:szCs w:val="24"/>
                <w:highlight w:val="none"/>
              </w:rPr>
              <w:t>废气验收执行标准</w:t>
            </w:r>
          </w:p>
          <w:p>
            <w:pPr>
              <w:pStyle w:val="27"/>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1、无组织废气：</w:t>
            </w:r>
          </w:p>
          <w:p>
            <w:pPr>
              <w:pStyle w:val="27"/>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无组织粉尘满足《大气污染物综合排放标准》（GB16297-1996）限值要求，无组织逃逸氨</w:t>
            </w:r>
            <w:r>
              <w:rPr>
                <w:rFonts w:hint="default" w:ascii="Times New Roman" w:hAnsi="Times New Roman" w:eastAsia="宋体" w:cs="Times New Roman"/>
                <w:color w:val="auto"/>
                <w:sz w:val="24"/>
                <w:szCs w:val="24"/>
                <w:highlight w:val="none"/>
                <w:lang w:val="en-US" w:eastAsia="zh-CN"/>
              </w:rPr>
              <w:t>执行</w:t>
            </w:r>
            <w:r>
              <w:rPr>
                <w:rFonts w:hint="eastAsia" w:ascii="Times New Roman" w:hAnsi="Times New Roman" w:eastAsia="宋体" w:cs="Times New Roman"/>
                <w:color w:val="auto"/>
                <w:sz w:val="24"/>
                <w:szCs w:val="24"/>
                <w:highlight w:val="none"/>
                <w:lang w:val="en-US" w:eastAsia="zh-CN"/>
              </w:rPr>
              <w:t>《恶臭污染物排放标准》（GB14554-93）限值要求。标准值</w:t>
            </w:r>
            <w:r>
              <w:rPr>
                <w:rFonts w:hint="default" w:ascii="Times New Roman" w:hAnsi="Times New Roman" w:eastAsia="宋体" w:cs="Times New Roman"/>
                <w:color w:val="auto"/>
                <w:sz w:val="24"/>
                <w:szCs w:val="24"/>
                <w:highlight w:val="none"/>
                <w:lang w:val="en-US" w:eastAsia="zh-CN"/>
              </w:rPr>
              <w:t>见表1</w:t>
            </w:r>
            <w:r>
              <w:rPr>
                <w:rFonts w:hint="default" w:ascii="Times New Roman" w:hAnsi="Times New Roman" w:eastAsia="宋体" w:cs="Times New Roman"/>
                <w:b w:val="0"/>
                <w:bCs w:val="0"/>
                <w:color w:val="auto"/>
                <w:sz w:val="24"/>
                <w:szCs w:val="24"/>
                <w:highlight w:val="none"/>
                <w:lang w:val="en-US" w:eastAsia="zh-CN"/>
              </w:rPr>
              <w:t>-1。</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黑体" w:cs="Times New Roman"/>
                <w:b w:val="0"/>
                <w:bCs w:val="0"/>
                <w:color w:val="auto"/>
                <w:szCs w:val="24"/>
                <w:highlight w:val="none"/>
                <w:lang w:val="en-US" w:eastAsia="zh-CN"/>
              </w:rPr>
            </w:pPr>
            <w:r>
              <w:rPr>
                <w:rFonts w:hint="default"/>
                <w:b w:val="0"/>
                <w:bCs w:val="0"/>
                <w:color w:val="auto"/>
                <w:highlight w:val="none"/>
                <w:lang w:eastAsia="zh-CN"/>
              </w:rPr>
              <w:t>表</w:t>
            </w:r>
            <w:r>
              <w:rPr>
                <w:rFonts w:hint="default"/>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1-1</w:t>
            </w:r>
            <w:r>
              <w:rPr>
                <w:rFonts w:hint="default"/>
                <w:b w:val="0"/>
                <w:bCs w:val="0"/>
                <w:color w:val="auto"/>
                <w:highlight w:val="none"/>
                <w:lang w:val="en-US" w:eastAsia="zh-CN"/>
              </w:rPr>
              <w:t xml:space="preserve"> </w:t>
            </w:r>
            <w:r>
              <w:rPr>
                <w:rFonts w:hint="eastAsia"/>
                <w:b w:val="0"/>
                <w:bCs w:val="0"/>
                <w:color w:val="auto"/>
                <w:highlight w:val="none"/>
                <w:lang w:val="en-US" w:eastAsia="zh-CN"/>
              </w:rPr>
              <w:t>大气污染物</w:t>
            </w:r>
            <w:r>
              <w:rPr>
                <w:rFonts w:hint="default"/>
                <w:b w:val="0"/>
                <w:bCs w:val="0"/>
                <w:color w:val="auto"/>
                <w:highlight w:val="none"/>
                <w:lang w:val="en-US" w:eastAsia="zh-CN"/>
              </w:rPr>
              <w:t>验收执行标准</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Layout w:type="autofit"/>
              <w:tblCellMar>
                <w:top w:w="0" w:type="dxa"/>
                <w:left w:w="108" w:type="dxa"/>
                <w:bottom w:w="0" w:type="dxa"/>
                <w:right w:w="108" w:type="dxa"/>
              </w:tblCellMar>
            </w:tblPr>
            <w:tblGrid>
              <w:gridCol w:w="979"/>
              <w:gridCol w:w="1118"/>
              <w:gridCol w:w="943"/>
              <w:gridCol w:w="3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620" w:hRule="atLeast"/>
                <w:jc w:val="center"/>
              </w:trPr>
              <w:tc>
                <w:tcPr>
                  <w:tcW w:w="698"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797"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w:t>
                  </w:r>
                  <w:r>
                    <w:rPr>
                      <w:rFonts w:hint="default" w:ascii="Times New Roman" w:hAnsi="Times New Roman" w:eastAsia="宋体" w:cs="Times New Roman"/>
                      <w:b/>
                      <w:bCs/>
                      <w:color w:val="auto"/>
                      <w:sz w:val="21"/>
                      <w:szCs w:val="21"/>
                      <w:highlight w:val="none"/>
                      <w:lang w:eastAsia="zh-CN"/>
                    </w:rPr>
                    <w:t>限</w:t>
                  </w:r>
                  <w:r>
                    <w:rPr>
                      <w:rFonts w:hint="default" w:ascii="Times New Roman" w:hAnsi="Times New Roman" w:eastAsia="宋体" w:cs="Times New Roman"/>
                      <w:b/>
                      <w:bCs/>
                      <w:color w:val="auto"/>
                      <w:sz w:val="21"/>
                      <w:szCs w:val="21"/>
                      <w:highlight w:val="none"/>
                    </w:rPr>
                    <w:t>值</w:t>
                  </w:r>
                </w:p>
              </w:tc>
              <w:tc>
                <w:tcPr>
                  <w:tcW w:w="672"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2831"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trHeight w:val="662" w:hRule="atLeast"/>
                <w:jc w:val="center"/>
              </w:trPr>
              <w:tc>
                <w:tcPr>
                  <w:tcW w:w="698"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颗粒物</w:t>
                  </w:r>
                </w:p>
              </w:tc>
              <w:tc>
                <w:tcPr>
                  <w:tcW w:w="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2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《大气污染物综合排放标准》（GB16297-1996）中表2新污染源大气污染物无组织排放监控浓度限值标准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8" w:space="0"/>
                </w:tblBorders>
                <w:tblCellMar>
                  <w:top w:w="0" w:type="dxa"/>
                  <w:left w:w="108" w:type="dxa"/>
                  <w:bottom w:w="0" w:type="dxa"/>
                  <w:right w:w="108" w:type="dxa"/>
                </w:tblCellMar>
              </w:tblPrEx>
              <w:trPr>
                <w:cantSplit/>
                <w:trHeight w:val="662" w:hRule="atLeast"/>
                <w:jc w:val="center"/>
              </w:trPr>
              <w:tc>
                <w:tcPr>
                  <w:tcW w:w="698" w:type="pct"/>
                  <w:tcBorders>
                    <w:tl2br w:val="nil"/>
                    <w:tr2bl w:val="nil"/>
                  </w:tcBorders>
                  <w:noWrap w:val="0"/>
                  <w:vAlign w:val="center"/>
                </w:tcPr>
                <w:p>
                  <w:pPr>
                    <w:spacing w:before="62" w:beforeLines="20" w:after="62" w:afterLines="20"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w:t>
                  </w:r>
                </w:p>
              </w:tc>
              <w:tc>
                <w:tcPr>
                  <w:tcW w:w="7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6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283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eastAsiaTheme="minorEastAsia"/>
                    </w:rPr>
                    <w:t>《恶臭污染物排放标准》（GB14554-93）无组织排放限值</w:t>
                  </w:r>
                  <w:r>
                    <w:rPr>
                      <w:rFonts w:hint="eastAsia"/>
                      <w:lang w:val="en-US" w:eastAsia="zh-CN"/>
                    </w:rPr>
                    <w:t>表1</w:t>
                  </w:r>
                  <w:r>
                    <w:rPr>
                      <w:rFonts w:eastAsiaTheme="minorEastAsia"/>
                      <w:sz w:val="21"/>
                      <w:szCs w:val="21"/>
                    </w:rPr>
                    <w:t>二级标准（新改扩建）</w:t>
                  </w:r>
                </w:p>
              </w:tc>
            </w:tr>
          </w:tbl>
          <w:p>
            <w:pPr>
              <w:pStyle w:val="27"/>
              <w:spacing w:line="360" w:lineRule="auto"/>
              <w:ind w:firstLine="482" w:firstLineChars="200"/>
              <w:jc w:val="both"/>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有组织废气</w:t>
            </w:r>
            <w:r>
              <w:rPr>
                <w:rFonts w:hint="eastAsia" w:ascii="Times New Roman" w:hAnsi="Times New Roman" w:eastAsia="宋体" w:cs="Times New Roman"/>
                <w:b/>
                <w:bCs/>
                <w:color w:val="auto"/>
                <w:kern w:val="2"/>
                <w:sz w:val="24"/>
                <w:szCs w:val="24"/>
                <w:highlight w:val="none"/>
                <w:lang w:val="en-US" w:eastAsia="zh-CN" w:bidi="ar-SA"/>
              </w:rPr>
              <w:t>：</w:t>
            </w:r>
          </w:p>
          <w:p>
            <w:pPr>
              <w:adjustRightInd w:val="0"/>
              <w:spacing w:line="360" w:lineRule="auto"/>
              <w:ind w:firstLine="480" w:firstLineChars="200"/>
              <w:textAlignment w:val="baseline"/>
              <w:rPr>
                <w:rFonts w:hint="eastAsia"/>
                <w:color w:val="auto"/>
                <w:kern w:val="0"/>
                <w:sz w:val="24"/>
                <w:highlight w:val="none"/>
              </w:rPr>
            </w:pPr>
            <w:r>
              <w:rPr>
                <w:rFonts w:hint="eastAsia" w:ascii="Times New Roman" w:hAnsi="Times New Roman" w:cs="Times New Roman"/>
                <w:color w:val="auto"/>
                <w:sz w:val="24"/>
                <w:szCs w:val="24"/>
                <w:highlight w:val="none"/>
                <w:lang w:val="en-US" w:eastAsia="zh-CN"/>
              </w:rPr>
              <w:t>锅炉烟气污染物特别排放浓度执行《锅炉大气污染物排放标准》（GB13271-2014）表3排放限值。标准值</w:t>
            </w:r>
            <w:r>
              <w:rPr>
                <w:rFonts w:hint="default" w:ascii="Times New Roman" w:hAnsi="Times New Roman" w:cs="Times New Roman"/>
                <w:color w:val="auto"/>
                <w:sz w:val="24"/>
                <w:szCs w:val="24"/>
                <w:highlight w:val="none"/>
                <w:lang w:val="en-US" w:eastAsia="zh-CN"/>
              </w:rPr>
              <w:t>见</w:t>
            </w:r>
            <w:r>
              <w:rPr>
                <w:rFonts w:hint="default" w:ascii="Times New Roman" w:hAnsi="Times New Roman" w:cs="Times New Roman"/>
                <w:b w:val="0"/>
                <w:bCs w:val="0"/>
                <w:color w:val="auto"/>
                <w:sz w:val="24"/>
                <w:szCs w:val="24"/>
                <w:highlight w:val="none"/>
                <w:lang w:val="en-US" w:eastAsia="zh-CN"/>
              </w:rPr>
              <w:t>表</w:t>
            </w:r>
            <w:r>
              <w:rPr>
                <w:rFonts w:hint="eastAsia" w:ascii="Times New Roman" w:hAnsi="Times New Roman" w:cs="Times New Roman"/>
                <w:b w:val="0"/>
                <w:bCs w:val="0"/>
                <w:color w:val="auto"/>
                <w:sz w:val="24"/>
                <w:szCs w:val="24"/>
                <w:highlight w:val="none"/>
                <w:lang w:val="en-US" w:eastAsia="zh-CN"/>
              </w:rPr>
              <w:t>1-2</w:t>
            </w:r>
            <w:r>
              <w:rPr>
                <w:rFonts w:hint="default" w:ascii="Times New Roman" w:hAnsi="Times New Roman" w:cs="Times New Roman"/>
                <w:b w:val="0"/>
                <w:bCs w:val="0"/>
                <w:color w:val="auto"/>
                <w:sz w:val="24"/>
                <w:szCs w:val="24"/>
                <w:highlight w:val="none"/>
                <w:lang w:val="en-US" w:eastAsia="zh-CN"/>
              </w:rPr>
              <w:t>。</w:t>
            </w:r>
          </w:p>
          <w:p>
            <w:pPr>
              <w:pStyle w:val="44"/>
              <w:keepNext w:val="0"/>
              <w:keepLines w:val="0"/>
              <w:pageBreakBefore w:val="0"/>
              <w:widowControl w:val="0"/>
              <w:kinsoku/>
              <w:wordWrap/>
              <w:overflowPunct/>
              <w:topLinePunct w:val="0"/>
              <w:autoSpaceDE/>
              <w:autoSpaceDN/>
              <w:bidi w:val="0"/>
              <w:adjustRightInd w:val="0"/>
              <w:snapToGrid/>
              <w:spacing w:before="0" w:after="0" w:line="240" w:lineRule="auto"/>
              <w:textAlignment w:val="auto"/>
              <w:rPr>
                <w:rFonts w:hint="default" w:ascii="黑体" w:hAnsi="黑体" w:eastAsia="黑体" w:cs="黑体"/>
                <w:b w:val="0"/>
                <w:bCs w:val="0"/>
                <w:i w:val="0"/>
                <w:iCs w:val="0"/>
                <w:color w:val="auto"/>
                <w:sz w:val="24"/>
                <w:szCs w:val="24"/>
                <w:highlight w:val="none"/>
                <w:lang w:val="en-US" w:eastAsia="zh-CN"/>
              </w:rPr>
            </w:pPr>
            <w:r>
              <w:rPr>
                <w:rFonts w:hint="default" w:ascii="黑体" w:hAnsi="黑体" w:eastAsia="黑体" w:cs="黑体"/>
                <w:b w:val="0"/>
                <w:bCs w:val="0"/>
                <w:i w:val="0"/>
                <w:iCs w:val="0"/>
                <w:color w:val="auto"/>
                <w:sz w:val="24"/>
                <w:szCs w:val="24"/>
                <w:highlight w:val="none"/>
                <w:lang w:eastAsia="zh-CN"/>
              </w:rPr>
              <w:t>表</w:t>
            </w:r>
            <w:r>
              <w:rPr>
                <w:rFonts w:hint="eastAsia" w:ascii="黑体" w:hAnsi="黑体" w:eastAsia="黑体" w:cs="黑体"/>
                <w:b w:val="0"/>
                <w:bCs w:val="0"/>
                <w:i w:val="0"/>
                <w:iCs w:val="0"/>
                <w:color w:val="auto"/>
                <w:sz w:val="24"/>
                <w:szCs w:val="24"/>
                <w:highlight w:val="none"/>
                <w:lang w:val="en-US" w:eastAsia="zh-CN"/>
              </w:rPr>
              <w:t xml:space="preserve"> </w:t>
            </w:r>
            <w:r>
              <w:rPr>
                <w:rFonts w:hint="default" w:ascii="Times New Roman" w:hAnsi="Times New Roman" w:eastAsia="黑体" w:cs="Times New Roman"/>
                <w:b w:val="0"/>
                <w:bCs w:val="0"/>
                <w:i w:val="0"/>
                <w:iCs w:val="0"/>
                <w:color w:val="auto"/>
                <w:sz w:val="24"/>
                <w:szCs w:val="24"/>
                <w:highlight w:val="none"/>
                <w:lang w:val="en-US" w:eastAsia="zh-CN"/>
              </w:rPr>
              <w:t>1-2</w:t>
            </w:r>
            <w:r>
              <w:rPr>
                <w:rFonts w:hint="default" w:ascii="黑体" w:hAnsi="黑体" w:eastAsia="黑体" w:cs="黑体"/>
                <w:b w:val="0"/>
                <w:bCs w:val="0"/>
                <w:i w:val="0"/>
                <w:iCs w:val="0"/>
                <w:color w:val="auto"/>
                <w:sz w:val="24"/>
                <w:szCs w:val="24"/>
                <w:highlight w:val="none"/>
                <w:lang w:val="en-US" w:eastAsia="zh-CN"/>
              </w:rPr>
              <w:t xml:space="preserve"> </w:t>
            </w:r>
            <w:r>
              <w:rPr>
                <w:rFonts w:hint="eastAsia" w:ascii="黑体" w:hAnsi="黑体" w:eastAsia="黑体" w:cs="黑体"/>
                <w:b w:val="0"/>
                <w:bCs w:val="0"/>
                <w:i w:val="0"/>
                <w:iCs w:val="0"/>
                <w:color w:val="auto"/>
                <w:sz w:val="24"/>
                <w:szCs w:val="24"/>
                <w:highlight w:val="none"/>
                <w:lang w:val="en-US" w:eastAsia="zh-CN"/>
              </w:rPr>
              <w:t>有</w:t>
            </w:r>
            <w:r>
              <w:rPr>
                <w:rFonts w:hint="default" w:ascii="黑体" w:hAnsi="黑体" w:eastAsia="黑体" w:cs="黑体"/>
                <w:b w:val="0"/>
                <w:bCs w:val="0"/>
                <w:i w:val="0"/>
                <w:iCs w:val="0"/>
                <w:color w:val="auto"/>
                <w:sz w:val="24"/>
                <w:szCs w:val="24"/>
                <w:highlight w:val="none"/>
                <w:lang w:val="en-US" w:eastAsia="zh-CN"/>
              </w:rPr>
              <w:t>组织废气</w:t>
            </w:r>
            <w:r>
              <w:rPr>
                <w:rFonts w:hint="eastAsia" w:ascii="黑体" w:hAnsi="黑体" w:eastAsia="黑体" w:cs="黑体"/>
                <w:b w:val="0"/>
                <w:bCs w:val="0"/>
                <w:i w:val="0"/>
                <w:iCs w:val="0"/>
                <w:color w:val="auto"/>
                <w:sz w:val="24"/>
                <w:szCs w:val="24"/>
                <w:highlight w:val="none"/>
                <w:lang w:val="en-US" w:eastAsia="zh-CN"/>
              </w:rPr>
              <w:t>验收</w:t>
            </w:r>
            <w:r>
              <w:rPr>
                <w:rFonts w:hint="default" w:ascii="黑体" w:hAnsi="黑体" w:eastAsia="黑体" w:cs="黑体"/>
                <w:b w:val="0"/>
                <w:bCs w:val="0"/>
                <w:i w:val="0"/>
                <w:iCs w:val="0"/>
                <w:color w:val="auto"/>
                <w:sz w:val="24"/>
                <w:szCs w:val="24"/>
                <w:highlight w:val="none"/>
                <w:lang w:val="en-US" w:eastAsia="zh-CN"/>
              </w:rPr>
              <w:t>执行标准</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2087"/>
              <w:gridCol w:w="2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污染物</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排放限值</w:t>
                  </w:r>
                </w:p>
              </w:tc>
              <w:tc>
                <w:tcPr>
                  <w:tcW w:w="207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vertAlign w:val="baseline"/>
                      <w:lang w:eastAsia="zh-CN"/>
                    </w:rPr>
                  </w:pPr>
                  <w:r>
                    <w:rPr>
                      <w:rFonts w:hint="default" w:ascii="Times New Roman" w:hAnsi="Times New Roman" w:eastAsia="宋体" w:cs="Times New Roman"/>
                      <w:b/>
                      <w:bCs/>
                      <w:color w:val="auto"/>
                      <w:sz w:val="21"/>
                      <w:szCs w:val="21"/>
                      <w:highlight w:val="none"/>
                      <w:vertAlign w:val="baseline"/>
                      <w:lang w:eastAsia="zh-CN"/>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4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eastAsia="zh-CN"/>
                    </w:rPr>
                  </w:pPr>
                  <w:r>
                    <w:rPr>
                      <w:rFonts w:eastAsiaTheme="minorEastAsia"/>
                      <w:sz w:val="21"/>
                      <w:szCs w:val="21"/>
                    </w:rPr>
                    <w:t>颗粒物</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30</w:t>
                  </w:r>
                </w:p>
              </w:tc>
              <w:tc>
                <w:tcPr>
                  <w:tcW w:w="207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eastAsia" w:ascii="Times New Roman" w:hAnsi="Times New Roman" w:cs="Times New Roman"/>
                      <w:color w:val="auto"/>
                      <w:sz w:val="24"/>
                      <w:szCs w:val="24"/>
                      <w:highlight w:val="none"/>
                      <w:lang w:val="en-US" w:eastAsia="zh-CN"/>
                    </w:rPr>
                    <w:t>《锅炉大气污染物排放标准》（GB13271-2014）表3排放限值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eastAsiaTheme="minorEastAsia"/>
                      <w:sz w:val="21"/>
                      <w:szCs w:val="21"/>
                    </w:rPr>
                    <w:t>二氧化硫</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200</w:t>
                  </w:r>
                </w:p>
              </w:tc>
              <w:tc>
                <w:tcPr>
                  <w:tcW w:w="207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eastAsiaTheme="minorEastAsia"/>
                      <w:sz w:val="21"/>
                      <w:szCs w:val="21"/>
                    </w:rPr>
                    <w:t>氮氧化物</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200</w:t>
                  </w:r>
                </w:p>
              </w:tc>
              <w:tc>
                <w:tcPr>
                  <w:tcW w:w="207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eastAsiaTheme="minorEastAsia"/>
                      <w:sz w:val="21"/>
                      <w:szCs w:val="21"/>
                    </w:rPr>
                    <w:t>汞及其化合物</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eastAsia="zh-CN"/>
                    </w:rPr>
                    <w:t>0.05</w:t>
                  </w:r>
                </w:p>
              </w:tc>
              <w:tc>
                <w:tcPr>
                  <w:tcW w:w="207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34" w:type="pc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eastAsiaTheme="minorEastAsia"/>
                      <w:sz w:val="21"/>
                      <w:szCs w:val="21"/>
                    </w:rPr>
                    <w:t>烟气黑度</w:t>
                  </w:r>
                </w:p>
              </w:tc>
              <w:tc>
                <w:tcPr>
                  <w:tcW w:w="14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r>
                    <w:rPr>
                      <w:rFonts w:hint="default" w:ascii="Times New Roman" w:hAnsi="Times New Roman" w:eastAsia="宋体" w:cs="Times New Roman"/>
                      <w:b w:val="0"/>
                      <w:bCs w:val="0"/>
                      <w:color w:val="auto"/>
                      <w:sz w:val="21"/>
                      <w:szCs w:val="21"/>
                      <w:highlight w:val="none"/>
                      <w:vertAlign w:val="baseline"/>
                      <w:lang w:eastAsia="zh-CN"/>
                    </w:rPr>
                    <w:t>≤1级</w:t>
                  </w:r>
                </w:p>
              </w:tc>
              <w:tc>
                <w:tcPr>
                  <w:tcW w:w="2077" w:type="pct"/>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vertAlign w:val="baseline"/>
                      <w:lang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eastAsia="zh-CN"/>
              </w:rPr>
              <w:t>二、厂界</w:t>
            </w:r>
            <w:r>
              <w:rPr>
                <w:rFonts w:hint="default" w:ascii="Times New Roman" w:hAnsi="Times New Roman" w:eastAsia="宋体" w:cs="Times New Roman"/>
                <w:b/>
                <w:bCs/>
                <w:color w:val="auto"/>
                <w:sz w:val="24"/>
                <w:szCs w:val="24"/>
                <w:highlight w:val="none"/>
              </w:rPr>
              <w:t>噪声验收执行标准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cs="Times New Roman"/>
                <w:color w:val="auto"/>
                <w:sz w:val="24"/>
                <w:szCs w:val="24"/>
                <w:highlight w:val="none"/>
                <w:lang w:eastAsia="zh-CN"/>
              </w:rPr>
              <w:t>本项目运营期厂界噪声执行《工业企业厂界环境噪声排放标准》（GB12348</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2008）</w:t>
            </w:r>
            <w:r>
              <w:rPr>
                <w:rFonts w:hint="eastAsia" w:ascii="Times New Roman" w:hAnsi="Times New Roman" w:cs="Times New Roman"/>
                <w:color w:val="auto"/>
                <w:sz w:val="24"/>
                <w:szCs w:val="24"/>
                <w:highlight w:val="none"/>
                <w:lang w:eastAsia="zh-CN"/>
              </w:rPr>
              <w:t>表</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中的2类标准，厂界噪声验收执行标准见表</w:t>
            </w:r>
            <w:r>
              <w:rPr>
                <w:rFonts w:hint="default" w:ascii="Times New Roman" w:hAnsi="Times New Roman" w:cs="Times New Roman"/>
                <w:b w:val="0"/>
                <w:bCs w:val="0"/>
                <w:color w:val="auto"/>
                <w:sz w:val="24"/>
                <w:szCs w:val="24"/>
                <w:highlight w:val="none"/>
                <w:lang w:val="en-US" w:eastAsia="zh-CN"/>
              </w:rPr>
              <w:t>1-</w:t>
            </w:r>
            <w:r>
              <w:rPr>
                <w:rFonts w:hint="eastAsia" w:ascii="Times New Roman" w:hAnsi="Times New Roman" w:cs="Times New Roman"/>
                <w:b w:val="0"/>
                <w:bCs w:val="0"/>
                <w:color w:val="auto"/>
                <w:sz w:val="24"/>
                <w:szCs w:val="24"/>
                <w:highlight w:val="none"/>
                <w:lang w:val="en-US" w:eastAsia="zh-CN"/>
              </w:rPr>
              <w:t>3</w:t>
            </w:r>
            <w:r>
              <w:rPr>
                <w:rFonts w:hint="default" w:ascii="Times New Roman" w:hAnsi="Times New Roman" w:cs="Times New Roman"/>
                <w:b w:val="0"/>
                <w:bCs w:val="0"/>
                <w:color w:val="auto"/>
                <w:sz w:val="24"/>
                <w:szCs w:val="24"/>
                <w:highlight w:val="none"/>
                <w:lang w:eastAsia="zh-CN"/>
              </w:rPr>
              <w:t>。</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b w:val="0"/>
                <w:bCs w:val="0"/>
                <w:color w:val="auto"/>
                <w:szCs w:val="24"/>
                <w:highlight w:val="none"/>
              </w:rPr>
            </w:pPr>
            <w:r>
              <w:rPr>
                <w:rFonts w:hint="default"/>
                <w:b w:val="0"/>
                <w:bCs w:val="0"/>
                <w:color w:val="auto"/>
                <w:highlight w:val="none"/>
                <w:lang w:val="en-US" w:eastAsia="zh-CN"/>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1-3</w:t>
            </w:r>
            <w:r>
              <w:rPr>
                <w:rFonts w:hint="default"/>
                <w:b w:val="0"/>
                <w:bCs w:val="0"/>
                <w:color w:val="auto"/>
                <w:highlight w:val="none"/>
                <w:lang w:val="en-US" w:eastAsia="zh-CN"/>
              </w:rPr>
              <w:t xml:space="preserve"> 厂界噪声验收执行标准</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936"/>
              <w:gridCol w:w="1212"/>
              <w:gridCol w:w="995"/>
              <w:gridCol w:w="2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28"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项目</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标准限值</w:t>
                  </w: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单位</w:t>
                  </w:r>
                </w:p>
              </w:tc>
              <w:tc>
                <w:tcPr>
                  <w:tcW w:w="189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eastAsiaTheme="minorEastAsia"/>
                      <w:b/>
                      <w:bCs/>
                      <w:color w:val="auto"/>
                      <w:sz w:val="21"/>
                      <w:szCs w:val="21"/>
                      <w:highlight w:val="none"/>
                      <w:lang w:eastAsia="zh-CN"/>
                    </w:rPr>
                  </w:pPr>
                  <w:r>
                    <w:rPr>
                      <w:rFonts w:hint="eastAsia" w:ascii="Times New Roman" w:hAnsi="Times New Roman" w:cs="Times New Roman"/>
                      <w:b/>
                      <w:bCs/>
                      <w:color w:val="auto"/>
                      <w:sz w:val="21"/>
                      <w:szCs w:val="21"/>
                      <w:highlight w:val="none"/>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6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厂界噪声</w:t>
                  </w: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昼间</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70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dB(A)</w:t>
                  </w:r>
                </w:p>
              </w:tc>
              <w:tc>
                <w:tcPr>
                  <w:tcW w:w="1897"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《工业企业厂界环境噪声排放标准》（</w:t>
                  </w:r>
                  <w:r>
                    <w:rPr>
                      <w:rFonts w:hint="default" w:ascii="Times New Roman" w:hAnsi="Times New Roman" w:eastAsia="宋体" w:cs="Times New Roman"/>
                      <w:color w:val="auto"/>
                      <w:sz w:val="21"/>
                      <w:szCs w:val="21"/>
                      <w:highlight w:val="none"/>
                    </w:rPr>
                    <w:t>GB12348-2008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表</w:t>
                  </w:r>
                  <w:r>
                    <w:rPr>
                      <w:rFonts w:hint="default" w:ascii="Times New Roman" w:hAnsi="Times New Roman" w:eastAsia="宋体" w:cs="Times New Roman"/>
                      <w:color w:val="auto"/>
                      <w:sz w:val="21"/>
                      <w:szCs w:val="21"/>
                      <w:highlight w:val="none"/>
                      <w:lang w:val="en-US" w:eastAsia="zh-CN"/>
                    </w:rPr>
                    <w:t>1</w:t>
                  </w:r>
                  <w:r>
                    <w:rPr>
                      <w:rFonts w:hint="eastAsia" w:ascii="宋体" w:hAnsi="宋体" w:eastAsia="宋体" w:cs="宋体"/>
                      <w:color w:val="auto"/>
                      <w:sz w:val="21"/>
                      <w:szCs w:val="21"/>
                      <w:highlight w:val="none"/>
                    </w:rPr>
                    <w:t>中</w:t>
                  </w:r>
                  <w:r>
                    <w:rPr>
                      <w:rFonts w:hint="eastAsia" w:ascii="Times New Roman" w:hAnsi="Times New Roman" w:eastAsia="宋体" w:cs="Times New Roman"/>
                      <w:color w:val="auto"/>
                      <w:sz w:val="21"/>
                      <w:szCs w:val="21"/>
                      <w:highlight w:val="none"/>
                      <w:lang w:val="en-US" w:eastAsia="zh-CN"/>
                    </w:rPr>
                    <w:t>2</w:t>
                  </w:r>
                  <w:r>
                    <w:rPr>
                      <w:rFonts w:hint="eastAsia" w:ascii="宋体" w:hAnsi="宋体" w:eastAsia="宋体" w:cs="宋体"/>
                      <w:color w:val="auto"/>
                      <w:sz w:val="21"/>
                      <w:szCs w:val="21"/>
                      <w:highlight w:val="none"/>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rPr>
                  </w:pPr>
                </w:p>
              </w:tc>
              <w:tc>
                <w:tcPr>
                  <w:tcW w:w="66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夜间</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c>
                <w:tcPr>
                  <w:tcW w:w="709" w:type="pct"/>
                  <w:tcBorders>
                    <w:tl2br w:val="nil"/>
                    <w:tr2bl w:val="nil"/>
                  </w:tcBorders>
                  <w:vAlign w:val="center"/>
                </w:tcPr>
                <w:p>
                  <w:pPr>
                    <w:spacing w:line="360" w:lineRule="auto"/>
                    <w:jc w:val="center"/>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dB(A)</w:t>
                  </w:r>
                </w:p>
              </w:tc>
              <w:tc>
                <w:tcPr>
                  <w:tcW w:w="1897"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color w:val="auto"/>
                      <w:sz w:val="21"/>
                      <w:szCs w:val="21"/>
                      <w:highlight w:val="none"/>
                    </w:rPr>
                  </w:pPr>
                </w:p>
              </w:tc>
            </w:tr>
          </w:tbl>
          <w:p>
            <w:pPr>
              <w:pStyle w:val="27"/>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三、固废验收执行标准</w:t>
            </w:r>
          </w:p>
          <w:p>
            <w:pPr>
              <w:pStyle w:val="27"/>
              <w:spacing w:line="360" w:lineRule="auto"/>
              <w:ind w:firstLine="480" w:firstLineChars="200"/>
              <w:jc w:val="both"/>
              <w:outlineLvl w:val="9"/>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固体废物污染物控制标准：一般固废执行《一般工业固体废物贮存和填埋污染控制标准》（GB18599-2020）、《一般固体废物分类与代码》（GB/T39198-2020）。</w:t>
            </w:r>
          </w:p>
          <w:p>
            <w:pPr>
              <w:pStyle w:val="27"/>
              <w:jc w:val="both"/>
              <w:outlineLvl w:val="9"/>
              <w:rPr>
                <w:rFonts w:hint="default" w:ascii="Times New Roman" w:hAnsi="Times New Roman" w:cs="Times New Roman" w:eastAsiaTheme="minorEastAsia"/>
                <w:color w:val="FF0000"/>
                <w:kern w:val="2"/>
                <w:sz w:val="24"/>
                <w:szCs w:val="24"/>
                <w:highlight w:val="none"/>
                <w:lang w:val="en-US" w:eastAsia="zh-CN" w:bidi="ar-SA"/>
              </w:rPr>
            </w:pPr>
          </w:p>
          <w:p>
            <w:pPr>
              <w:pStyle w:val="27"/>
              <w:jc w:val="both"/>
              <w:outlineLvl w:val="9"/>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highlight w:val="none"/>
              </w:rPr>
            </w:pPr>
          </w:p>
          <w:p>
            <w:pPr>
              <w:rPr>
                <w:rFonts w:hint="default"/>
                <w:color w:val="FF0000"/>
                <w:highlight w:val="none"/>
              </w:rPr>
            </w:pPr>
          </w:p>
          <w:p>
            <w:pPr>
              <w:pStyle w:val="18"/>
              <w:rPr>
                <w:rFonts w:hint="default"/>
                <w:color w:val="FF0000"/>
              </w:rPr>
            </w:pPr>
          </w:p>
          <w:p>
            <w:pPr>
              <w:pStyle w:val="27"/>
              <w:jc w:val="both"/>
              <w:outlineLvl w:val="9"/>
              <w:rPr>
                <w:rFonts w:hint="default"/>
                <w:color w:val="FF0000"/>
                <w:highlight w:val="none"/>
              </w:rPr>
            </w:pPr>
          </w:p>
          <w:p>
            <w:pPr>
              <w:pStyle w:val="27"/>
              <w:jc w:val="both"/>
              <w:outlineLvl w:val="9"/>
              <w:rPr>
                <w:rFonts w:hint="default"/>
                <w:color w:val="FF0000"/>
                <w:highlight w:val="none"/>
              </w:rPr>
            </w:pPr>
          </w:p>
          <w:p>
            <w:pPr>
              <w:pStyle w:val="27"/>
              <w:jc w:val="both"/>
              <w:outlineLvl w:val="9"/>
              <w:rPr>
                <w:rFonts w:hint="default"/>
                <w:color w:val="FF0000"/>
                <w:highlight w:val="none"/>
              </w:rPr>
            </w:pPr>
          </w:p>
          <w:p>
            <w:pPr>
              <w:pStyle w:val="27"/>
              <w:jc w:val="both"/>
              <w:outlineLvl w:val="9"/>
              <w:rPr>
                <w:rFonts w:hint="default"/>
                <w:color w:val="FF0000"/>
                <w:highlight w:val="none"/>
              </w:rPr>
            </w:pPr>
          </w:p>
          <w:p>
            <w:pPr>
              <w:pStyle w:val="27"/>
              <w:jc w:val="both"/>
              <w:outlineLvl w:val="9"/>
              <w:rPr>
                <w:rFonts w:hint="default"/>
                <w:color w:val="FF0000"/>
                <w:highlight w:val="none"/>
              </w:rPr>
            </w:pPr>
          </w:p>
          <w:p>
            <w:pPr>
              <w:pStyle w:val="27"/>
              <w:jc w:val="both"/>
              <w:outlineLvl w:val="9"/>
              <w:rPr>
                <w:rFonts w:hint="default"/>
                <w:color w:val="FF0000"/>
                <w:highlight w:val="none"/>
              </w:rPr>
            </w:pPr>
          </w:p>
          <w:p>
            <w:pPr>
              <w:rPr>
                <w:rFonts w:hint="eastAsia" w:ascii="Times New Roman" w:hAnsi="Times New Roman" w:eastAsia="宋体" w:cs="Times New Roman"/>
                <w:color w:val="FF0000"/>
                <w:sz w:val="24"/>
                <w:szCs w:val="24"/>
                <w:highlight w:val="none"/>
                <w:lang w:val="en-US" w:eastAsia="zh-CN"/>
              </w:rPr>
            </w:pPr>
          </w:p>
        </w:tc>
      </w:tr>
    </w:tbl>
    <w:p>
      <w:pPr>
        <w:rPr>
          <w:rFonts w:hint="eastAsia" w:ascii="宋体" w:hAnsi="宋体" w:eastAsia="宋体" w:cs="宋体"/>
          <w:b/>
          <w:bCs/>
          <w:color w:val="FF0000"/>
          <w:sz w:val="28"/>
          <w:szCs w:val="28"/>
          <w:highlight w:val="none"/>
          <w:lang w:eastAsia="zh-CN"/>
        </w:rPr>
      </w:pPr>
      <w:bookmarkStart w:id="2" w:name="_Toc30282"/>
      <w:r>
        <w:rPr>
          <w:rFonts w:hint="eastAsia" w:ascii="宋体" w:hAnsi="宋体" w:eastAsia="宋体" w:cs="宋体"/>
          <w:b/>
          <w:bCs/>
          <w:color w:val="FF0000"/>
          <w:sz w:val="28"/>
          <w:szCs w:val="28"/>
          <w:highlight w:val="none"/>
          <w:lang w:eastAsia="zh-CN"/>
        </w:rPr>
        <w:br w:type="page"/>
      </w:r>
    </w:p>
    <w:p>
      <w:pPr>
        <w:pStyle w:val="27"/>
        <w:keepNext w:val="0"/>
        <w:keepLines w:val="0"/>
        <w:pageBreakBefore w:val="0"/>
        <w:kinsoku/>
        <w:wordWrap/>
        <w:overflowPunct/>
        <w:topLinePunct w:val="0"/>
        <w:bidi w:val="0"/>
        <w:spacing w:line="360" w:lineRule="auto"/>
        <w:jc w:val="both"/>
        <w:textAlignment w:val="auto"/>
        <w:outlineLvl w:val="0"/>
        <w:rPr>
          <w:rFonts w:hint="eastAsia" w:ascii="仿宋" w:hAnsi="仿宋" w:eastAsia="仿宋" w:cs="仿宋"/>
          <w:b/>
          <w:bCs/>
          <w:color w:val="FF0000"/>
          <w:sz w:val="28"/>
          <w:szCs w:val="28"/>
          <w:highlight w:val="none"/>
          <w:lang w:val="en-US" w:eastAsia="zh-CN"/>
        </w:rPr>
      </w:pPr>
      <w:bookmarkStart w:id="3" w:name="_Toc18893"/>
      <w:r>
        <w:rPr>
          <w:rFonts w:hint="eastAsia" w:ascii="宋体" w:hAnsi="宋体" w:eastAsia="宋体" w:cs="宋体"/>
          <w:b/>
          <w:bCs/>
          <w:color w:val="auto"/>
          <w:sz w:val="28"/>
          <w:szCs w:val="28"/>
          <w:highlight w:val="none"/>
          <w:lang w:eastAsia="zh-CN"/>
        </w:rPr>
        <w:t>表二</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eastAsia="zh-CN"/>
        </w:rPr>
        <w:t>工程建设内容</w:t>
      </w:r>
      <w:bookmarkEnd w:id="2"/>
      <w:bookmarkEnd w:id="3"/>
    </w:p>
    <w:tbl>
      <w:tblPr>
        <w:tblStyle w:val="22"/>
        <w:tblW w:w="8938" w:type="dxa"/>
        <w:tblInd w:w="-2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5" w:hRule="atLeast"/>
        </w:trPr>
        <w:tc>
          <w:tcPr>
            <w:tcW w:w="8938" w:type="dxa"/>
          </w:tcPr>
          <w:p>
            <w:pPr>
              <w:pStyle w:val="27"/>
              <w:spacing w:line="360" w:lineRule="auto"/>
              <w:ind w:firstLine="562" w:firstLineChars="200"/>
              <w:jc w:val="both"/>
              <w:outlineLvl w:val="9"/>
              <w:rPr>
                <w:rFonts w:hint="eastAsia" w:asciiTheme="minorHAnsi" w:hAnsiTheme="minorHAnsi" w:eastAsiaTheme="minorEastAsia" w:cstheme="minorBidi"/>
                <w:b/>
                <w:bCs/>
                <w:color w:val="auto"/>
                <w:kern w:val="2"/>
                <w:sz w:val="28"/>
                <w:szCs w:val="28"/>
                <w:highlight w:val="none"/>
                <w:lang w:val="en-US" w:eastAsia="zh-CN" w:bidi="ar-SA"/>
              </w:rPr>
            </w:pPr>
            <w:r>
              <w:rPr>
                <w:rFonts w:hint="eastAsia" w:asciiTheme="minorHAnsi" w:hAnsiTheme="minorHAnsi" w:eastAsiaTheme="minorEastAsia" w:cstheme="minorBidi"/>
                <w:b/>
                <w:bCs/>
                <w:color w:val="auto"/>
                <w:kern w:val="2"/>
                <w:sz w:val="28"/>
                <w:szCs w:val="28"/>
                <w:highlight w:val="none"/>
                <w:lang w:val="en-US" w:eastAsia="zh-CN" w:bidi="ar-SA"/>
              </w:rPr>
              <w:t>工程建设内容：</w:t>
            </w:r>
          </w:p>
          <w:p>
            <w:pPr>
              <w:pStyle w:val="27"/>
              <w:spacing w:line="360" w:lineRule="auto"/>
              <w:ind w:firstLine="480" w:firstLineChars="200"/>
              <w:jc w:val="both"/>
              <w:outlineLvl w:val="9"/>
              <w:rPr>
                <w:rFonts w:hint="default" w:ascii="Times New Roman" w:hAnsi="Times New Roman" w:cs="Times New Roman" w:eastAsiaTheme="minorEastAsia"/>
                <w:color w:val="auto"/>
                <w:kern w:val="2"/>
                <w:sz w:val="24"/>
                <w:szCs w:val="24"/>
                <w:highlight w:val="none"/>
                <w:lang w:val="en-US" w:eastAsia="zh-CN" w:bidi="ar-SA"/>
              </w:rPr>
            </w:pPr>
            <w:bookmarkStart w:id="4" w:name="_Hlk83389460"/>
            <w:r>
              <w:rPr>
                <w:rFonts w:hint="default" w:ascii="Times New Roman" w:hAnsi="Times New Roman" w:cs="Times New Roman" w:eastAsiaTheme="minorEastAsia"/>
                <w:color w:val="auto"/>
                <w:kern w:val="2"/>
                <w:sz w:val="24"/>
                <w:szCs w:val="24"/>
                <w:highlight w:val="none"/>
                <w:lang w:val="en-US" w:eastAsia="zh-CN" w:bidi="ar-SA"/>
              </w:rPr>
              <w:t>尚志市长兴供热服务有限责任公司成立于2005年11月，主要从事热力生产和供应管理。2016年11月由哈尔滨铁路局环境保护公司完成《长兴供热锅炉设施建设项目环境影响报告表》编制，哈尔滨市尚志生态环境局（原尚志市环境保护局）于2016年12月2日对报告表进行了批复（尚环审表[2016]25号）。2019年7月该项目的废气、废水、噪声部分顺利通过自主验收（验收意见见附件5)，同年7月该项目的固废顺利通过哈尔滨市尚志生态环境局（原尚志市环境保护局）的环保验收（尚环函[2019]67号）。为保证尚志市东浦新区居民集中用热，公司于2017年建设1台29MW双筒横置式层燃斜推往复炉排燃煤热水锅炉，型号为SHW29-1.25/115/70-A</w:t>
            </w:r>
            <w:r>
              <w:rPr>
                <w:rFonts w:hint="eastAsia" w:ascii="Times New Roman" w:hAnsi="Times New Roman" w:cs="Times New Roman" w:eastAsiaTheme="minorEastAsia"/>
                <w:color w:val="auto"/>
                <w:kern w:val="2"/>
                <w:sz w:val="24"/>
                <w:szCs w:val="24"/>
                <w:highlight w:val="none"/>
                <w:lang w:val="en-US" w:eastAsia="zh-CN" w:bidi="ar-SA"/>
              </w:rPr>
              <w:t>Ⅱ</w:t>
            </w:r>
            <w:r>
              <w:rPr>
                <w:rFonts w:hint="default" w:ascii="Times New Roman" w:hAnsi="Times New Roman" w:cs="Times New Roman" w:eastAsiaTheme="minorEastAsia"/>
                <w:color w:val="auto"/>
                <w:kern w:val="2"/>
                <w:sz w:val="24"/>
                <w:szCs w:val="24"/>
                <w:highlight w:val="none"/>
                <w:lang w:val="en-US" w:eastAsia="zh-CN" w:bidi="ar-SA"/>
              </w:rPr>
              <w:t>，并配备布袋除尘器，双碱法脱硫装置一套（考虑到扩建需求，排放系统按照“两炉一塔”设置），建设SNCR法脱硝装置，现有锅炉房内闲置1台14MW热水锅炉，环评文件项目中供热面积24万m</w:t>
            </w:r>
            <w:r>
              <w:rPr>
                <w:rFonts w:hint="default" w:ascii="Times New Roman" w:hAnsi="Times New Roman" w:cs="Times New Roman" w:eastAsiaTheme="minorEastAsia"/>
                <w:color w:val="auto"/>
                <w:kern w:val="2"/>
                <w:sz w:val="24"/>
                <w:szCs w:val="24"/>
                <w:highlight w:val="none"/>
                <w:vertAlign w:val="superscript"/>
                <w:lang w:val="en-US" w:eastAsia="zh-CN" w:bidi="ar-SA"/>
              </w:rPr>
              <w:t>2</w:t>
            </w:r>
            <w:r>
              <w:rPr>
                <w:rFonts w:hint="default" w:ascii="Times New Roman" w:hAnsi="Times New Roman" w:cs="Times New Roman" w:eastAsiaTheme="minorEastAsia"/>
                <w:color w:val="auto"/>
                <w:kern w:val="2"/>
                <w:sz w:val="24"/>
                <w:szCs w:val="24"/>
                <w:highlight w:val="none"/>
                <w:lang w:val="en-US" w:eastAsia="zh-CN" w:bidi="ar-SA"/>
              </w:rPr>
              <w:t>。</w:t>
            </w:r>
          </w:p>
          <w:p>
            <w:pPr>
              <w:pStyle w:val="27"/>
              <w:spacing w:line="360" w:lineRule="auto"/>
              <w:ind w:firstLine="480" w:firstLineChars="200"/>
              <w:jc w:val="both"/>
              <w:outlineLvl w:val="9"/>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近年来，尚志市东浦新区已建设了河滨鑫源小区，东埔景园小区，泰和水岸小区，金河湾小区，东埔公馆小区，尚志党校，东埔小学，社区医院，东埔医院等集中居住小区及医院，新增供热需求已达42万m</w:t>
            </w:r>
            <w:r>
              <w:rPr>
                <w:rFonts w:hint="default" w:ascii="Times New Roman" w:hAnsi="Times New Roman" w:cs="Times New Roman" w:eastAsiaTheme="minorEastAsia"/>
                <w:color w:val="auto"/>
                <w:kern w:val="2"/>
                <w:sz w:val="24"/>
                <w:szCs w:val="24"/>
                <w:highlight w:val="none"/>
                <w:vertAlign w:val="superscript"/>
                <w:lang w:val="en-US" w:eastAsia="zh-CN" w:bidi="ar-SA"/>
              </w:rPr>
              <w:t>2</w:t>
            </w:r>
            <w:r>
              <w:rPr>
                <w:rFonts w:hint="default" w:ascii="Times New Roman" w:hAnsi="Times New Roman" w:cs="Times New Roman" w:eastAsiaTheme="minorEastAsia"/>
                <w:color w:val="auto"/>
                <w:kern w:val="2"/>
                <w:sz w:val="24"/>
                <w:szCs w:val="24"/>
                <w:highlight w:val="none"/>
                <w:lang w:val="en-US" w:eastAsia="zh-CN" w:bidi="ar-SA"/>
              </w:rPr>
              <w:t>。现有29MW双筒横置式层燃斜推往复炉排燃煤热水锅炉已达到33万m</w:t>
            </w:r>
            <w:r>
              <w:rPr>
                <w:rFonts w:hint="default" w:ascii="Times New Roman" w:hAnsi="Times New Roman" w:cs="Times New Roman" w:eastAsiaTheme="minorEastAsia"/>
                <w:color w:val="auto"/>
                <w:kern w:val="2"/>
                <w:sz w:val="24"/>
                <w:szCs w:val="24"/>
                <w:highlight w:val="none"/>
                <w:vertAlign w:val="superscript"/>
                <w:lang w:val="en-US" w:eastAsia="zh-CN" w:bidi="ar-SA"/>
              </w:rPr>
              <w:t>2</w:t>
            </w:r>
            <w:r>
              <w:rPr>
                <w:rFonts w:hint="default" w:ascii="Times New Roman" w:hAnsi="Times New Roman" w:cs="Times New Roman" w:eastAsiaTheme="minorEastAsia"/>
                <w:color w:val="auto"/>
                <w:kern w:val="2"/>
                <w:sz w:val="24"/>
                <w:szCs w:val="24"/>
                <w:highlight w:val="none"/>
                <w:lang w:val="en-US" w:eastAsia="zh-CN" w:bidi="ar-SA"/>
              </w:rPr>
              <w:t>满负荷供热能力。为了实现新增集中供热需求，尚志市长兴供热服务有限责任公司投资220万元，于2018年</w:t>
            </w:r>
            <w:r>
              <w:rPr>
                <w:rFonts w:hint="eastAsia" w:ascii="Times New Roman" w:hAnsi="Times New Roman" w:cs="Times New Roman" w:eastAsiaTheme="minorEastAsia"/>
                <w:color w:val="auto"/>
                <w:kern w:val="2"/>
                <w:sz w:val="24"/>
                <w:szCs w:val="24"/>
                <w:highlight w:val="none"/>
                <w:lang w:val="en-US" w:eastAsia="zh-CN" w:bidi="ar-SA"/>
              </w:rPr>
              <w:t>8</w:t>
            </w:r>
            <w:r>
              <w:rPr>
                <w:rFonts w:hint="default" w:ascii="Times New Roman" w:hAnsi="Times New Roman" w:cs="Times New Roman" w:eastAsiaTheme="minorEastAsia"/>
                <w:color w:val="auto"/>
                <w:kern w:val="2"/>
                <w:sz w:val="24"/>
                <w:szCs w:val="24"/>
                <w:highlight w:val="none"/>
                <w:lang w:val="en-US" w:eastAsia="zh-CN" w:bidi="ar-SA"/>
              </w:rPr>
              <w:t>月在现有锅炉房内新增1台29MW热水锅炉及配套除尘、脱硝装置，其他配套设施均依托现有，由于供热范围内小区未投入使用，新增的一台29MW锅炉未办理环评手续未投入使用，本项目建设完成后，2台29MW热水锅炉投入使用，拆除现有1台14MW热水锅炉，实现最终供热面积66万m</w:t>
            </w:r>
            <w:r>
              <w:rPr>
                <w:rFonts w:hint="default" w:ascii="Times New Roman" w:hAnsi="Times New Roman" w:cs="Times New Roman" w:eastAsiaTheme="minorEastAsia"/>
                <w:color w:val="auto"/>
                <w:kern w:val="2"/>
                <w:sz w:val="24"/>
                <w:szCs w:val="24"/>
                <w:highlight w:val="none"/>
                <w:vertAlign w:val="superscript"/>
                <w:lang w:val="en-US" w:eastAsia="zh-CN" w:bidi="ar-SA"/>
              </w:rPr>
              <w:t>2</w:t>
            </w:r>
            <w:r>
              <w:rPr>
                <w:rFonts w:hint="default" w:ascii="Times New Roman" w:hAnsi="Times New Roman" w:cs="Times New Roman" w:eastAsiaTheme="minorEastAsia"/>
                <w:color w:val="auto"/>
                <w:kern w:val="2"/>
                <w:sz w:val="24"/>
                <w:szCs w:val="24"/>
                <w:highlight w:val="none"/>
                <w:lang w:val="en-US" w:eastAsia="zh-CN" w:bidi="ar-SA"/>
              </w:rPr>
              <w:t>的供热能力。</w:t>
            </w:r>
            <w:bookmarkEnd w:id="4"/>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 2-1 验收项目建设内容</w:t>
            </w:r>
          </w:p>
          <w:tbl>
            <w:tblPr>
              <w:tblStyle w:val="21"/>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586"/>
              <w:gridCol w:w="588"/>
              <w:gridCol w:w="2864"/>
              <w:gridCol w:w="2852"/>
              <w:gridCol w:w="11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类别</w:t>
                  </w: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1642"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环评阶段建设内容</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实际建设内容</w:t>
                  </w:r>
                </w:p>
              </w:tc>
              <w:tc>
                <w:tcPr>
                  <w:tcW w:w="64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6" w:hRule="atLeast"/>
              </w:trPr>
              <w:tc>
                <w:tcPr>
                  <w:tcW w:w="402"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lang w:val="en-US" w:eastAsia="zh-CN"/>
                    </w:rPr>
                    <w:t>锅炉房</w:t>
                  </w:r>
                </w:p>
              </w:tc>
              <w:tc>
                <w:tcPr>
                  <w:tcW w:w="1642" w:type="pct"/>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kern w:val="2"/>
                      <w:sz w:val="21"/>
                      <w:szCs w:val="21"/>
                      <w:highlight w:val="none"/>
                      <w:vertAlign w:val="superscript"/>
                      <w:lang w:val="en-US" w:eastAsia="zh-CN" w:bidi="ar-SA"/>
                    </w:rPr>
                  </w:pPr>
                  <w:r>
                    <w:rPr>
                      <w:rFonts w:hint="default" w:ascii="Times New Roman" w:hAnsi="Times New Roman" w:eastAsia="宋体" w:cs="Times New Roman"/>
                    </w:rPr>
                    <w:t>利用现有锅炉房，建设一台29MW双筒横置式层燃斜推往复炉排燃煤热水锅炉，型号为SHW29-1.25/115/70-AⅡ，新建低氮燃烧脱硝设施，除尘</w:t>
                  </w:r>
                  <w:r>
                    <w:rPr>
                      <w:rFonts w:hint="default" w:ascii="Times New Roman" w:hAnsi="Times New Roman" w:eastAsia="宋体" w:cs="Times New Roman"/>
                      <w:lang w:val="en-US" w:eastAsia="zh-CN"/>
                    </w:rPr>
                    <w:t>设施</w:t>
                  </w:r>
                  <w:r>
                    <w:rPr>
                      <w:rFonts w:hint="default" w:ascii="Times New Roman" w:hAnsi="Times New Roman" w:eastAsia="宋体" w:cs="Times New Roman"/>
                      <w:lang w:eastAsia="zh-CN"/>
                    </w:rPr>
                    <w:t>、</w:t>
                  </w:r>
                  <w:r>
                    <w:rPr>
                      <w:rFonts w:hint="default" w:ascii="Times New Roman" w:hAnsi="Times New Roman" w:eastAsia="宋体" w:cs="Times New Roman"/>
                    </w:rPr>
                    <w:t>SNCR脱硝设施</w:t>
                  </w:r>
                  <w:r>
                    <w:rPr>
                      <w:rFonts w:hint="default" w:ascii="Times New Roman" w:hAnsi="Times New Roman" w:eastAsia="宋体" w:cs="Times New Roman"/>
                      <w:lang w:val="en-US" w:eastAsia="zh-CN"/>
                    </w:rPr>
                    <w:t>已建，</w:t>
                  </w:r>
                  <w:r>
                    <w:rPr>
                      <w:rFonts w:hint="default" w:ascii="Times New Roman" w:hAnsi="Times New Roman" w:eastAsia="宋体" w:cs="Times New Roman"/>
                    </w:rPr>
                    <w:t>脱硫依托现有。锅炉年运行180天，每天运行24小时。</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vertAlign w:val="superscript"/>
                      <w:lang w:val="en-US" w:eastAsia="zh-CN"/>
                    </w:rPr>
                  </w:pPr>
                  <w:r>
                    <w:rPr>
                      <w:rFonts w:hint="default" w:ascii="Times New Roman" w:hAnsi="Times New Roman" w:eastAsia="宋体" w:cs="Times New Roman"/>
                    </w:rPr>
                    <w:t>建设一台29MW双筒横置式层燃斜推往复炉排燃煤热水锅炉，型号为SHW29-1.25/115/70-AⅡ，新建低氮燃烧脱硝设施</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与环评及批复一致</w:t>
                  </w:r>
                </w:p>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2"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储运工程</w:t>
                  </w: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FF0000"/>
                      <w:sz w:val="21"/>
                      <w:szCs w:val="21"/>
                      <w:highlight w:val="none"/>
                    </w:rPr>
                  </w:pPr>
                  <w:r>
                    <w:rPr>
                      <w:rFonts w:hint="default" w:ascii="Times New Roman" w:hAnsi="Times New Roman" w:cs="Times New Roman" w:eastAsiaTheme="minorEastAsia"/>
                    </w:rPr>
                    <w:t>渣场</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rPr>
                    <w:t>现有一座全封闭渣场，建筑面积为</w:t>
                  </w:r>
                  <w:r>
                    <w:rPr>
                      <w:rFonts w:hint="default" w:ascii="Times New Roman" w:hAnsi="Times New Roman" w:eastAsia="宋体" w:cs="Times New Roman"/>
                      <w:lang w:val="en-GB"/>
                    </w:rPr>
                    <w:t>600</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，用于灰渣及脱硫副产物临时堆放及储存，地面简单防渗处理。</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rPr>
                    <w:t>一座全封闭渣场</w:t>
                  </w:r>
                  <w:r>
                    <w:rPr>
                      <w:rFonts w:hint="default" w:ascii="Times New Roman" w:hAnsi="Times New Roman" w:eastAsia="宋体" w:cs="Times New Roman"/>
                      <w:lang w:eastAsia="zh-CN"/>
                    </w:rPr>
                    <w:t>，</w:t>
                  </w:r>
                  <w:r>
                    <w:rPr>
                      <w:rFonts w:hint="default" w:ascii="Times New Roman" w:hAnsi="Times New Roman" w:eastAsia="宋体" w:cs="Times New Roman"/>
                    </w:rPr>
                    <w:t>地面简单防渗处理。</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FF0000"/>
                      <w:sz w:val="21"/>
                      <w:szCs w:val="21"/>
                      <w:highlight w:val="none"/>
                    </w:rPr>
                  </w:pPr>
                  <w:r>
                    <w:rPr>
                      <w:rFonts w:hint="default" w:ascii="Times New Roman" w:hAnsi="Times New Roman" w:cs="Times New Roman" w:eastAsiaTheme="minorEastAsia"/>
                    </w:rPr>
                    <w:t>贮煤场</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rPr>
                    <w:t>煤堆表面采用苫布苫盖，煤场采取防风抑尘网措施，绿化面积98m</w:t>
                  </w:r>
                  <w:r>
                    <w:rPr>
                      <w:rFonts w:hint="default" w:ascii="Times New Roman" w:hAnsi="Times New Roman" w:eastAsia="宋体" w:cs="Times New Roman"/>
                      <w:vertAlign w:val="superscript"/>
                    </w:rPr>
                    <w:t>2</w:t>
                  </w:r>
                  <w:r>
                    <w:rPr>
                      <w:rFonts w:hint="default" w:ascii="Times New Roman" w:hAnsi="Times New Roman" w:eastAsia="宋体" w:cs="Times New Roman"/>
                    </w:rPr>
                    <w:t>，种植当地常见的植物种，以高大杨树为主，有减小风力的作用。</w:t>
                  </w:r>
                </w:p>
              </w:tc>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highlight w:val="none"/>
                    </w:rPr>
                    <w:t>煤堆表面采用苫布苫盖</w:t>
                  </w:r>
                  <w:r>
                    <w:rPr>
                      <w:rFonts w:hint="default" w:ascii="Times New Roman" w:hAnsi="Times New Roman" w:eastAsia="宋体" w:cs="Times New Roman"/>
                    </w:rPr>
                    <w:t>，煤场</w:t>
                  </w:r>
                  <w:r>
                    <w:rPr>
                      <w:rFonts w:hint="default" w:ascii="Times New Roman" w:hAnsi="Times New Roman" w:eastAsia="宋体" w:cs="Times New Roman"/>
                      <w:lang w:val="en-US" w:eastAsia="zh-CN"/>
                    </w:rPr>
                    <w:t>四周建设</w:t>
                  </w:r>
                  <w:r>
                    <w:rPr>
                      <w:rFonts w:hint="default" w:ascii="Times New Roman" w:hAnsi="Times New Roman" w:eastAsia="宋体" w:cs="Times New Roman"/>
                    </w:rPr>
                    <w:t>防风抑尘网</w:t>
                  </w:r>
                  <w:r>
                    <w:rPr>
                      <w:rFonts w:hint="default" w:ascii="Times New Roman" w:hAnsi="Times New Roman" w:eastAsia="宋体" w:cs="Times New Roman"/>
                      <w:color w:val="auto"/>
                      <w:sz w:val="21"/>
                      <w:szCs w:val="21"/>
                      <w:highlight w:val="none"/>
                      <w:lang w:val="en-US" w:eastAsia="zh-CN"/>
                    </w:rPr>
                    <w:t>。</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2"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辅助工程</w:t>
                  </w: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烟囱</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rPr>
                  </w:pPr>
                  <w:r>
                    <w:rPr>
                      <w:rFonts w:hint="default" w:ascii="Times New Roman" w:hAnsi="Times New Roman" w:eastAsia="宋体" w:cs="Times New Roman"/>
                    </w:rPr>
                    <w:t>烟气经由50m高烟囱排放，出口内径2.8m</w:t>
                  </w:r>
                </w:p>
              </w:tc>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烟气经由50m高烟囱排放，出口内径2.8m</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软化水</w:t>
                  </w:r>
                </w:p>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处理系统</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rPr>
                  </w:pPr>
                  <w:r>
                    <w:rPr>
                      <w:rFonts w:hint="default" w:ascii="Times New Roman" w:hAnsi="Times New Roman" w:eastAsia="宋体" w:cs="Times New Roman"/>
                    </w:rPr>
                    <w:t>锅炉软化水处理主要是为工程正常运行提供水质合格的锅炉补给水，通过反渗透处理过程对原水进行处理</w:t>
                  </w:r>
                </w:p>
              </w:tc>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锅炉软化水处理主要是为工程正常运行提供水质合格的锅炉补给水，通过反渗透处理过程对原水进行处理</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除灰渣</w:t>
                  </w:r>
                </w:p>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系统</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rPr>
                  </w:pPr>
                  <w:r>
                    <w:rPr>
                      <w:rFonts w:hint="default" w:ascii="Times New Roman" w:hAnsi="Times New Roman" w:eastAsia="宋体" w:cs="Times New Roman"/>
                    </w:rPr>
                    <w:t>采用灰渣混除的除灰渣系统，经灰浆泵将灰渣输送至渣场，除尘灰利用水经管道冲入渣场，灰渣脱水后，除渣汽车运走综合利用。外售尚志市永泰新型墙体节能材料厂。</w:t>
                  </w:r>
                </w:p>
              </w:tc>
              <w:tc>
                <w:tcPr>
                  <w:tcW w:w="1635" w:type="pct"/>
                  <w:noWrap w:val="0"/>
                  <w:vAlign w:val="center"/>
                </w:tcPr>
                <w:p>
                  <w:pPr>
                    <w:keepNext w:val="0"/>
                    <w:keepLines w:val="0"/>
                    <w:pageBreakBefore w:val="0"/>
                    <w:widowControl w:val="0"/>
                    <w:kinsoku/>
                    <w:wordWrap/>
                    <w:overflowPunct/>
                    <w:topLinePunct w:val="0"/>
                    <w:autoSpaceDE/>
                    <w:autoSpaceDN/>
                    <w:bidi w:val="0"/>
                    <w:adjustRightInd/>
                    <w:snapToGrid/>
                    <w:spacing w:beforeAutospacing="0" w:afterAutospacing="0"/>
                    <w:ind w:right="0" w:rightChars="0"/>
                    <w:jc w:val="center"/>
                    <w:textAlignment w:val="auto"/>
                    <w:rPr>
                      <w:rFonts w:hint="default" w:ascii="Times New Roman" w:hAnsi="Times New Roman" w:eastAsia="宋体" w:cs="Times New Roman"/>
                    </w:rPr>
                  </w:pPr>
                  <w:r>
                    <w:rPr>
                      <w:rFonts w:hint="default" w:ascii="Times New Roman" w:hAnsi="Times New Roman" w:eastAsia="宋体" w:cs="Times New Roman"/>
                    </w:rPr>
                    <w:t>采用灰渣混除的除灰渣系统，经灰浆泵将灰渣输送至渣场，除尘灰利用水经管道冲入渣场，灰渣脱水后，汽车</w:t>
                  </w:r>
                  <w:r>
                    <w:rPr>
                      <w:rFonts w:hint="eastAsia" w:ascii="Times New Roman" w:hAnsi="Times New Roman" w:eastAsia="宋体" w:cs="Times New Roman"/>
                      <w:lang w:val="en-US" w:eastAsia="zh-CN"/>
                    </w:rPr>
                    <w:t>外</w:t>
                  </w:r>
                  <w:r>
                    <w:rPr>
                      <w:rFonts w:hint="default" w:ascii="Times New Roman" w:hAnsi="Times New Roman" w:eastAsia="宋体" w:cs="Times New Roman"/>
                    </w:rPr>
                    <w:t>运综合利用。</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402"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供水</w:t>
                  </w:r>
                </w:p>
              </w:tc>
              <w:tc>
                <w:tcPr>
                  <w:tcW w:w="1642"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eastAsiaTheme="minorEastAsia"/>
                    </w:rPr>
                    <w:t>项目生活、生产用水水源由市政自来水公司供给</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由市政供水。</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排水</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eastAsiaTheme="minorEastAsia"/>
                    </w:rPr>
                    <w:t>雨水排水排入厂外雨水排水管网，本项目无新增的工作人员，无新增的生活污水。本项目废水主要为锅炉排污水及软化水处理废水，锅炉排污水及软化水处理废水用于除灰渣，综合利用，不外排。</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rPr>
                    <w:t>雨水排水排入厂外雨水排水管网</w:t>
                  </w:r>
                  <w:r>
                    <w:rPr>
                      <w:rFonts w:hint="default" w:ascii="Times New Roman" w:hAnsi="Times New Roman" w:cs="Times New Roman"/>
                      <w:lang w:eastAsia="zh-CN"/>
                    </w:rPr>
                    <w:t>，</w:t>
                  </w:r>
                  <w:r>
                    <w:rPr>
                      <w:rFonts w:hint="default" w:ascii="Times New Roman" w:hAnsi="Times New Roman" w:cs="Times New Roman" w:eastAsiaTheme="minorEastAsia"/>
                    </w:rPr>
                    <w:t>本项目废水主要为锅炉排污水及软化水处理废水，锅炉排污水及软化水处理废水用于除灰渣，综合利用，不外排。</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供电</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eastAsiaTheme="minorEastAsia"/>
                    </w:rPr>
                    <w:t>供电来自尚志市供电所，厂内变电间设10kV高压配电装置和一台1600kVA变压器，另设380/220V低压配电装置。</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rPr>
                    <w:t>供电来自尚志市供电所，厂内变电间设10kV高压配电装置和一台1600kVA变压器，另设380/220V低压配电装置。</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02"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环保工程</w:t>
                  </w:r>
                </w:p>
              </w:tc>
              <w:tc>
                <w:tcPr>
                  <w:tcW w:w="336" w:type="pct"/>
                  <w:vMerge w:val="restart"/>
                  <w:noWrap w:val="0"/>
                  <w:vAlign w:val="center"/>
                </w:tcPr>
                <w:p>
                  <w:pPr>
                    <w:keepNext w:val="0"/>
                    <w:keepLines w:val="0"/>
                    <w:pageBreakBefore w:val="0"/>
                    <w:widowControl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废气治理</w:t>
                  </w:r>
                </w:p>
              </w:tc>
              <w:tc>
                <w:tcPr>
                  <w:tcW w:w="337" w:type="pct"/>
                  <w:noWrap w:val="0"/>
                  <w:vAlign w:val="center"/>
                </w:tcPr>
                <w:p>
                  <w:pPr>
                    <w:adjustRightInd w:val="0"/>
                    <w:snapToGrid w:val="0"/>
                    <w:spacing w:line="240" w:lineRule="auto"/>
                    <w:ind w:firstLine="0" w:firstLineChars="0"/>
                    <w:jc w:val="center"/>
                    <w:rPr>
                      <w:rFonts w:hint="default" w:ascii="Times New Roman" w:hAnsi="Times New Roman" w:cs="Times New Roman" w:eastAsiaTheme="minorEastAsia"/>
                    </w:rPr>
                  </w:pPr>
                  <w:r>
                    <w:rPr>
                      <w:rFonts w:hint="default" w:ascii="Times New Roman" w:hAnsi="Times New Roman" w:cs="Times New Roman" w:eastAsiaTheme="minorEastAsia"/>
                    </w:rPr>
                    <w:t>脱硫</w:t>
                  </w:r>
                </w:p>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及脱硝</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lang w:val="zh-CN"/>
                    </w:rPr>
                    <w:t>采用双碱法脱硫系统，脱硫效率80%；采用低氮燃烧+SNCR脱硝工艺，效率为</w:t>
                  </w:r>
                  <w:r>
                    <w:rPr>
                      <w:rFonts w:hint="default" w:ascii="Times New Roman" w:hAnsi="Times New Roman" w:cs="Times New Roman" w:eastAsiaTheme="minorEastAsia"/>
                    </w:rPr>
                    <w:t>4</w:t>
                  </w:r>
                  <w:r>
                    <w:rPr>
                      <w:rFonts w:hint="default" w:ascii="Times New Roman" w:hAnsi="Times New Roman" w:cs="Times New Roman" w:eastAsiaTheme="minorEastAsia"/>
                      <w:lang w:val="zh-CN"/>
                    </w:rPr>
                    <w:t>0%</w:t>
                  </w:r>
                </w:p>
              </w:tc>
              <w:tc>
                <w:tcPr>
                  <w:tcW w:w="1635"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lang w:val="zh-CN"/>
                    </w:rPr>
                    <w:t>采用双碱法脱硫系统，脱硫效率80%；采用低氮燃烧+SNCR脱硝工艺，效率为</w:t>
                  </w:r>
                  <w:r>
                    <w:rPr>
                      <w:rFonts w:hint="default" w:ascii="Times New Roman" w:hAnsi="Times New Roman" w:cs="Times New Roman" w:eastAsiaTheme="minorEastAsia"/>
                    </w:rPr>
                    <w:t>4</w:t>
                  </w:r>
                  <w:r>
                    <w:rPr>
                      <w:rFonts w:hint="default" w:ascii="Times New Roman" w:hAnsi="Times New Roman" w:cs="Times New Roman" w:eastAsiaTheme="minorEastAsia"/>
                      <w:lang w:val="zh-CN"/>
                    </w:rPr>
                    <w:t>0%</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336" w:type="pct"/>
                  <w:vMerge w:val="continue"/>
                  <w:noWrap w:val="0"/>
                  <w:vAlign w:val="center"/>
                </w:tcPr>
                <w:p>
                  <w:pPr>
                    <w:keepNext w:val="0"/>
                    <w:keepLines w:val="0"/>
                    <w:pageBreakBefore w:val="0"/>
                    <w:widowControl w:val="0"/>
                    <w:kinsoku/>
                    <w:wordWrap/>
                    <w:overflowPunct/>
                    <w:topLinePunct w:val="0"/>
                    <w:autoSpaceDE/>
                    <w:autoSpaceDN/>
                    <w:bidi w:val="0"/>
                    <w:spacing w:line="240" w:lineRule="auto"/>
                    <w:ind w:right="0" w:rightChars="0" w:firstLine="0" w:firstLineChars="0"/>
                    <w:jc w:val="center"/>
                    <w:textAlignment w:val="auto"/>
                    <w:rPr>
                      <w:rFonts w:hint="default" w:ascii="Times New Roman" w:hAnsi="Times New Roman" w:eastAsia="宋体" w:cs="Times New Roman"/>
                      <w:color w:val="FF0000"/>
                      <w:sz w:val="21"/>
                      <w:szCs w:val="21"/>
                      <w:highlight w:val="none"/>
                    </w:rPr>
                  </w:pPr>
                </w:p>
              </w:tc>
              <w:tc>
                <w:tcPr>
                  <w:tcW w:w="337"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FF0000"/>
                      <w:sz w:val="21"/>
                      <w:szCs w:val="21"/>
                      <w:highlight w:val="none"/>
                    </w:rPr>
                  </w:pPr>
                  <w:r>
                    <w:rPr>
                      <w:rFonts w:hint="default" w:ascii="Times New Roman" w:hAnsi="Times New Roman" w:cs="Times New Roman" w:eastAsiaTheme="minorEastAsia"/>
                    </w:rPr>
                    <w:t>除尘</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lang w:val="zh-CN"/>
                    </w:rPr>
                    <w:t>燃烧后烟气中</w:t>
                  </w:r>
                  <w:r>
                    <w:rPr>
                      <w:rFonts w:hint="default" w:ascii="Times New Roman" w:hAnsi="Times New Roman" w:cs="Times New Roman" w:eastAsiaTheme="minorEastAsia"/>
                    </w:rPr>
                    <w:t>粉煤灰</w:t>
                  </w:r>
                  <w:r>
                    <w:rPr>
                      <w:rFonts w:hint="default" w:ascii="Times New Roman" w:hAnsi="Times New Roman" w:cs="Times New Roman" w:eastAsiaTheme="minorEastAsia"/>
                      <w:lang w:val="zh-CN"/>
                    </w:rPr>
                    <w:t>经冷却器后进入布袋除尘器除尘效率99.5%</w:t>
                  </w:r>
                </w:p>
              </w:tc>
              <w:tc>
                <w:tcPr>
                  <w:tcW w:w="1635"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eastAsiaTheme="minorEastAsia"/>
                      <w:lang w:val="zh-CN"/>
                    </w:rPr>
                    <w:t>燃烧后烟气中</w:t>
                  </w:r>
                  <w:r>
                    <w:rPr>
                      <w:rFonts w:hint="default" w:ascii="Times New Roman" w:hAnsi="Times New Roman" w:cs="Times New Roman" w:eastAsiaTheme="minorEastAsia"/>
                    </w:rPr>
                    <w:t>粉煤灰</w:t>
                  </w:r>
                  <w:r>
                    <w:rPr>
                      <w:rFonts w:hint="default" w:ascii="Times New Roman" w:hAnsi="Times New Roman" w:cs="Times New Roman" w:eastAsiaTheme="minorEastAsia"/>
                      <w:lang w:val="zh-CN"/>
                    </w:rPr>
                    <w:t>经冷却器后进入布袋除尘器除尘效率99.5%</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673" w:type="pct"/>
                  <w:gridSpan w:val="2"/>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rPr>
                    <w:t>①</w:t>
                  </w:r>
                  <w:r>
                    <w:rPr>
                      <w:rFonts w:hint="default" w:ascii="Times New Roman" w:hAnsi="Times New Roman" w:cs="Times New Roman" w:eastAsiaTheme="minorEastAsia"/>
                    </w:rPr>
                    <w:t>锅炉排污水及软化水处理废水用于锅炉除渣、除灰，综合利用，不外排。</w:t>
                  </w:r>
                  <w:r>
                    <w:rPr>
                      <w:rFonts w:hint="default" w:ascii="Times New Roman" w:hAnsi="Times New Roman" w:cs="Times New Roman"/>
                    </w:rPr>
                    <w:t>②</w:t>
                  </w:r>
                  <w:r>
                    <w:rPr>
                      <w:rFonts w:hint="default" w:ascii="Times New Roman" w:hAnsi="Times New Roman" w:cs="Times New Roman" w:eastAsiaTheme="minorEastAsia"/>
                    </w:rPr>
                    <w:t>脱硫废水处理站对脱硫废水进行氧化、沉淀处理，上清液回用脱硫。</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rPr>
                    <w:t>①</w:t>
                  </w:r>
                  <w:r>
                    <w:rPr>
                      <w:rFonts w:hint="default" w:ascii="Times New Roman" w:hAnsi="Times New Roman" w:cs="Times New Roman" w:eastAsiaTheme="minorEastAsia"/>
                    </w:rPr>
                    <w:t>锅炉排污水及软化水处理废水用于锅炉除渣、除灰，综合利用，不外排。</w:t>
                  </w:r>
                  <w:r>
                    <w:rPr>
                      <w:rFonts w:hint="default" w:ascii="Times New Roman" w:hAnsi="Times New Roman" w:cs="Times New Roman"/>
                    </w:rPr>
                    <w:t>②</w:t>
                  </w:r>
                  <w:r>
                    <w:rPr>
                      <w:rFonts w:hint="default" w:ascii="Times New Roman" w:hAnsi="Times New Roman" w:cs="Times New Roman" w:eastAsiaTheme="minorEastAsia"/>
                    </w:rPr>
                    <w:t>脱硫废水处理站对脱硫废水进行氧化、沉淀处理，上清液回用脱硫。</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673" w:type="pct"/>
                  <w:gridSpan w:val="2"/>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噪声治理</w:t>
                  </w:r>
                </w:p>
              </w:tc>
              <w:tc>
                <w:tcPr>
                  <w:tcW w:w="1642" w:type="pct"/>
                  <w:noWrap w:val="0"/>
                  <w:vAlign w:val="center"/>
                </w:tcPr>
                <w:p>
                  <w:pPr>
                    <w:pStyle w:val="29"/>
                    <w:keepNext w:val="0"/>
                    <w:keepLines w:val="0"/>
                    <w:pageBreakBefore w:val="0"/>
                    <w:widowControl w:val="0"/>
                    <w:kinsoku/>
                    <w:wordWrap/>
                    <w:overflowPunct/>
                    <w:topLinePunct w:val="0"/>
                    <w:autoSpaceDE/>
                    <w:autoSpaceDN/>
                    <w:bidi w:val="0"/>
                    <w:spacing w:beforeLines="0" w:afterLines="0" w:line="240" w:lineRule="auto"/>
                    <w:ind w:right="0" w:rightChars="0" w:firstLine="0" w:firstLineChars="0"/>
                    <w:textAlignment w:val="auto"/>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cs="Times New Roman" w:eastAsiaTheme="minorEastAsia"/>
                    </w:rPr>
                    <w:t>本项目主要噪声为各生产设备及风机等。采取选用低噪声设备，通过厂房隔声、基础减振等措施，限制噪声向外传播。生产中产生的噪声通过以上污染防治措施处理后对外环境影响较小，厂界噪声可满足《工业企业厂界环境噪声排放标准》（GB12348-2008）表1中2类</w:t>
                  </w:r>
                </w:p>
              </w:tc>
              <w:tc>
                <w:tcPr>
                  <w:tcW w:w="1635" w:type="pc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rPr>
                    <w:t>采取选用低噪声设备，通过厂房隔声、基础减振等措施</w:t>
                  </w:r>
                  <w:r>
                    <w:rPr>
                      <w:rFonts w:hint="default" w:ascii="Times New Roman" w:hAnsi="Times New Roman" w:cs="Times New Roman"/>
                      <w:lang w:eastAsia="zh-CN"/>
                    </w:rPr>
                    <w:t>。</w:t>
                  </w:r>
                </w:p>
              </w:tc>
              <w:tc>
                <w:tcPr>
                  <w:tcW w:w="645" w:type="pct"/>
                  <w:noWrap w:val="0"/>
                  <w:vAlign w:val="center"/>
                </w:tcPr>
                <w:p>
                  <w:pPr>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p>
              </w:tc>
              <w:tc>
                <w:tcPr>
                  <w:tcW w:w="336"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auto"/>
                      <w:sz w:val="21"/>
                      <w:szCs w:val="21"/>
                      <w:highlight w:val="none"/>
                    </w:rPr>
                    <w:t>固废治理</w:t>
                  </w:r>
                </w:p>
              </w:tc>
              <w:tc>
                <w:tcPr>
                  <w:tcW w:w="337"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废离子交换树脂</w:t>
                  </w:r>
                </w:p>
              </w:tc>
              <w:tc>
                <w:tcPr>
                  <w:tcW w:w="1642" w:type="pct"/>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eastAsiaTheme="minorEastAsia"/>
                    </w:rPr>
                    <w:t>软化水制作过程产生的废离子交换树脂由市政部门统一清运进行卫生填埋。</w:t>
                  </w:r>
                </w:p>
              </w:tc>
              <w:tc>
                <w:tcPr>
                  <w:tcW w:w="2851" w:type="dxa"/>
                  <w:noWrap w:val="0"/>
                  <w:vAlign w:val="center"/>
                </w:tcPr>
                <w:p>
                  <w:pPr>
                    <w:adjustRightInd w:val="0"/>
                    <w:snapToGrid w:val="0"/>
                    <w:spacing w:line="240" w:lineRule="auto"/>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rPr>
                    <w:t>软化水制作过程产生的废离子交换树脂由市政部门统一清运进行卫生填埋。</w:t>
                  </w:r>
                </w:p>
              </w:tc>
              <w:tc>
                <w:tcPr>
                  <w:tcW w:w="645" w:type="pct"/>
                  <w:vMerge w:val="restart"/>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highlight w:val="none"/>
                      <w:lang w:val="en-US" w:eastAsia="zh-CN"/>
                    </w:rPr>
                    <w:t>与环评及批复一致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cs="Times New Roman"/>
                    </w:rPr>
                  </w:pPr>
                </w:p>
              </w:tc>
              <w:tc>
                <w:tcPr>
                  <w:tcW w:w="336"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cs="Times New Roman"/>
                    </w:rPr>
                  </w:pPr>
                </w:p>
              </w:tc>
              <w:tc>
                <w:tcPr>
                  <w:tcW w:w="337"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除尘器收尘</w:t>
                  </w:r>
                </w:p>
              </w:tc>
              <w:tc>
                <w:tcPr>
                  <w:tcW w:w="1642"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除尘器收尘统一收集暂存于封闭式渣场储存间，定期拉运出厂，外售综合利用，不做长期堆存。</w:t>
                  </w:r>
                </w:p>
              </w:tc>
              <w:tc>
                <w:tcPr>
                  <w:tcW w:w="2851"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除尘器收尘统一收集暂存于封闭式渣场储存间，定期拉运出厂。</w:t>
                  </w:r>
                </w:p>
              </w:tc>
              <w:tc>
                <w:tcPr>
                  <w:tcW w:w="645"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336"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337"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炉渣</w:t>
                  </w:r>
                </w:p>
              </w:tc>
              <w:tc>
                <w:tcPr>
                  <w:tcW w:w="1642" w:type="pct"/>
                  <w:noWrap w:val="0"/>
                  <w:vAlign w:val="center"/>
                </w:tcPr>
                <w:p>
                  <w:pPr>
                    <w:adjustRightInd w:val="0"/>
                    <w:snapToGrid w:val="0"/>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锅炉炉渣暂存于渣场，统一外售，不做长期堆存</w:t>
                  </w:r>
                </w:p>
              </w:tc>
              <w:tc>
                <w:tcPr>
                  <w:tcW w:w="2851" w:type="dxa"/>
                  <w:noWrap w:val="0"/>
                  <w:vAlign w:val="center"/>
                </w:tcPr>
                <w:p>
                  <w:pPr>
                    <w:adjustRightInd w:val="0"/>
                    <w:snapToGrid w:val="0"/>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锅炉炉渣暂存于渣场，统一外售，不做长期堆存</w:t>
                  </w:r>
                </w:p>
              </w:tc>
              <w:tc>
                <w:tcPr>
                  <w:tcW w:w="645"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402"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336"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c>
                <w:tcPr>
                  <w:tcW w:w="337"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脱硫副产物</w:t>
                  </w:r>
                </w:p>
              </w:tc>
              <w:tc>
                <w:tcPr>
                  <w:tcW w:w="1642" w:type="pct"/>
                  <w:noWrap w:val="0"/>
                  <w:vAlign w:val="center"/>
                </w:tcPr>
                <w:p>
                  <w:pPr>
                    <w:adjustRightInd w:val="0"/>
                    <w:snapToGrid w:val="0"/>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脱硫副产物暂存在渣场内，定期清运外售，不做长期堆存</w:t>
                  </w:r>
                </w:p>
              </w:tc>
              <w:tc>
                <w:tcPr>
                  <w:tcW w:w="2851" w:type="dxa"/>
                  <w:noWrap w:val="0"/>
                  <w:vAlign w:val="center"/>
                </w:tcPr>
                <w:p>
                  <w:pPr>
                    <w:adjustRightInd w:val="0"/>
                    <w:snapToGrid w:val="0"/>
                    <w:spacing w:line="240" w:lineRule="auto"/>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cs="Times New Roman" w:eastAsiaTheme="minorEastAsia"/>
                    </w:rPr>
                    <w:t>脱硫副产物暂存在渣场内，定期清运外售，不做长期堆存</w:t>
                  </w:r>
                </w:p>
              </w:tc>
              <w:tc>
                <w:tcPr>
                  <w:tcW w:w="645" w:type="pct"/>
                  <w:vMerge w:val="continue"/>
                  <w:noWrap w:val="0"/>
                  <w:vAlign w:val="center"/>
                </w:tcPr>
                <w:p>
                  <w:pPr>
                    <w:pStyle w:val="29"/>
                    <w:keepNext w:val="0"/>
                    <w:keepLines w:val="0"/>
                    <w:pageBreakBefore w:val="0"/>
                    <w:widowControl w:val="0"/>
                    <w:kinsoku/>
                    <w:wordWrap/>
                    <w:overflowPunct/>
                    <w:topLinePunct w:val="0"/>
                    <w:autoSpaceDE/>
                    <w:autoSpaceDN/>
                    <w:bidi w:val="0"/>
                    <w:spacing w:beforeAutospacing="0" w:afterAutospacing="0" w:line="240" w:lineRule="auto"/>
                    <w:ind w:right="0" w:rightChars="0" w:firstLine="0"/>
                    <w:jc w:val="center"/>
                    <w:textAlignment w:val="auto"/>
                    <w:rPr>
                      <w:rFonts w:hint="default" w:ascii="Times New Roman" w:hAnsi="Times New Roman" w:eastAsia="宋体" w:cs="Times New Roman"/>
                      <w:color w:val="auto"/>
                      <w:sz w:val="21"/>
                      <w:szCs w:val="21"/>
                      <w:highlight w:val="none"/>
                    </w:rPr>
                  </w:pPr>
                </w:p>
              </w:tc>
            </w:tr>
          </w:tbl>
          <w:p>
            <w:p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8"/>
                <w:szCs w:val="28"/>
                <w:highlight w:val="none"/>
                <w:lang w:val="en-US" w:eastAsia="zh-CN"/>
              </w:rPr>
              <w:t>原辅材料消耗及水平衡</w:t>
            </w:r>
          </w:p>
          <w:p>
            <w:p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一、主要原辅材料</w:t>
            </w:r>
          </w:p>
          <w:p>
            <w:pPr>
              <w:bidi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本项目主要原辅料见</w:t>
            </w:r>
            <w:r>
              <w:rPr>
                <w:rFonts w:hint="default" w:ascii="Times New Roman" w:hAnsi="Times New Roman" w:eastAsia="宋体" w:cs="Times New Roman"/>
                <w:b w:val="0"/>
                <w:bCs w:val="0"/>
                <w:color w:val="auto"/>
                <w:sz w:val="24"/>
                <w:szCs w:val="24"/>
                <w:highlight w:val="none"/>
                <w:lang w:val="en-US" w:eastAsia="zh-CN"/>
              </w:rPr>
              <w:t>表2-2。</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b w:val="0"/>
                <w:bCs w:val="0"/>
                <w:color w:val="auto"/>
                <w:highlight w:val="none"/>
                <w:lang w:val="en-US" w:eastAsia="zh-CN"/>
              </w:rPr>
            </w:pPr>
            <w:r>
              <w:rPr>
                <w:rFonts w:hint="default"/>
                <w:b w:val="0"/>
                <w:bCs w:val="0"/>
                <w:color w:val="auto"/>
                <w:highlight w:val="none"/>
                <w:lang w:val="en-US" w:eastAsia="zh-CN"/>
              </w:rPr>
              <w:t xml:space="preserve">表 </w:t>
            </w:r>
            <w:r>
              <w:rPr>
                <w:rFonts w:hint="default" w:ascii="Times New Roman" w:hAnsi="Times New Roman" w:cs="Times New Roman"/>
                <w:b w:val="0"/>
                <w:bCs w:val="0"/>
                <w:color w:val="auto"/>
                <w:highlight w:val="none"/>
                <w:lang w:val="en-US" w:eastAsia="zh-CN"/>
              </w:rPr>
              <w:t>2-2</w:t>
            </w:r>
            <w:r>
              <w:rPr>
                <w:rFonts w:hint="default"/>
                <w:b w:val="0"/>
                <w:bCs w:val="0"/>
                <w:color w:val="auto"/>
                <w:highlight w:val="none"/>
                <w:lang w:val="en-US" w:eastAsia="zh-CN"/>
              </w:rPr>
              <w:t xml:space="preserve"> 原辅材料消耗情况一览表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3188"/>
              <w:gridCol w:w="2100"/>
              <w:gridCol w:w="1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0"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828"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1204"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年用量（t/a）</w:t>
                  </w:r>
                </w:p>
              </w:tc>
              <w:tc>
                <w:tcPr>
                  <w:tcW w:w="996" w:type="pct"/>
                  <w:tcBorders>
                    <w:top w:val="single" w:color="auto" w:sz="12" w:space="0"/>
                  </w:tcBorders>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828"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eastAsiaTheme="minorEastAsia"/>
                      <w:sz w:val="21"/>
                      <w:szCs w:val="21"/>
                    </w:rPr>
                    <w:t>煤</w:t>
                  </w:r>
                </w:p>
              </w:tc>
              <w:tc>
                <w:tcPr>
                  <w:tcW w:w="1204"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eastAsiaTheme="minorEastAsia"/>
                      <w:sz w:val="21"/>
                      <w:szCs w:val="21"/>
                    </w:rPr>
                    <w:t>26400</w:t>
                  </w:r>
                </w:p>
              </w:tc>
              <w:tc>
                <w:tcPr>
                  <w:tcW w:w="99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3188" w:type="dxa"/>
                  <w:noWrap w:val="0"/>
                  <w:vAlign w:val="center"/>
                </w:tcPr>
                <w:p>
                  <w:pPr>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sz w:val="21"/>
                      <w:szCs w:val="21"/>
                    </w:rPr>
                    <w:t>尿素</w:t>
                  </w:r>
                </w:p>
              </w:tc>
              <w:tc>
                <w:tcPr>
                  <w:tcW w:w="2100" w:type="dxa"/>
                  <w:noWrap w:val="0"/>
                  <w:vAlign w:val="center"/>
                </w:tcPr>
                <w:p>
                  <w:pPr>
                    <w:spacing w:line="240" w:lineRule="auto"/>
                    <w:ind w:firstLine="0" w:firstLine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eastAsiaTheme="minorEastAsia"/>
                      <w:sz w:val="21"/>
                      <w:szCs w:val="21"/>
                    </w:rPr>
                    <w:t>31.44</w:t>
                  </w:r>
                </w:p>
              </w:tc>
              <w:tc>
                <w:tcPr>
                  <w:tcW w:w="99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3188" w:type="dxa"/>
                  <w:noWrap w:val="0"/>
                  <w:vAlign w:val="center"/>
                </w:tcPr>
                <w:p>
                  <w:pPr>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sz w:val="21"/>
                      <w:szCs w:val="21"/>
                    </w:rPr>
                    <w:t>生石灰</w:t>
                  </w:r>
                </w:p>
              </w:tc>
              <w:tc>
                <w:tcPr>
                  <w:tcW w:w="2100" w:type="dxa"/>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174.76</w:t>
                  </w:r>
                </w:p>
              </w:tc>
              <w:tc>
                <w:tcPr>
                  <w:tcW w:w="99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70"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3188" w:type="dxa"/>
                  <w:noWrap w:val="0"/>
                  <w:vAlign w:val="center"/>
                </w:tcPr>
                <w:p>
                  <w:pPr>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eastAsiaTheme="minorEastAsia"/>
                      <w:sz w:val="21"/>
                      <w:szCs w:val="21"/>
                    </w:rPr>
                    <w:t>氢氧化钠</w:t>
                  </w:r>
                </w:p>
              </w:tc>
              <w:tc>
                <w:tcPr>
                  <w:tcW w:w="2100" w:type="dxa"/>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131.67</w:t>
                  </w:r>
                </w:p>
              </w:tc>
              <w:tc>
                <w:tcPr>
                  <w:tcW w:w="996" w:type="pct"/>
                  <w:noWrap w:val="0"/>
                  <w:vAlign w:val="center"/>
                </w:tcPr>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外购</w:t>
                  </w:r>
                </w:p>
              </w:tc>
            </w:tr>
          </w:tbl>
          <w:p>
            <w:pPr>
              <w:pStyle w:val="49"/>
              <w:keepNext w:val="0"/>
              <w:keepLines w:val="0"/>
              <w:pageBreakBefore w:val="0"/>
              <w:widowControl w:val="0"/>
              <w:kinsoku/>
              <w:wordWrap/>
              <w:overflowPunct/>
              <w:topLinePunct w:val="0"/>
              <w:autoSpaceDE w:val="0"/>
              <w:autoSpaceDN w:val="0"/>
              <w:bidi w:val="0"/>
              <w:adjustRightInd/>
              <w:snapToGrid/>
              <w:spacing w:line="24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燃料成分分析见表2-3。</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表</w:t>
            </w:r>
            <w:r>
              <w:rPr>
                <w:rFonts w:hint="eastAsia" w:ascii="Times New Roman" w:hAnsi="Times New Roman"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2-3</w:t>
            </w:r>
            <w:r>
              <w:rPr>
                <w:rFonts w:hint="eastAsia" w:ascii="Times New Roman" w:hAnsi="Times New Roman" w:cs="Times New Roman"/>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燃料煤成分分析一览表</w:t>
            </w:r>
          </w:p>
          <w:tbl>
            <w:tblPr>
              <w:tblStyle w:val="21"/>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1378"/>
              <w:gridCol w:w="1613"/>
              <w:gridCol w:w="26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名称</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符号</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单位</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全水分</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Mt</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空气干燥基水分</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Mad</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灰分</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Aad</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收到基灰分</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Aar</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挥发分</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Vad</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全硫</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St,ad</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收到基全硫</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St,ar</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89"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收到基低位发热</w:t>
                  </w:r>
                </w:p>
              </w:tc>
              <w:tc>
                <w:tcPr>
                  <w:tcW w:w="1378"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Qnet,ar</w:t>
                  </w:r>
                </w:p>
              </w:tc>
              <w:tc>
                <w:tcPr>
                  <w:tcW w:w="1613"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MJ/kg</w:t>
                  </w:r>
                </w:p>
              </w:tc>
              <w:tc>
                <w:tcPr>
                  <w:tcW w:w="2607" w:type="dxa"/>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22.2</w:t>
                  </w:r>
                </w:p>
              </w:tc>
            </w:tr>
          </w:tbl>
          <w:p>
            <w:p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二、设备情况：</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b w:val="0"/>
                <w:bCs w:val="0"/>
                <w:color w:val="auto"/>
                <w:highlight w:val="none"/>
              </w:rPr>
            </w:pPr>
            <w:r>
              <w:rPr>
                <w:rFonts w:hint="default"/>
                <w:b w:val="0"/>
                <w:bCs w:val="0"/>
                <w:color w:val="auto"/>
                <w:highlight w:val="none"/>
              </w:rPr>
              <w:t>表</w:t>
            </w:r>
            <w:r>
              <w:rPr>
                <w:rFonts w:hint="default"/>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2-</w:t>
            </w:r>
            <w:r>
              <w:rPr>
                <w:rFonts w:hint="eastAsia" w:ascii="Times New Roman" w:hAnsi="Times New Roman" w:cs="Times New Roman"/>
                <w:b w:val="0"/>
                <w:bCs w:val="0"/>
                <w:color w:val="auto"/>
                <w:highlight w:val="none"/>
                <w:lang w:val="en-US" w:eastAsia="zh-CN"/>
              </w:rPr>
              <w:t>4</w:t>
            </w:r>
            <w:r>
              <w:rPr>
                <w:rFonts w:hint="default"/>
                <w:b w:val="0"/>
                <w:bCs w:val="0"/>
                <w:color w:val="auto"/>
                <w:highlight w:val="none"/>
              </w:rPr>
              <w:t xml:space="preserve"> 主要生产设备清单表</w:t>
            </w:r>
          </w:p>
          <w:tbl>
            <w:tblPr>
              <w:tblStyle w:val="21"/>
              <w:tblW w:w="500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2255"/>
              <w:gridCol w:w="3375"/>
              <w:gridCol w:w="1110"/>
              <w:gridCol w:w="10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序号</w:t>
                  </w:r>
                </w:p>
              </w:tc>
              <w:tc>
                <w:tcPr>
                  <w:tcW w:w="129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设备名称</w:t>
                  </w:r>
                </w:p>
              </w:tc>
              <w:tc>
                <w:tcPr>
                  <w:tcW w:w="1932"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单位</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1</w:t>
                  </w:r>
                </w:p>
              </w:tc>
              <w:tc>
                <w:tcPr>
                  <w:tcW w:w="1291" w:type="pct"/>
                  <w:noWrap w:val="0"/>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热水锅炉</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SHW29-1.25/115/70-A</w:t>
                  </w:r>
                  <w:r>
                    <w:rPr>
                      <w:rFonts w:hint="default" w:ascii="Times New Roman" w:hAnsi="Times New Roman" w:cs="Times New Roman"/>
                      <w:sz w:val="21"/>
                      <w:szCs w:val="21"/>
                    </w:rPr>
                    <w:t>Ⅱ</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FF0000"/>
                      <w:highlight w:val="none"/>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rPr>
                  </w:pPr>
                  <w:r>
                    <w:rPr>
                      <w:rFonts w:hint="default" w:ascii="Times New Roman" w:hAnsi="Times New Roman" w:cs="Times New Roman"/>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2</w:t>
                  </w:r>
                </w:p>
              </w:tc>
              <w:tc>
                <w:tcPr>
                  <w:tcW w:w="1291" w:type="pct"/>
                  <w:noWrap w:val="0"/>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锅炉鼓风机</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G4-73-11NO14D</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FF0000"/>
                      <w:highlight w:val="none"/>
                      <w:lang w:val="en-US" w:eastAsia="zh-CN"/>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3</w:t>
                  </w:r>
                </w:p>
              </w:tc>
              <w:tc>
                <w:tcPr>
                  <w:tcW w:w="1291" w:type="pct"/>
                  <w:noWrap w:val="0"/>
                  <w:vAlign w:val="center"/>
                </w:tcPr>
                <w:p>
                  <w:pPr>
                    <w:spacing w:line="240" w:lineRule="auto"/>
                    <w:ind w:firstLine="0" w:firstLineChars="0"/>
                    <w:jc w:val="center"/>
                    <w:rPr>
                      <w:rFonts w:hint="default" w:ascii="Times New Roman" w:hAnsi="Times New Roman" w:cs="Times New Roman"/>
                      <w:color w:val="FF0000"/>
                      <w:kern w:val="0"/>
                      <w:szCs w:val="21"/>
                      <w:highlight w:val="none"/>
                    </w:rPr>
                  </w:pPr>
                  <w:r>
                    <w:rPr>
                      <w:rFonts w:hint="default" w:ascii="Times New Roman" w:hAnsi="Times New Roman" w:cs="Times New Roman" w:eastAsiaTheme="minorEastAsia"/>
                      <w:sz w:val="21"/>
                      <w:szCs w:val="21"/>
                    </w:rPr>
                    <w:t>引风机</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Y4-73-11N014D</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FF0000"/>
                      <w:kern w:val="0"/>
                      <w:szCs w:val="21"/>
                      <w:highlight w:val="none"/>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rPr>
                  </w:pPr>
                  <w:r>
                    <w:rPr>
                      <w:rFonts w:hint="default" w:ascii="Times New Roman" w:hAnsi="Times New Roman" w:cs="Times New Roman"/>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4</w:t>
                  </w:r>
                </w:p>
              </w:tc>
              <w:tc>
                <w:tcPr>
                  <w:tcW w:w="1291" w:type="pct"/>
                  <w:noWrap w:val="0"/>
                  <w:vAlign w:val="center"/>
                </w:tcPr>
                <w:p>
                  <w:pPr>
                    <w:spacing w:line="240" w:lineRule="auto"/>
                    <w:ind w:firstLine="0" w:firstLineChars="0"/>
                    <w:jc w:val="center"/>
                    <w:rPr>
                      <w:rFonts w:hint="default" w:ascii="Times New Roman" w:hAnsi="Times New Roman" w:eastAsia="宋体" w:cs="Times New Roman"/>
                      <w:color w:val="FF0000"/>
                      <w:kern w:val="0"/>
                      <w:szCs w:val="21"/>
                      <w:highlight w:val="none"/>
                      <w:lang w:val="en-US" w:eastAsia="zh-CN"/>
                    </w:rPr>
                  </w:pPr>
                  <w:r>
                    <w:rPr>
                      <w:rFonts w:hint="default" w:ascii="Times New Roman" w:hAnsi="Times New Roman" w:cs="Times New Roman" w:eastAsiaTheme="minorEastAsia"/>
                      <w:sz w:val="21"/>
                      <w:szCs w:val="21"/>
                    </w:rPr>
                    <w:t>布袋除尘器</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eastAsiaTheme="minorEastAsia"/>
                      <w:color w:val="FF0000"/>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5</w:t>
                  </w:r>
                </w:p>
              </w:tc>
              <w:tc>
                <w:tcPr>
                  <w:tcW w:w="1291" w:type="pct"/>
                  <w:noWrap w:val="0"/>
                  <w:vAlign w:val="center"/>
                </w:tcPr>
                <w:p>
                  <w:pPr>
                    <w:spacing w:line="240" w:lineRule="auto"/>
                    <w:ind w:firstLine="0" w:firstLineChars="0"/>
                    <w:jc w:val="center"/>
                    <w:rPr>
                      <w:rFonts w:hint="default" w:ascii="Times New Roman" w:hAnsi="Times New Roman" w:eastAsia="宋体" w:cs="Times New Roman"/>
                      <w:color w:val="FF0000"/>
                      <w:kern w:val="0"/>
                      <w:szCs w:val="21"/>
                      <w:highlight w:val="none"/>
                      <w:lang w:eastAsia="zh-CN"/>
                    </w:rPr>
                  </w:pPr>
                  <w:r>
                    <w:rPr>
                      <w:rFonts w:hint="default" w:ascii="Times New Roman" w:hAnsi="Times New Roman" w:cs="Times New Roman" w:eastAsiaTheme="minorEastAsia"/>
                      <w:sz w:val="21"/>
                      <w:szCs w:val="21"/>
                    </w:rPr>
                    <w:t>脱硫塔</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FF0000"/>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rPr>
                  </w:pPr>
                  <w:r>
                    <w:rPr>
                      <w:rFonts w:hint="default" w:ascii="Times New Roman" w:hAnsi="Times New Roman" w:eastAsia="宋体" w:cs="Times New Roman"/>
                      <w:color w:val="auto"/>
                      <w:kern w:val="2"/>
                      <w:sz w:val="21"/>
                      <w:szCs w:val="24"/>
                      <w:highlight w:val="none"/>
                      <w:lang w:val="en-US" w:eastAsia="zh-CN" w:bidi="ar-SA"/>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6</w:t>
                  </w:r>
                </w:p>
              </w:tc>
              <w:tc>
                <w:tcPr>
                  <w:tcW w:w="1291" w:type="pct"/>
                  <w:noWrap w:val="0"/>
                  <w:vAlign w:val="center"/>
                </w:tcPr>
                <w:p>
                  <w:pPr>
                    <w:spacing w:line="240" w:lineRule="auto"/>
                    <w:ind w:firstLine="0" w:firstLineChars="0"/>
                    <w:jc w:val="center"/>
                    <w:rPr>
                      <w:rFonts w:hint="default" w:ascii="Times New Roman" w:hAnsi="Times New Roman" w:cs="Times New Roman"/>
                      <w:color w:val="FF0000"/>
                      <w:kern w:val="0"/>
                      <w:szCs w:val="21"/>
                      <w:highlight w:val="none"/>
                      <w:lang w:bidi="ar"/>
                    </w:rPr>
                  </w:pPr>
                  <w:r>
                    <w:rPr>
                      <w:rFonts w:hint="default" w:ascii="Times New Roman" w:hAnsi="Times New Roman" w:cs="Times New Roman" w:eastAsiaTheme="minorEastAsia"/>
                      <w:sz w:val="21"/>
                      <w:szCs w:val="21"/>
                    </w:rPr>
                    <w:t>脱硫塔配套水泵</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eastAsiaTheme="minorEastAsia"/>
                      <w:color w:val="FF0000"/>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7</w:t>
                  </w:r>
                </w:p>
              </w:tc>
              <w:tc>
                <w:tcPr>
                  <w:tcW w:w="1291" w:type="pct"/>
                  <w:noWrap w:val="0"/>
                  <w:vAlign w:val="center"/>
                </w:tcPr>
                <w:p>
                  <w:pPr>
                    <w:spacing w:line="240" w:lineRule="auto"/>
                    <w:ind w:firstLine="0" w:firstLineChars="0"/>
                    <w:jc w:val="center"/>
                    <w:rPr>
                      <w:rFonts w:hint="default" w:ascii="Times New Roman" w:hAnsi="Times New Roman" w:eastAsia="宋体" w:cs="Times New Roman"/>
                      <w:color w:val="FF0000"/>
                      <w:kern w:val="0"/>
                      <w:szCs w:val="21"/>
                      <w:highlight w:val="none"/>
                      <w:lang w:val="en-US" w:eastAsia="zh-CN" w:bidi="ar"/>
                    </w:rPr>
                  </w:pPr>
                  <w:r>
                    <w:rPr>
                      <w:rFonts w:hint="default" w:ascii="Times New Roman" w:hAnsi="Times New Roman" w:cs="Times New Roman" w:eastAsiaTheme="minorEastAsia"/>
                      <w:sz w:val="21"/>
                      <w:szCs w:val="21"/>
                    </w:rPr>
                    <w:t>热网循环水泵</w:t>
                  </w:r>
                </w:p>
              </w:tc>
              <w:tc>
                <w:tcPr>
                  <w:tcW w:w="1932" w:type="pct"/>
                  <w:noWrap/>
                  <w:vAlign w:val="center"/>
                </w:tcPr>
                <w:p>
                  <w:pPr>
                    <w:spacing w:line="240" w:lineRule="auto"/>
                    <w:ind w:firstLine="0" w:firstLineChars="0"/>
                    <w:jc w:val="center"/>
                    <w:rPr>
                      <w:rFonts w:hint="default" w:ascii="Times New Roman" w:hAnsi="Times New Roman" w:eastAsia="宋体" w:cs="Times New Roman"/>
                      <w:color w:val="FF0000"/>
                      <w:highlight w:val="none"/>
                      <w:lang w:val="en-US" w:eastAsia="zh-CN"/>
                    </w:rPr>
                  </w:pPr>
                  <w:r>
                    <w:rPr>
                      <w:rFonts w:hint="default" w:ascii="Times New Roman" w:hAnsi="Times New Roman" w:cs="Times New Roman" w:eastAsiaTheme="minorEastAsia"/>
                      <w:sz w:val="21"/>
                      <w:szCs w:val="21"/>
                    </w:rPr>
                    <w:t>-</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eastAsiaTheme="minorEastAsia"/>
                      <w:color w:val="FF0000"/>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color w:val="FF0000"/>
                      <w:highlight w:val="none"/>
                    </w:rPr>
                  </w:pPr>
                  <w:r>
                    <w:rPr>
                      <w:rFonts w:hint="default" w:ascii="Times New Roman" w:hAnsi="Times New Roman" w:cs="Times New Roman"/>
                      <w:color w:val="auto"/>
                      <w:highlight w:val="none"/>
                    </w:rPr>
                    <w:t>8</w:t>
                  </w:r>
                </w:p>
              </w:tc>
              <w:tc>
                <w:tcPr>
                  <w:tcW w:w="1291" w:type="pct"/>
                  <w:noWrap w:val="0"/>
                  <w:vAlign w:val="center"/>
                </w:tcPr>
                <w:p>
                  <w:pPr>
                    <w:spacing w:line="240" w:lineRule="auto"/>
                    <w:ind w:firstLine="0" w:firstLineChars="0"/>
                    <w:jc w:val="center"/>
                    <w:rPr>
                      <w:rFonts w:hint="default" w:ascii="Times New Roman" w:hAnsi="Times New Roman" w:cs="Times New Roman"/>
                      <w:color w:val="FF0000"/>
                      <w:kern w:val="0"/>
                      <w:szCs w:val="21"/>
                      <w:highlight w:val="none"/>
                      <w:lang w:bidi="ar"/>
                    </w:rPr>
                  </w:pPr>
                  <w:r>
                    <w:rPr>
                      <w:rFonts w:hint="default" w:ascii="Times New Roman" w:hAnsi="Times New Roman" w:cs="Times New Roman" w:eastAsiaTheme="minorEastAsia"/>
                      <w:sz w:val="21"/>
                      <w:szCs w:val="21"/>
                    </w:rPr>
                    <w:t>补水泵</w:t>
                  </w:r>
                </w:p>
              </w:tc>
              <w:tc>
                <w:tcPr>
                  <w:tcW w:w="1932" w:type="pct"/>
                  <w:noWrap/>
                  <w:vAlign w:val="center"/>
                </w:tcPr>
                <w:p>
                  <w:pPr>
                    <w:spacing w:line="240" w:lineRule="auto"/>
                    <w:ind w:firstLine="0" w:firstLineChars="0"/>
                    <w:jc w:val="center"/>
                    <w:rPr>
                      <w:rFonts w:hint="default" w:ascii="Times New Roman" w:hAnsi="Times New Roman" w:cs="Times New Roman"/>
                      <w:color w:val="FF0000"/>
                      <w:highlight w:val="none"/>
                    </w:rPr>
                  </w:pPr>
                  <w:r>
                    <w:rPr>
                      <w:rFonts w:hint="default" w:ascii="Times New Roman" w:hAnsi="Times New Roman" w:cs="Times New Roman" w:eastAsiaTheme="minorEastAsia"/>
                      <w:sz w:val="21"/>
                      <w:szCs w:val="21"/>
                    </w:rPr>
                    <w:t>DL65×9</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FF0000"/>
                      <w:kern w:val="0"/>
                      <w:sz w:val="21"/>
                      <w:szCs w:val="21"/>
                      <w:highlight w:val="none"/>
                      <w:lang w:val="en-US" w:eastAsia="zh-CN" w:bidi="ar-SA"/>
                    </w:rPr>
                  </w:pPr>
                  <w:r>
                    <w:rPr>
                      <w:rFonts w:hint="default" w:ascii="Times New Roman" w:hAnsi="Times New Roman" w:cs="Times New Roman"/>
                      <w:color w:val="auto"/>
                      <w:kern w:val="0"/>
                      <w:szCs w:val="21"/>
                      <w:highlight w:val="none"/>
                      <w:lang w:val="en-US" w:eastAsia="zh-CN"/>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9</w:t>
                  </w:r>
                </w:p>
              </w:tc>
              <w:tc>
                <w:tcPr>
                  <w:tcW w:w="1291" w:type="pct"/>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循环水箱</w:t>
                  </w:r>
                </w:p>
              </w:tc>
              <w:tc>
                <w:tcPr>
                  <w:tcW w:w="1932" w:type="pct"/>
                  <w:noWrap/>
                  <w:vAlign w:val="center"/>
                </w:tcPr>
                <w:p>
                  <w:pPr>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30m3</w:t>
                  </w:r>
                </w:p>
              </w:tc>
              <w:tc>
                <w:tcPr>
                  <w:tcW w:w="1110" w:type="dxa"/>
                  <w:noWrap/>
                  <w:vAlign w:val="center"/>
                </w:tcPr>
                <w:p>
                  <w:pPr>
                    <w:spacing w:line="240" w:lineRule="auto"/>
                    <w:ind w:firstLine="0" w:firstLineChars="0"/>
                    <w:jc w:val="center"/>
                    <w:rPr>
                      <w:rFonts w:hint="default" w:ascii="Times New Roman" w:hAnsi="Times New Roman" w:cs="Times New Roman" w:eastAsiaTheme="minorEastAsia"/>
                      <w:color w:val="FF0000"/>
                      <w:kern w:val="0"/>
                      <w:sz w:val="21"/>
                      <w:szCs w:val="21"/>
                      <w:highlight w:val="none"/>
                      <w:lang w:val="en-US" w:eastAsia="zh-CN" w:bidi="ar-SA"/>
                    </w:rPr>
                  </w:pPr>
                  <w:r>
                    <w:rPr>
                      <w:rFonts w:hint="default" w:ascii="Times New Roman" w:hAnsi="Times New Roman" w:cs="Times New Roman" w:eastAsiaTheme="minorEastAsia"/>
                      <w:sz w:val="21"/>
                      <w:szCs w:val="21"/>
                    </w:rPr>
                    <w:t>座</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10</w:t>
                  </w:r>
                </w:p>
              </w:tc>
              <w:tc>
                <w:tcPr>
                  <w:tcW w:w="1291" w:type="pct"/>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全自动离子交换器</w:t>
                  </w:r>
                </w:p>
              </w:tc>
              <w:tc>
                <w:tcPr>
                  <w:tcW w:w="1932" w:type="pct"/>
                  <w:noWrap/>
                  <w:vAlign w:val="center"/>
                </w:tcPr>
                <w:p>
                  <w:pPr>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120t/h</w:t>
                  </w:r>
                </w:p>
              </w:tc>
              <w:tc>
                <w:tcPr>
                  <w:tcW w:w="1110" w:type="dxa"/>
                  <w:noWrap/>
                  <w:vAlign w:val="center"/>
                </w:tcPr>
                <w:p>
                  <w:pPr>
                    <w:spacing w:line="240" w:lineRule="auto"/>
                    <w:ind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rPr>
                    <w:t>套</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11</w:t>
                  </w:r>
                </w:p>
              </w:tc>
              <w:tc>
                <w:tcPr>
                  <w:tcW w:w="1291" w:type="pct"/>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全自动除氧器</w:t>
                  </w:r>
                </w:p>
              </w:tc>
              <w:tc>
                <w:tcPr>
                  <w:tcW w:w="1932" w:type="pct"/>
                  <w:noWrap/>
                  <w:vAlign w:val="center"/>
                </w:tcPr>
                <w:p>
                  <w:pPr>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120t/h</w:t>
                  </w:r>
                </w:p>
              </w:tc>
              <w:tc>
                <w:tcPr>
                  <w:tcW w:w="1110" w:type="dxa"/>
                  <w:noWrap/>
                  <w:vAlign w:val="center"/>
                </w:tcPr>
                <w:p>
                  <w:pPr>
                    <w:spacing w:line="240" w:lineRule="auto"/>
                    <w:ind w:firstLine="0" w:firstLineChars="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eastAsiaTheme="minorEastAsia"/>
                      <w:sz w:val="21"/>
                      <w:szCs w:val="21"/>
                    </w:rPr>
                    <w:t>套</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12</w:t>
                  </w:r>
                </w:p>
              </w:tc>
              <w:tc>
                <w:tcPr>
                  <w:tcW w:w="1291" w:type="pct"/>
                  <w:noWrap w:val="0"/>
                  <w:vAlign w:val="center"/>
                </w:tcPr>
                <w:p>
                  <w:pPr>
                    <w:spacing w:line="240" w:lineRule="auto"/>
                    <w:ind w:firstLine="0" w:firstLineChars="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eastAsiaTheme="minorEastAsia"/>
                      <w:sz w:val="21"/>
                      <w:szCs w:val="21"/>
                    </w:rPr>
                    <w:t>立式补水泵</w:t>
                  </w:r>
                </w:p>
              </w:tc>
              <w:tc>
                <w:tcPr>
                  <w:tcW w:w="1932" w:type="pct"/>
                  <w:noWrap/>
                  <w:vAlign w:val="center"/>
                </w:tcPr>
                <w:p>
                  <w:pPr>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150DL150-20（</w:t>
                  </w:r>
                  <w:r>
                    <w:rPr>
                      <w:rFonts w:hint="default" w:ascii="Times New Roman" w:hAnsi="Times New Roman" w:cs="Times New Roman"/>
                      <w:sz w:val="21"/>
                      <w:szCs w:val="21"/>
                    </w:rPr>
                    <w:t>Ⅰ</w:t>
                  </w:r>
                  <w:r>
                    <w:rPr>
                      <w:rFonts w:hint="default" w:ascii="Times New Roman" w:hAnsi="Times New Roman" w:cs="Times New Roman" w:eastAsiaTheme="minorEastAsia"/>
                      <w:sz w:val="21"/>
                      <w:szCs w:val="21"/>
                    </w:rPr>
                    <w:t>）X3</w:t>
                  </w:r>
                </w:p>
              </w:tc>
              <w:tc>
                <w:tcPr>
                  <w:tcW w:w="1110" w:type="dxa"/>
                  <w:noWrap/>
                  <w:vAlign w:val="center"/>
                </w:tcPr>
                <w:p>
                  <w:pPr>
                    <w:spacing w:line="240" w:lineRule="auto"/>
                    <w:ind w:firstLine="0" w:firstLineChars="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eastAsiaTheme="minorEastAsia"/>
                      <w:sz w:val="21"/>
                      <w:szCs w:val="21"/>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13</w:t>
                  </w:r>
                </w:p>
              </w:tc>
              <w:tc>
                <w:tcPr>
                  <w:tcW w:w="1291"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除渣机</w:t>
                  </w:r>
                </w:p>
              </w:tc>
              <w:tc>
                <w:tcPr>
                  <w:tcW w:w="1932" w:type="pct"/>
                  <w:noWrap/>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GBC-20B</w:t>
                  </w:r>
                </w:p>
              </w:tc>
              <w:tc>
                <w:tcPr>
                  <w:tcW w:w="1110" w:type="dxa"/>
                  <w:noWrap/>
                  <w:vAlign w:val="center"/>
                </w:tcPr>
                <w:p>
                  <w:pPr>
                    <w:spacing w:line="240" w:lineRule="auto"/>
                    <w:ind w:firstLine="0" w:firstLineChars="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eastAsiaTheme="minorEastAsia"/>
                      <w:sz w:val="21"/>
                      <w:szCs w:val="21"/>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14</w:t>
                  </w:r>
                </w:p>
              </w:tc>
              <w:tc>
                <w:tcPr>
                  <w:tcW w:w="1291"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渣库</w:t>
                  </w:r>
                </w:p>
              </w:tc>
              <w:tc>
                <w:tcPr>
                  <w:tcW w:w="1932" w:type="pct"/>
                  <w:noWrap/>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16×20全封闭存渣库</w:t>
                  </w:r>
                </w:p>
              </w:tc>
              <w:tc>
                <w:tcPr>
                  <w:tcW w:w="1110" w:type="dxa"/>
                  <w:noWrap/>
                  <w:vAlign w:val="center"/>
                </w:tcPr>
                <w:p>
                  <w:pPr>
                    <w:spacing w:line="240" w:lineRule="auto"/>
                    <w:ind w:firstLine="0" w:firstLineChars="0"/>
                    <w:jc w:val="center"/>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2</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539"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color w:val="auto"/>
                      <w:highlight w:val="none"/>
                      <w:lang w:val="en-US" w:eastAsia="zh-CN"/>
                    </w:rPr>
                    <w:t>15</w:t>
                  </w:r>
                </w:p>
              </w:tc>
              <w:tc>
                <w:tcPr>
                  <w:tcW w:w="1291"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上煤机</w:t>
                  </w:r>
                </w:p>
              </w:tc>
              <w:tc>
                <w:tcPr>
                  <w:tcW w:w="1932" w:type="pct"/>
                  <w:noWrap/>
                  <w:vAlign w:val="center"/>
                </w:tcPr>
                <w:p>
                  <w:pPr>
                    <w:spacing w:line="240" w:lineRule="auto"/>
                    <w:ind w:firstLine="0" w:firstLineChars="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SMJ20</w:t>
                  </w:r>
                </w:p>
              </w:tc>
              <w:tc>
                <w:tcPr>
                  <w:tcW w:w="635"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kern w:val="0"/>
                      <w:szCs w:val="21"/>
                      <w:highlight w:val="none"/>
                      <w:lang w:val="en-US" w:eastAsia="zh-CN"/>
                    </w:rPr>
                  </w:pPr>
                  <w:r>
                    <w:rPr>
                      <w:rFonts w:hint="default" w:ascii="Times New Roman" w:hAnsi="Times New Roman" w:cs="Times New Roman" w:eastAsiaTheme="minorEastAsia"/>
                      <w:sz w:val="21"/>
                      <w:szCs w:val="21"/>
                    </w:rPr>
                    <w:t>台</w:t>
                  </w:r>
                </w:p>
              </w:tc>
              <w:tc>
                <w:tcPr>
                  <w:tcW w:w="601" w:type="pct"/>
                  <w:noWrap/>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w:t>
                  </w:r>
                </w:p>
              </w:tc>
            </w:tr>
          </w:tbl>
          <w:p>
            <w:pPr>
              <w:bidi w:val="0"/>
              <w:spacing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三、水源及水平衡</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（1）给排水</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供水</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A、水源：项目用水由市政自来水公司供给。</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B、用水量</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热力网补水量按循环水量的2%考虑，设计补水量5.0m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/h，每天运行24h，每年运行180天，则锅炉补水量为120t/d，21600t/a；锅炉软化水软化前后耗水量占比20%，则补充水软化前用水量为150t/d，2700t/a。</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脱硫塔用水由市政供水管网供给，脱硫系统每日更换新鲜水43m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，每天运行24h，每年运行180天，则脱硫系统用水量为7776t/a。</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排水</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锅炉排污水及软化处理废水根据《排放源统计调查产排污核算方法和系数手册》中“4430工业锅炉（热力生产和供应）行业系数手册”中产污系数，锅炉排污水及水处理软化处理废水产污系数为0.605吨/吨-原料，本项目新增供热面积燃煤量为16800t/a，因此废水产生量为60.67t/d、10920t/a，锅炉排污水及软化水处理废水用于锅炉除渣、除灰，综合利用，不外排。</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脱硫塔用水由市政供水管网供给，脱硫系统每日更换新鲜水43m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，蒸发量为7776t/a。</w:t>
            </w:r>
          </w:p>
          <w:p>
            <w:pPr>
              <w:bidi w:val="0"/>
              <w:spacing w:line="360" w:lineRule="auto"/>
              <w:ind w:firstLine="420" w:firstLineChars="200"/>
              <w:rPr>
                <w:rFonts w:hint="default" w:ascii="Times New Roman" w:hAnsi="Times New Roman" w:eastAsia="宋体" w:cs="Times New Roman"/>
                <w:color w:val="FF0000"/>
                <w:sz w:val="24"/>
                <w:szCs w:val="24"/>
                <w:highlight w:val="none"/>
              </w:rPr>
            </w:pPr>
            <w:r>
              <w:drawing>
                <wp:inline distT="0" distB="0" distL="114300" distR="114300">
                  <wp:extent cx="4886325" cy="1743075"/>
                  <wp:effectExtent l="0" t="0" r="9525"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1"/>
                          <a:stretch>
                            <a:fillRect/>
                          </a:stretch>
                        </pic:blipFill>
                        <pic:spPr>
                          <a:xfrm>
                            <a:off x="0" y="0"/>
                            <a:ext cx="4886325" cy="174307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lang w:val="en-US" w:eastAsia="zh-CN"/>
              </w:rPr>
              <mc:AlternateContent>
                <mc:Choice Requires="wps">
                  <w:drawing>
                    <wp:anchor distT="0" distB="0" distL="114300" distR="114300" simplePos="0" relativeHeight="251665408" behindDoc="0" locked="0" layoutInCell="1" allowOverlap="1">
                      <wp:simplePos x="0" y="0"/>
                      <wp:positionH relativeFrom="column">
                        <wp:posOffset>1136650</wp:posOffset>
                      </wp:positionH>
                      <wp:positionV relativeFrom="paragraph">
                        <wp:posOffset>1175385</wp:posOffset>
                      </wp:positionV>
                      <wp:extent cx="552450" cy="247650"/>
                      <wp:effectExtent l="0" t="0" r="0" b="0"/>
                      <wp:wrapNone/>
                      <wp:docPr id="8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noFill/>
                              <a:ln w="9525">
                                <a:noFill/>
                                <a:miter lim="800000"/>
                              </a:ln>
                            </wps:spPr>
                            <wps:txbx>
                              <w:txbxContent>
                                <w:p>
                                  <w:pPr>
                                    <w:ind w:firstLine="0" w:firstLineChars="0"/>
                                  </w:pPr>
                                  <w:r>
                                    <w:rPr>
                                      <w:rFonts w:hint="eastAsia"/>
                                    </w:rPr>
                                    <w:t>43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9.5pt;margin-top:92.55pt;height:19.5pt;width:43.5pt;z-index:251665408;mso-width-relative:page;mso-height-relative:page;" filled="f" stroked="f" coordsize="21600,21600" o:gfxdata="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E5kq1gAA&#10;AAsBAAAPAAAAAAAAAAEAIAAAACIAAABkcnMvZG93bnJldi54bWxQSwECFAAUAAAACACHTuJAKyPR&#10;aCACAAApBAAADgAAAAAAAAABACAAAAAlAQAAZHJzL2Uyb0RvYy54bWxQSwUGAAAAAAYABgBZAQAA&#10;twUAAAAA&#10;">
                      <v:fill on="f" focussize="0,0"/>
                      <v:stroke on="f" miterlimit="8" joinstyle="miter"/>
                      <v:imagedata o:title=""/>
                      <o:lock v:ext="edit" aspectratio="f"/>
                      <v:textbox>
                        <w:txbxContent>
                          <w:p>
                            <w:pPr>
                              <w:ind w:firstLine="0" w:firstLineChars="0"/>
                            </w:pPr>
                            <w:r>
                              <w:rPr>
                                <w:rFonts w:hint="eastAsia"/>
                              </w:rPr>
                              <w:t>43</w:t>
                            </w:r>
                          </w:p>
                        </w:txbxContent>
                      </v:textbox>
                    </v:shape>
                  </w:pict>
                </mc:Fallback>
              </mc:AlternateContent>
            </w:r>
            <w:r>
              <w:rPr>
                <w:rFonts w:hint="default" w:ascii="Times New Roman" w:hAnsi="Times New Roman" w:eastAsia="宋体" w:cs="Times New Roman"/>
                <w:color w:val="auto"/>
                <w:sz w:val="24"/>
                <w:szCs w:val="24"/>
                <w:highlight w:val="none"/>
                <w:lang w:val="en-US" w:eastAsia="zh-CN"/>
              </w:rPr>
              <mc:AlternateContent>
                <mc:Choice Requires="wps">
                  <w:drawing>
                    <wp:anchor distT="0" distB="0" distL="114300" distR="114300" simplePos="0" relativeHeight="251664384" behindDoc="0" locked="0" layoutInCell="1" allowOverlap="1">
                      <wp:simplePos x="0" y="0"/>
                      <wp:positionH relativeFrom="column">
                        <wp:posOffset>984250</wp:posOffset>
                      </wp:positionH>
                      <wp:positionV relativeFrom="paragraph">
                        <wp:posOffset>563880</wp:posOffset>
                      </wp:positionV>
                      <wp:extent cx="552450" cy="247650"/>
                      <wp:effectExtent l="0" t="0" r="0" b="0"/>
                      <wp:wrapNone/>
                      <wp:docPr id="7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2450" cy="247650"/>
                              </a:xfrm>
                              <a:prstGeom prst="rect">
                                <a:avLst/>
                              </a:prstGeom>
                              <a:noFill/>
                              <a:ln w="9525">
                                <a:noFill/>
                                <a:miter lim="800000"/>
                              </a:ln>
                            </wps:spPr>
                            <wps:txbx>
                              <w:txbxContent>
                                <w:p>
                                  <w:pPr>
                                    <w:ind w:firstLine="0" w:firstLineChars="0"/>
                                  </w:pPr>
                                  <w:r>
                                    <w:rPr>
                                      <w:rFonts w:hint="eastAsia"/>
                                    </w:rPr>
                                    <w:t>150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7.5pt;margin-top:44.4pt;height:19.5pt;width:43.5pt;z-index:251664384;mso-width-relative:page;mso-height-relative:page;" filled="f" stroked="f" coordsize="21600,21600" o:gfxdata="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Rq0dNYA&#10;AAAKAQAADwAAAAAAAAABACAAAAAiAAAAZHJzL2Rvd25yZXYueG1sUEsBAhQAFAAAAAgAh07iQDnj&#10;93ohAgAAKQQAAA4AAAAAAAAAAQAgAAAAJQEAAGRycy9lMm9Eb2MueG1sUEsFBgAAAAAGAAYAWQEA&#10;ALgFAAAAAA==&#10;">
                      <v:fill on="f" focussize="0,0"/>
                      <v:stroke on="f" miterlimit="8" joinstyle="miter"/>
                      <v:imagedata o:title=""/>
                      <o:lock v:ext="edit" aspectratio="f"/>
                      <v:textbox>
                        <w:txbxContent>
                          <w:p>
                            <w:pPr>
                              <w:ind w:firstLine="0" w:firstLineChars="0"/>
                            </w:pPr>
                            <w:r>
                              <w:rPr>
                                <w:rFonts w:hint="eastAsia"/>
                              </w:rPr>
                              <w:t>150</w:t>
                            </w:r>
                          </w:p>
                        </w:txbxContent>
                      </v:textbox>
                    </v:shape>
                  </w:pict>
                </mc:Fallback>
              </mc:AlternateContent>
            </w:r>
          </w:p>
          <w:p>
            <w:pPr>
              <w:pStyle w:val="49"/>
              <w:widowControl w:val="0"/>
              <w:bidi w:val="0"/>
              <w:rPr>
                <w:rFonts w:hint="default" w:ascii="Times New Roman" w:hAnsi="Times New Roman" w:eastAsia="宋体" w:cs="Times New Roman"/>
                <w:color w:val="FF0000"/>
                <w:szCs w:val="24"/>
                <w:highlight w:val="none"/>
                <w:lang w:val="en-US" w:eastAsia="zh-CN"/>
              </w:rPr>
            </w:pPr>
            <w:r>
              <w:rPr>
                <w:rFonts w:hint="default"/>
                <w:color w:val="auto"/>
                <w:highlight w:val="none"/>
                <w:lang w:val="en-US" w:eastAsia="zh-CN"/>
              </w:rPr>
              <w:t>图</w:t>
            </w:r>
            <w:r>
              <w:rPr>
                <w:rFonts w:hint="eastAsia"/>
                <w:color w:val="auto"/>
                <w:highlight w:val="none"/>
                <w:lang w:val="en-US" w:eastAsia="zh-CN"/>
              </w:rPr>
              <w:t xml:space="preserve"> </w:t>
            </w:r>
            <w:r>
              <w:rPr>
                <w:rFonts w:hint="default" w:ascii="Times New Roman" w:hAnsi="Times New Roman" w:cs="Times New Roman"/>
                <w:b/>
                <w:bCs/>
                <w:color w:val="auto"/>
                <w:highlight w:val="none"/>
                <w:lang w:val="en-US" w:eastAsia="zh-CN"/>
              </w:rPr>
              <w:t>2-1</w:t>
            </w:r>
            <w:r>
              <w:rPr>
                <w:rFonts w:hint="default"/>
                <w:color w:val="auto"/>
                <w:highlight w:val="none"/>
                <w:lang w:val="en-US" w:eastAsia="zh-CN"/>
              </w:rPr>
              <w:t xml:space="preserve"> 水平衡图（t/</w:t>
            </w:r>
            <w:r>
              <w:rPr>
                <w:rFonts w:hint="eastAsia"/>
                <w:color w:val="auto"/>
                <w:highlight w:val="none"/>
                <w:lang w:val="en-US" w:eastAsia="zh-CN"/>
              </w:rPr>
              <w:t>a</w:t>
            </w:r>
            <w:r>
              <w:rPr>
                <w:rFonts w:hint="default"/>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四、主要工艺流程及产污环节：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lang w:eastAsia="zh-CN"/>
              </w:rPr>
            </w:pPr>
            <w:r>
              <w:rPr>
                <w:rFonts w:hint="default" w:ascii="Times New Roman" w:hAnsi="Times New Roman" w:eastAsia="宋体" w:cs="Times New Roman"/>
                <w:color w:val="auto"/>
                <w:sz w:val="24"/>
                <w:szCs w:val="24"/>
                <w:highlight w:val="none"/>
                <w:lang w:eastAsia="zh-CN"/>
              </w:rPr>
              <w:t>其主要工艺流程及产污环节见图</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p>
          <w:p>
            <w:pPr>
              <w:bidi w:val="0"/>
              <w:spacing w:line="360" w:lineRule="auto"/>
              <w:jc w:val="center"/>
              <w:rPr>
                <w:rFonts w:hint="default" w:ascii="Times New Roman" w:hAnsi="Times New Roman" w:eastAsia="宋体" w:cs="Times New Roman"/>
                <w:color w:val="FF0000"/>
                <w:sz w:val="24"/>
                <w:szCs w:val="24"/>
                <w:highlight w:val="none"/>
                <w:lang w:eastAsia="zh-CN"/>
              </w:rPr>
            </w:pPr>
            <w:r>
              <w:drawing>
                <wp:inline distT="0" distB="0" distL="114300" distR="114300">
                  <wp:extent cx="4200525" cy="3419475"/>
                  <wp:effectExtent l="0" t="0" r="95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2"/>
                          <a:stretch>
                            <a:fillRect/>
                          </a:stretch>
                        </pic:blipFill>
                        <pic:spPr>
                          <a:xfrm>
                            <a:off x="0" y="0"/>
                            <a:ext cx="4200525" cy="3419475"/>
                          </a:xfrm>
                          <a:prstGeom prst="rect">
                            <a:avLst/>
                          </a:prstGeom>
                          <a:noFill/>
                          <a:ln>
                            <a:noFill/>
                          </a:ln>
                        </pic:spPr>
                      </pic:pic>
                    </a:graphicData>
                  </a:graphic>
                </wp:inline>
              </w:drawing>
            </w:r>
          </w:p>
          <w:p>
            <w:pPr>
              <w:pStyle w:val="49"/>
              <w:widowControl w:val="0"/>
              <w:bidi w:val="0"/>
              <w:rPr>
                <w:rFonts w:hint="default"/>
                <w:color w:val="FF0000"/>
                <w:highlight w:val="none"/>
                <w:lang w:val="en-US" w:eastAsia="zh-CN"/>
              </w:rPr>
            </w:pPr>
            <w:r>
              <w:rPr>
                <w:rFonts w:hint="default"/>
                <w:color w:val="auto"/>
                <w:highlight w:val="none"/>
                <w:lang w:eastAsia="zh-CN"/>
              </w:rPr>
              <w:t>图</w:t>
            </w:r>
            <w:r>
              <w:rPr>
                <w:rFonts w:hint="default"/>
                <w:color w:val="auto"/>
                <w:highlight w:val="none"/>
                <w:lang w:val="en-US" w:eastAsia="zh-CN"/>
              </w:rPr>
              <w:t xml:space="preserve"> </w:t>
            </w:r>
            <w:r>
              <w:rPr>
                <w:rFonts w:hint="default" w:ascii="Times New Roman" w:hAnsi="Times New Roman" w:cs="Times New Roman"/>
                <w:b/>
                <w:bCs/>
                <w:color w:val="auto"/>
                <w:highlight w:val="none"/>
                <w:lang w:val="en-US" w:eastAsia="zh-CN"/>
              </w:rPr>
              <w:t>2-</w:t>
            </w:r>
            <w:r>
              <w:rPr>
                <w:rFonts w:hint="eastAsia" w:ascii="Times New Roman" w:hAnsi="Times New Roman" w:cs="Times New Roman"/>
                <w:b/>
                <w:bCs/>
                <w:color w:val="auto"/>
                <w:highlight w:val="none"/>
                <w:lang w:val="en-US" w:eastAsia="zh-CN"/>
              </w:rPr>
              <w:t>2</w:t>
            </w:r>
            <w:r>
              <w:rPr>
                <w:rFonts w:hint="default"/>
                <w:color w:val="auto"/>
                <w:highlight w:val="none"/>
                <w:lang w:val="en-US" w:eastAsia="zh-CN"/>
              </w:rPr>
              <w:t xml:space="preserve"> </w:t>
            </w:r>
            <w:r>
              <w:rPr>
                <w:rFonts w:hint="default"/>
                <w:color w:val="auto"/>
                <w:highlight w:val="none"/>
                <w:lang w:eastAsia="zh-CN"/>
              </w:rPr>
              <w:t>工艺流程及产污环节点</w:t>
            </w:r>
            <w:r>
              <w:rPr>
                <w:rFonts w:hint="default"/>
                <w:color w:val="auto"/>
                <w:highlight w:val="none"/>
                <w:lang w:val="en-US" w:eastAsia="zh-CN"/>
              </w:rPr>
              <w:t>图</w:t>
            </w:r>
          </w:p>
          <w:p>
            <w:pPr>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eastAsia="zh-CN"/>
              </w:rPr>
              <w:t>五</w:t>
            </w:r>
            <w:r>
              <w:rPr>
                <w:rFonts w:hint="default" w:ascii="Times New Roman" w:hAnsi="Times New Roman" w:eastAsia="宋体" w:cs="Times New Roman"/>
                <w:b/>
                <w:bCs/>
                <w:color w:val="auto"/>
                <w:sz w:val="24"/>
                <w:szCs w:val="24"/>
                <w:highlight w:val="none"/>
              </w:rPr>
              <w:t>、环保投资</w:t>
            </w:r>
          </w:p>
          <w:p>
            <w:pPr>
              <w:bidi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本项目环保投资具体情况参见下</w:t>
            </w:r>
            <w:r>
              <w:rPr>
                <w:rFonts w:hint="default" w:ascii="Times New Roman" w:hAnsi="Times New Roman" w:eastAsia="宋体" w:cs="Times New Roman"/>
                <w:b w:val="0"/>
                <w:bCs w:val="0"/>
                <w:color w:val="auto"/>
                <w:sz w:val="24"/>
                <w:szCs w:val="24"/>
                <w:highlight w:val="none"/>
              </w:rPr>
              <w:t>表</w:t>
            </w:r>
            <w:r>
              <w:rPr>
                <w:rFonts w:hint="default" w:ascii="Times New Roman" w:hAnsi="Times New Roman" w:eastAsia="宋体" w:cs="Times New Roman"/>
                <w:b w:val="0"/>
                <w:bCs w:val="0"/>
                <w:color w:val="auto"/>
                <w:sz w:val="24"/>
                <w:szCs w:val="24"/>
                <w:highlight w:val="none"/>
                <w:lang w:val="en-US" w:eastAsia="zh-CN"/>
              </w:rPr>
              <w:t xml:space="preserve"> 2-</w:t>
            </w:r>
            <w:r>
              <w:rPr>
                <w:rFonts w:hint="eastAsia"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b w:val="0"/>
                <w:bCs w:val="0"/>
                <w:color w:val="auto"/>
                <w:highlight w:val="none"/>
              </w:rPr>
            </w:pPr>
            <w:r>
              <w:rPr>
                <w:rFonts w:hint="default"/>
                <w:b w:val="0"/>
                <w:bCs w:val="0"/>
                <w:color w:val="auto"/>
                <w:highlight w:val="none"/>
              </w:rPr>
              <w:t>表</w:t>
            </w:r>
            <w:r>
              <w:rPr>
                <w:rFonts w:hint="default"/>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2-</w:t>
            </w:r>
            <w:r>
              <w:rPr>
                <w:rFonts w:hint="eastAsia" w:ascii="Times New Roman" w:hAnsi="Times New Roman" w:cs="Times New Roman"/>
                <w:b w:val="0"/>
                <w:bCs w:val="0"/>
                <w:color w:val="auto"/>
                <w:highlight w:val="none"/>
                <w:lang w:val="en-US" w:eastAsia="zh-CN"/>
              </w:rPr>
              <w:t>5</w:t>
            </w:r>
            <w:r>
              <w:rPr>
                <w:rFonts w:hint="default"/>
                <w:b w:val="0"/>
                <w:bCs w:val="0"/>
                <w:color w:val="auto"/>
                <w:highlight w:val="none"/>
                <w:lang w:val="en-US" w:eastAsia="zh-CN"/>
              </w:rPr>
              <w:t xml:space="preserve"> </w:t>
            </w:r>
            <w:r>
              <w:rPr>
                <w:rFonts w:hint="default"/>
                <w:b w:val="0"/>
                <w:bCs w:val="0"/>
                <w:color w:val="auto"/>
                <w:highlight w:val="none"/>
              </w:rPr>
              <w:t>环保投资一览表</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63"/>
              <w:gridCol w:w="1927"/>
              <w:gridCol w:w="2025"/>
              <w:gridCol w:w="1439"/>
              <w:gridCol w:w="14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83" w:type="pct"/>
                  <w:gridSpan w:val="2"/>
                  <w:noWrap w:val="0"/>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sz w:val="21"/>
                      <w:szCs w:val="21"/>
                    </w:rPr>
                    <w:t>投资项目</w:t>
                  </w:r>
                </w:p>
              </w:tc>
              <w:tc>
                <w:tcPr>
                  <w:tcW w:w="1105"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szCs w:val="21"/>
                    </w:rPr>
                    <w:t>污染源</w:t>
                  </w:r>
                </w:p>
              </w:tc>
              <w:tc>
                <w:tcPr>
                  <w:tcW w:w="1161" w:type="pct"/>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szCs w:val="21"/>
                    </w:rPr>
                    <w:t>具体措施</w:t>
                  </w:r>
                </w:p>
              </w:tc>
              <w:tc>
                <w:tcPr>
                  <w:tcW w:w="825" w:type="pct"/>
                  <w:noWrap w:val="0"/>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sz w:val="21"/>
                      <w:szCs w:val="21"/>
                      <w:highlight w:val="none"/>
                      <w:lang w:val="en-US" w:eastAsia="zh-CN"/>
                    </w:rPr>
                    <w:t>设计</w:t>
                  </w:r>
                  <w:r>
                    <w:rPr>
                      <w:rFonts w:hint="default" w:ascii="Times New Roman" w:hAnsi="Times New Roman" w:cs="Times New Roman" w:eastAsiaTheme="minorEastAsia"/>
                      <w:sz w:val="21"/>
                      <w:szCs w:val="21"/>
                      <w:highlight w:val="none"/>
                    </w:rPr>
                    <w:t>投资（万元）</w:t>
                  </w:r>
                </w:p>
              </w:tc>
              <w:tc>
                <w:tcPr>
                  <w:tcW w:w="825" w:type="pct"/>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实际投资</w:t>
                  </w:r>
                  <w:r>
                    <w:rPr>
                      <w:rFonts w:hint="default" w:ascii="Times New Roman" w:hAnsi="Times New Roman" w:cs="Times New Roman" w:eastAsiaTheme="minorEastAsia"/>
                      <w:sz w:val="21"/>
                      <w:szCs w:val="21"/>
                      <w:highlight w:val="none"/>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244" w:type="pct"/>
                  <w:vMerge w:val="restart"/>
                  <w:noWrap w:val="0"/>
                  <w:vAlign w:val="center"/>
                </w:tcPr>
                <w:p>
                  <w:pPr>
                    <w:spacing w:line="0" w:lineRule="atLeast"/>
                    <w:jc w:val="center"/>
                    <w:rPr>
                      <w:rFonts w:hint="default" w:ascii="Times New Roman" w:hAnsi="Times New Roman" w:cs="Times New Roman"/>
                      <w:color w:val="FF0000"/>
                      <w:sz w:val="21"/>
                      <w:szCs w:val="21"/>
                      <w:highlight w:val="none"/>
                    </w:rPr>
                  </w:pPr>
                  <w:r>
                    <w:rPr>
                      <w:rFonts w:hint="default" w:ascii="Times New Roman" w:hAnsi="Times New Roman" w:cs="Times New Roman"/>
                      <w:color w:val="auto"/>
                      <w:sz w:val="21"/>
                      <w:szCs w:val="21"/>
                      <w:highlight w:val="none"/>
                    </w:rPr>
                    <w:t>运营期</w:t>
                  </w:r>
                </w:p>
              </w:tc>
              <w:tc>
                <w:tcPr>
                  <w:tcW w:w="838" w:type="pct"/>
                  <w:vMerge w:val="restart"/>
                  <w:noWrap w:val="0"/>
                  <w:vAlign w:val="center"/>
                </w:tcPr>
                <w:p>
                  <w:pPr>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eastAsiaTheme="minorEastAsia"/>
                      <w:sz w:val="21"/>
                      <w:szCs w:val="21"/>
                    </w:rPr>
                    <w:t>废气处理</w:t>
                  </w:r>
                </w:p>
              </w:tc>
              <w:tc>
                <w:tcPr>
                  <w:tcW w:w="1105" w:type="pct"/>
                  <w:noWrap w:val="0"/>
                  <w:vAlign w:val="center"/>
                </w:tcPr>
                <w:p>
                  <w:pPr>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eastAsiaTheme="minorEastAsia"/>
                      <w:sz w:val="21"/>
                      <w:szCs w:val="21"/>
                    </w:rPr>
                    <w:t>锅炉</w:t>
                  </w:r>
                </w:p>
              </w:tc>
              <w:tc>
                <w:tcPr>
                  <w:tcW w:w="1161" w:type="pct"/>
                  <w:noWrap w:val="0"/>
                  <w:vAlign w:val="center"/>
                </w:tcPr>
                <w:p>
                  <w:pPr>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eastAsiaTheme="minorEastAsia"/>
                      <w:sz w:val="21"/>
                      <w:szCs w:val="21"/>
                    </w:rPr>
                    <w:t>布袋除尘器</w:t>
                  </w:r>
                </w:p>
              </w:tc>
              <w:tc>
                <w:tcPr>
                  <w:tcW w:w="825"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15</w:t>
                  </w:r>
                </w:p>
              </w:tc>
              <w:tc>
                <w:tcPr>
                  <w:tcW w:w="825"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44" w:type="pct"/>
                  <w:vMerge w:val="continue"/>
                  <w:noWrap w:val="0"/>
                  <w:vAlign w:val="center"/>
                </w:tcPr>
                <w:p>
                  <w:pPr>
                    <w:spacing w:line="0" w:lineRule="atLeast"/>
                    <w:jc w:val="center"/>
                    <w:rPr>
                      <w:rFonts w:hint="default" w:ascii="Times New Roman" w:hAnsi="Times New Roman" w:cs="Times New Roman"/>
                      <w:color w:val="FF0000"/>
                      <w:sz w:val="21"/>
                      <w:szCs w:val="21"/>
                      <w:highlight w:val="none"/>
                    </w:rPr>
                  </w:pPr>
                </w:p>
              </w:tc>
              <w:tc>
                <w:tcPr>
                  <w:tcW w:w="838" w:type="pct"/>
                  <w:vMerge w:val="continue"/>
                  <w:noWrap w:val="0"/>
                  <w:vAlign w:val="center"/>
                </w:tcPr>
                <w:p>
                  <w:pPr>
                    <w:spacing w:line="0" w:lineRule="atLeast"/>
                    <w:jc w:val="center"/>
                    <w:rPr>
                      <w:rFonts w:hint="default" w:ascii="Times New Roman" w:hAnsi="Times New Roman" w:cs="Times New Roman"/>
                      <w:color w:val="FF0000"/>
                      <w:sz w:val="21"/>
                      <w:szCs w:val="21"/>
                      <w:highlight w:val="none"/>
                    </w:rPr>
                  </w:pPr>
                </w:p>
              </w:tc>
              <w:tc>
                <w:tcPr>
                  <w:tcW w:w="1105" w:type="pct"/>
                  <w:noWrap w:val="0"/>
                  <w:vAlign w:val="center"/>
                </w:tcPr>
                <w:p>
                  <w:pPr>
                    <w:spacing w:line="240" w:lineRule="auto"/>
                    <w:ind w:firstLine="0" w:firstLineChars="0"/>
                    <w:jc w:val="center"/>
                    <w:rPr>
                      <w:rFonts w:hint="default" w:ascii="Times New Roman" w:hAnsi="Times New Roman" w:cs="Times New Roman"/>
                      <w:color w:val="FF0000"/>
                      <w:sz w:val="21"/>
                      <w:szCs w:val="21"/>
                      <w:highlight w:val="none"/>
                    </w:rPr>
                  </w:pPr>
                  <w:r>
                    <w:rPr>
                      <w:rFonts w:hint="default" w:ascii="Times New Roman" w:hAnsi="Times New Roman" w:cs="Times New Roman" w:eastAsiaTheme="minorEastAsia"/>
                      <w:sz w:val="21"/>
                      <w:szCs w:val="21"/>
                    </w:rPr>
                    <w:t>煤场</w:t>
                  </w:r>
                </w:p>
              </w:tc>
              <w:tc>
                <w:tcPr>
                  <w:tcW w:w="1161" w:type="pct"/>
                  <w:noWrap w:val="0"/>
                  <w:vAlign w:val="center"/>
                </w:tcPr>
                <w:p>
                  <w:pPr>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eastAsiaTheme="minorEastAsia"/>
                      <w:sz w:val="21"/>
                      <w:szCs w:val="21"/>
                    </w:rPr>
                    <w:t>防风抑尘网</w:t>
                  </w:r>
                </w:p>
              </w:tc>
              <w:tc>
                <w:tcPr>
                  <w:tcW w:w="825"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8</w:t>
                  </w:r>
                </w:p>
              </w:tc>
              <w:tc>
                <w:tcPr>
                  <w:tcW w:w="825" w:type="pct"/>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44" w:type="pct"/>
                  <w:vMerge w:val="continue"/>
                  <w:noWrap w:val="0"/>
                  <w:vAlign w:val="center"/>
                </w:tcPr>
                <w:p>
                  <w:pPr>
                    <w:spacing w:line="0" w:lineRule="atLeast"/>
                    <w:jc w:val="center"/>
                    <w:rPr>
                      <w:rFonts w:hint="default" w:ascii="Times New Roman" w:hAnsi="Times New Roman" w:cs="Times New Roman"/>
                      <w:color w:val="FF0000"/>
                      <w:sz w:val="21"/>
                      <w:szCs w:val="21"/>
                      <w:highlight w:val="none"/>
                    </w:rPr>
                  </w:pPr>
                </w:p>
              </w:tc>
              <w:tc>
                <w:tcPr>
                  <w:tcW w:w="838"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szCs w:val="21"/>
                    </w:rPr>
                    <w:t>噪声处理</w:t>
                  </w:r>
                </w:p>
              </w:tc>
              <w:tc>
                <w:tcPr>
                  <w:tcW w:w="1105"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生产设备及风机</w:t>
                  </w:r>
                </w:p>
              </w:tc>
              <w:tc>
                <w:tcPr>
                  <w:tcW w:w="1161" w:type="pct"/>
                  <w:tcBorders>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eastAsiaTheme="minorEastAsia"/>
                      <w:sz w:val="21"/>
                      <w:szCs w:val="21"/>
                    </w:rPr>
                    <w:t>设备基础减震、隔声</w:t>
                  </w:r>
                </w:p>
              </w:tc>
              <w:tc>
                <w:tcPr>
                  <w:tcW w:w="825" w:type="pct"/>
                  <w:tcBorders>
                    <w:bottom w:val="single" w:color="auto" w:sz="4"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1</w:t>
                  </w:r>
                </w:p>
              </w:tc>
              <w:tc>
                <w:tcPr>
                  <w:tcW w:w="825" w:type="pct"/>
                  <w:tcBorders>
                    <w:bottom w:val="single" w:color="auto" w:sz="4"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44" w:type="pct"/>
                  <w:vMerge w:val="continue"/>
                  <w:noWrap w:val="0"/>
                  <w:vAlign w:val="center"/>
                </w:tcPr>
                <w:p>
                  <w:pPr>
                    <w:spacing w:line="0" w:lineRule="atLeast"/>
                    <w:jc w:val="center"/>
                    <w:rPr>
                      <w:rFonts w:hint="default" w:ascii="Times New Roman" w:hAnsi="Times New Roman" w:cs="Times New Roman"/>
                      <w:color w:val="FF0000"/>
                      <w:sz w:val="21"/>
                      <w:szCs w:val="21"/>
                      <w:highlight w:val="none"/>
                    </w:rPr>
                  </w:pPr>
                </w:p>
              </w:tc>
              <w:tc>
                <w:tcPr>
                  <w:tcW w:w="838"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固体废物</w:t>
                  </w:r>
                </w:p>
              </w:tc>
              <w:tc>
                <w:tcPr>
                  <w:tcW w:w="1105"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灰渣、脱硫副产物、废离子交换树脂</w:t>
                  </w:r>
                </w:p>
              </w:tc>
              <w:tc>
                <w:tcPr>
                  <w:tcW w:w="1161"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外售综合利用</w:t>
                  </w:r>
                </w:p>
              </w:tc>
              <w:tc>
                <w:tcPr>
                  <w:tcW w:w="825" w:type="pct"/>
                  <w:tcBorders>
                    <w:bottom w:val="single" w:color="auto" w:sz="4"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0</w:t>
                  </w:r>
                </w:p>
              </w:tc>
              <w:tc>
                <w:tcPr>
                  <w:tcW w:w="825" w:type="pct"/>
                  <w:tcBorders>
                    <w:bottom w:val="single" w:color="auto" w:sz="4" w:space="0"/>
                  </w:tcBorders>
                  <w:noWrap w:val="0"/>
                  <w:vAlign w:val="center"/>
                </w:tcPr>
                <w:p>
                  <w:pPr>
                    <w:spacing w:line="240" w:lineRule="auto"/>
                    <w:ind w:firstLine="0" w:firstLineChars="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44" w:type="pct"/>
                  <w:vMerge w:val="continue"/>
                  <w:noWrap w:val="0"/>
                  <w:vAlign w:val="center"/>
                </w:tcPr>
                <w:p>
                  <w:pPr>
                    <w:spacing w:line="0" w:lineRule="atLeast"/>
                    <w:jc w:val="center"/>
                    <w:rPr>
                      <w:rFonts w:hint="default" w:ascii="Times New Roman" w:hAnsi="Times New Roman" w:cs="Times New Roman"/>
                      <w:color w:val="FF0000"/>
                      <w:sz w:val="21"/>
                      <w:szCs w:val="21"/>
                      <w:highlight w:val="none"/>
                    </w:rPr>
                  </w:pPr>
                </w:p>
              </w:tc>
              <w:tc>
                <w:tcPr>
                  <w:tcW w:w="3105" w:type="pct"/>
                  <w:gridSpan w:val="3"/>
                  <w:tcBorders>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eastAsiaTheme="minorEastAsia"/>
                      <w:sz w:val="21"/>
                      <w:szCs w:val="21"/>
                    </w:rPr>
                    <w:t>运行、管理、维护、验收、监测费</w:t>
                  </w:r>
                </w:p>
              </w:tc>
              <w:tc>
                <w:tcPr>
                  <w:tcW w:w="825" w:type="pct"/>
                  <w:tcBorders>
                    <w:bottom w:val="single" w:color="auto" w:sz="4"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1</w:t>
                  </w:r>
                </w:p>
              </w:tc>
              <w:tc>
                <w:tcPr>
                  <w:tcW w:w="825" w:type="pct"/>
                  <w:tcBorders>
                    <w:bottom w:val="single" w:color="auto" w:sz="4"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9" w:type="pct"/>
                  <w:gridSpan w:val="4"/>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szCs w:val="21"/>
                    </w:rPr>
                    <w:t>合计</w:t>
                  </w:r>
                </w:p>
              </w:tc>
              <w:tc>
                <w:tcPr>
                  <w:tcW w:w="825" w:type="pct"/>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rPr>
                    <w:t>25</w:t>
                  </w:r>
                </w:p>
              </w:tc>
              <w:tc>
                <w:tcPr>
                  <w:tcW w:w="825" w:type="pct"/>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9" w:type="pct"/>
                  <w:gridSpan w:val="4"/>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sz w:val="21"/>
                      <w:szCs w:val="21"/>
                    </w:rPr>
                    <w:t>总投资</w:t>
                  </w:r>
                </w:p>
              </w:tc>
              <w:tc>
                <w:tcPr>
                  <w:tcW w:w="825" w:type="pct"/>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220</w:t>
                  </w:r>
                </w:p>
              </w:tc>
              <w:tc>
                <w:tcPr>
                  <w:tcW w:w="825" w:type="pct"/>
                  <w:tcBorders>
                    <w:top w:val="single" w:color="auto" w:sz="4" w:space="0"/>
                    <w:bottom w:val="single" w:color="auto" w:sz="4"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349" w:type="pct"/>
                  <w:gridSpan w:val="4"/>
                  <w:tcBorders>
                    <w:top w:val="single" w:color="auto" w:sz="4" w:space="0"/>
                    <w:bottom w:val="single" w:color="auto" w:sz="12" w:space="0"/>
                  </w:tcBorders>
                  <w:noWrap w:val="0"/>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szCs w:val="21"/>
                    </w:rPr>
                    <w:t>环保投资比</w:t>
                  </w:r>
                </w:p>
              </w:tc>
              <w:tc>
                <w:tcPr>
                  <w:tcW w:w="825" w:type="pct"/>
                  <w:tcBorders>
                    <w:top w:val="single" w:color="auto" w:sz="4" w:space="0"/>
                    <w:bottom w:val="single" w:color="auto" w:sz="12" w:space="0"/>
                  </w:tcBorders>
                  <w:noWrap w:val="0"/>
                  <w:vAlign w:val="center"/>
                </w:tcPr>
                <w:p>
                  <w:pPr>
                    <w:spacing w:line="240" w:lineRule="auto"/>
                    <w:ind w:firstLine="0" w:firstLineChars="0"/>
                    <w:jc w:val="center"/>
                    <w:rPr>
                      <w:rFonts w:hint="default" w:ascii="Times New Roman" w:hAnsi="Times New Roman" w:cs="Times New Roman" w:eastAsiaTheme="minorEastAsia"/>
                      <w:sz w:val="21"/>
                      <w:szCs w:val="21"/>
                      <w:highlight w:val="none"/>
                    </w:rPr>
                  </w:pPr>
                  <w:r>
                    <w:rPr>
                      <w:rFonts w:hint="default" w:ascii="Times New Roman" w:hAnsi="Times New Roman" w:cs="Times New Roman" w:eastAsiaTheme="minorEastAsia"/>
                      <w:sz w:val="21"/>
                      <w:szCs w:val="21"/>
                      <w:highlight w:val="none"/>
                    </w:rPr>
                    <w:t>11.36%</w:t>
                  </w:r>
                </w:p>
              </w:tc>
              <w:tc>
                <w:tcPr>
                  <w:tcW w:w="825" w:type="pct"/>
                  <w:tcBorders>
                    <w:top w:val="single" w:color="auto" w:sz="4" w:space="0"/>
                    <w:bottom w:val="single" w:color="auto" w:sz="12" w:space="0"/>
                  </w:tcBorders>
                  <w:noWrap w:val="0"/>
                  <w:vAlign w:val="center"/>
                </w:tcPr>
                <w:p>
                  <w:pPr>
                    <w:spacing w:line="240" w:lineRule="auto"/>
                    <w:ind w:firstLine="0" w:firstLineChars="0"/>
                    <w:jc w:val="center"/>
                    <w:rPr>
                      <w:rFonts w:hint="eastAsia" w:ascii="Times New Roman" w:hAnsi="Times New Roman" w:cs="Times New Roman" w:eastAsiaTheme="minorEastAsia"/>
                      <w:sz w:val="21"/>
                      <w:szCs w:val="21"/>
                      <w:highlight w:val="none"/>
                      <w:lang w:val="en-US" w:eastAsia="zh-CN"/>
                    </w:rPr>
                  </w:pPr>
                  <w:r>
                    <w:rPr>
                      <w:rFonts w:hint="eastAsia" w:ascii="Times New Roman" w:hAnsi="Times New Roman" w:cs="Times New Roman"/>
                      <w:sz w:val="21"/>
                      <w:szCs w:val="21"/>
                      <w:highlight w:val="none"/>
                      <w:lang w:val="en-US" w:eastAsia="zh-CN"/>
                    </w:rPr>
                    <w:t>53.64</w:t>
                  </w:r>
                  <w:r>
                    <w:rPr>
                      <w:rFonts w:hint="default" w:ascii="Times New Roman" w:hAnsi="Times New Roman" w:cs="Times New Roman" w:eastAsiaTheme="minorEastAsia"/>
                      <w:sz w:val="21"/>
                      <w:szCs w:val="21"/>
                      <w:highlight w:val="none"/>
                    </w:rPr>
                    <w:t>%</w:t>
                  </w:r>
                </w:p>
              </w:tc>
            </w:tr>
          </w:tbl>
          <w:p>
            <w:pPr>
              <w:pStyle w:val="54"/>
              <w:ind w:left="0" w:leftChars="0" w:firstLine="0" w:firstLineChars="0"/>
              <w:rPr>
                <w:b/>
                <w:color w:val="auto"/>
              </w:rPr>
            </w:pPr>
            <w:r>
              <w:rPr>
                <w:rFonts w:hint="eastAsia"/>
                <w:b/>
                <w:color w:val="auto"/>
                <w:lang w:val="en-US" w:eastAsia="zh-CN"/>
              </w:rPr>
              <w:t>六、环境</w:t>
            </w:r>
            <w:r>
              <w:rPr>
                <w:rFonts w:hint="eastAsia"/>
                <w:b/>
                <w:color w:val="auto"/>
              </w:rPr>
              <w:t>保护目标</w:t>
            </w:r>
          </w:p>
          <w:p>
            <w:pPr>
              <w:pStyle w:val="54"/>
              <w:ind w:firstLine="480" w:firstLineChars="200"/>
              <w:rPr>
                <w:rFonts w:hint="default" w:ascii="Times New Roman" w:hAnsi="Times New Roman" w:cs="Times New Roman" w:eastAsiaTheme="minorEastAsia"/>
                <w:lang w:val="en-US" w:eastAsia="zh-CN"/>
              </w:rPr>
            </w:pPr>
            <w:r>
              <w:rPr>
                <w:rFonts w:hint="eastAsia" w:ascii="Times New Roman" w:hAnsi="Times New Roman" w:cs="Times New Roman"/>
                <w:lang w:val="en-GB" w:eastAsia="zh-CN"/>
              </w:rPr>
              <w:t>（</w:t>
            </w:r>
            <w:r>
              <w:rPr>
                <w:rFonts w:hint="eastAsia" w:ascii="Times New Roman" w:hAnsi="Times New Roman" w:cs="Times New Roman"/>
                <w:lang w:val="en-US" w:eastAsia="zh-CN"/>
              </w:rPr>
              <w:t>1</w:t>
            </w:r>
            <w:r>
              <w:rPr>
                <w:rFonts w:hint="eastAsia" w:ascii="Times New Roman" w:hAnsi="Times New Roman" w:cs="Times New Roman"/>
                <w:lang w:val="en-GB" w:eastAsia="zh-CN"/>
              </w:rPr>
              <w:t>）</w:t>
            </w:r>
            <w:r>
              <w:rPr>
                <w:rFonts w:hint="eastAsia" w:ascii="Times New Roman" w:hAnsi="Times New Roman" w:cs="Times New Roman"/>
                <w:lang w:val="en-US" w:eastAsia="zh-CN"/>
              </w:rPr>
              <w:t>大气环境</w:t>
            </w:r>
          </w:p>
          <w:p>
            <w:pPr>
              <w:pStyle w:val="54"/>
              <w:ind w:firstLine="480" w:firstLineChars="200"/>
              <w:rPr>
                <w:rFonts w:hint="default" w:ascii="Times New Roman" w:hAnsi="Times New Roman" w:cs="Times New Roman"/>
                <w:color w:val="auto"/>
                <w:highlight w:val="none"/>
                <w:lang w:eastAsia="zh-CN"/>
              </w:rPr>
            </w:pPr>
            <w:r>
              <w:rPr>
                <w:rFonts w:hint="eastAsia" w:ascii="Times New Roman" w:hAnsi="Times New Roman" w:cs="Times New Roman"/>
                <w:highlight w:val="none"/>
                <w:lang w:val="en-US" w:eastAsia="zh-CN"/>
              </w:rPr>
              <w:t>根据现场踏勘可知，本项目5km内未新增保护目标。</w:t>
            </w:r>
            <w:r>
              <w:rPr>
                <w:rFonts w:hint="default" w:ascii="Times New Roman" w:hAnsi="Times New Roman" w:cs="Times New Roman" w:eastAsiaTheme="minorEastAsia"/>
                <w:highlight w:val="none"/>
              </w:rPr>
              <w:t>周边环境敏感目标分布</w:t>
            </w:r>
            <w:r>
              <w:rPr>
                <w:rFonts w:hint="default" w:ascii="Times New Roman" w:hAnsi="Times New Roman" w:cs="Times New Roman"/>
                <w:color w:val="auto"/>
                <w:highlight w:val="none"/>
                <w:lang w:eastAsia="zh-CN"/>
              </w:rPr>
              <w:t>详见下表。</w:t>
            </w:r>
          </w:p>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color w:val="auto"/>
                <w:highlight w:val="none"/>
                <w:lang w:val="en-US" w:eastAsia="zh-CN"/>
              </w:rPr>
            </w:pPr>
            <w:r>
              <w:rPr>
                <w:rFonts w:hint="default" w:ascii="Times New Roman" w:hAnsi="Times New Roman" w:eastAsia="黑体" w:cs="Times New Roman"/>
                <w:color w:val="auto"/>
                <w:sz w:val="24"/>
                <w:szCs w:val="24"/>
                <w:highlight w:val="none"/>
                <w:lang w:val="en-US" w:eastAsia="zh-CN"/>
              </w:rPr>
              <w:t>表</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lang w:val="en-US" w:eastAsia="zh-CN"/>
              </w:rPr>
              <w:t>2-</w:t>
            </w:r>
            <w:r>
              <w:rPr>
                <w:rFonts w:hint="eastAsia" w:ascii="Times New Roman" w:hAnsi="Times New Roman" w:eastAsia="黑体" w:cs="Times New Roman"/>
                <w:color w:val="auto"/>
                <w:sz w:val="24"/>
                <w:szCs w:val="24"/>
                <w:highlight w:val="none"/>
                <w:lang w:val="en-US" w:eastAsia="zh-CN"/>
              </w:rPr>
              <w:t>6 大气</w:t>
            </w:r>
            <w:r>
              <w:rPr>
                <w:rFonts w:hint="default" w:ascii="Times New Roman" w:hAnsi="Times New Roman" w:eastAsia="黑体" w:cs="Times New Roman"/>
                <w:color w:val="auto"/>
                <w:sz w:val="24"/>
                <w:szCs w:val="24"/>
                <w:highlight w:val="none"/>
                <w:lang w:val="en-US" w:eastAsia="zh-CN"/>
              </w:rPr>
              <w:t>环境保护目标一览表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099"/>
              <w:gridCol w:w="1607"/>
              <w:gridCol w:w="1609"/>
              <w:gridCol w:w="956"/>
              <w:gridCol w:w="436"/>
              <w:gridCol w:w="773"/>
              <w:gridCol w:w="839"/>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42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630"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843" w:type="pct"/>
                  <w:gridSpan w:val="2"/>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w:t>
                  </w:r>
                </w:p>
              </w:tc>
              <w:tc>
                <w:tcPr>
                  <w:tcW w:w="548"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保护对象</w:t>
                  </w:r>
                </w:p>
              </w:tc>
              <w:tc>
                <w:tcPr>
                  <w:tcW w:w="250"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保护内容</w:t>
                  </w:r>
                </w:p>
              </w:tc>
              <w:tc>
                <w:tcPr>
                  <w:tcW w:w="44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环境功能区</w:t>
                  </w:r>
                </w:p>
              </w:tc>
              <w:tc>
                <w:tcPr>
                  <w:tcW w:w="481"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378"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相对厂界</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距离</w:t>
                  </w:r>
                  <w:r>
                    <w:rPr>
                      <w:rFonts w:hint="default" w:ascii="Times New Roman" w:hAnsi="Times New Roman" w:cs="Times New Roman"/>
                      <w:color w:val="auto"/>
                      <w:sz w:val="21"/>
                      <w:szCs w:val="21"/>
                      <w:highlight w:val="none"/>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630"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92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东经</w:t>
                  </w:r>
                </w:p>
              </w:tc>
              <w:tc>
                <w:tcPr>
                  <w:tcW w:w="922"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北纬</w:t>
                  </w:r>
                </w:p>
              </w:tc>
              <w:tc>
                <w:tcPr>
                  <w:tcW w:w="548"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481"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378" w:type="pct"/>
                  <w:vMerge w:val="continue"/>
                  <w:noWrap w:val="0"/>
                  <w:vAlign w:val="center"/>
                </w:tcPr>
                <w:p>
                  <w:pPr>
                    <w:widowControl/>
                    <w:jc w:val="center"/>
                    <w:rPr>
                      <w:rFonts w:hint="default" w:ascii="Times New Roman" w:hAnsi="Times New Roman"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23"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w:t>
                  </w:r>
                </w:p>
              </w:tc>
              <w:tc>
                <w:tcPr>
                  <w:tcW w:w="630"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eastAsiaTheme="minorEastAsia"/>
                      <w:sz w:val="21"/>
                      <w:szCs w:val="21"/>
                    </w:rPr>
                    <w:t>河滨鑫源小区</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rPr>
                    <w:t>127.99984217</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45.20858941</w:t>
                  </w:r>
                </w:p>
              </w:tc>
              <w:tc>
                <w:tcPr>
                  <w:tcW w:w="54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eastAsiaTheme="minorEastAsia"/>
                      <w:sz w:val="21"/>
                      <w:szCs w:val="21"/>
                    </w:rPr>
                    <w:t>居住区</w:t>
                  </w:r>
                </w:p>
              </w:tc>
              <w:tc>
                <w:tcPr>
                  <w:tcW w:w="250"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人群</w:t>
                  </w:r>
                </w:p>
              </w:tc>
              <w:tc>
                <w:tcPr>
                  <w:tcW w:w="443" w:type="pct"/>
                  <w:vMerge w:val="restart"/>
                  <w:noWrap w:val="0"/>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二类</w:t>
                  </w:r>
                </w:p>
              </w:tc>
              <w:tc>
                <w:tcPr>
                  <w:tcW w:w="839"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szCs w:val="21"/>
                    </w:rPr>
                    <w:t>S</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spacing w:line="280" w:lineRule="exact"/>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西安村</w:t>
                  </w:r>
                </w:p>
              </w:tc>
              <w:tc>
                <w:tcPr>
                  <w:tcW w:w="921" w:type="pct"/>
                  <w:noWrap w:val="0"/>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napToGrid w:val="0"/>
                      <w:kern w:val="0"/>
                      <w:sz w:val="21"/>
                      <w:szCs w:val="21"/>
                    </w:rPr>
                    <w:t>127.99784660</w:t>
                  </w:r>
                </w:p>
              </w:tc>
              <w:tc>
                <w:tcPr>
                  <w:tcW w:w="922" w:type="pct"/>
                  <w:noWrap w:val="0"/>
                  <w:vAlign w:val="center"/>
                </w:tcPr>
                <w:p>
                  <w:pPr>
                    <w:spacing w:line="280" w:lineRule="exact"/>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napToGrid w:val="0"/>
                      <w:kern w:val="0"/>
                      <w:sz w:val="21"/>
                      <w:szCs w:val="21"/>
                    </w:rPr>
                    <w:t>45.21428843</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napToGrid w:val="0"/>
                      <w:kern w:val="0"/>
                      <w:sz w:val="21"/>
                      <w:szCs w:val="21"/>
                    </w:rPr>
                    <w:t>N</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szCs w:val="21"/>
                    </w:rPr>
                    <w:t>185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东浦1号丽水嘉园</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127.99731016</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45.20845335</w:t>
                  </w:r>
                </w:p>
              </w:tc>
              <w:tc>
                <w:tcPr>
                  <w:tcW w:w="548" w:type="pct"/>
                  <w:vMerge w:val="continue"/>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365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东安村</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sz w:val="21"/>
                    </w:rPr>
                    <w:t>128.00806046</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sz w:val="21"/>
                    </w:rPr>
                    <w:t>45.22034963</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napToGrid w:val="0"/>
                      <w:kern w:val="0"/>
                      <w:sz w:val="21"/>
                      <w:szCs w:val="21"/>
                    </w:rPr>
                    <w:t>NE</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阳光尚东</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rPr>
                    <w:t>126.19729042</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sz w:val="21"/>
                    </w:rPr>
                    <w:t>45.63246591</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780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新都明珠</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127.98132420</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45.20991974</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1464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牡丹家园</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127.97724724</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45.21094769</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1798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尚志市朝鲜族小学</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127.97351360</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45.20641244</w:t>
                  </w:r>
                </w:p>
              </w:tc>
              <w:tc>
                <w:tcPr>
                  <w:tcW w:w="548"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eastAsiaTheme="minorEastAsia"/>
                      <w:sz w:val="21"/>
                      <w:szCs w:val="21"/>
                    </w:rPr>
                    <w:t>文化区</w:t>
                  </w: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2122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东浦公馆</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128.00024986</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45.20550535</w:t>
                  </w:r>
                </w:p>
              </w:tc>
              <w:tc>
                <w:tcPr>
                  <w:tcW w:w="548" w:type="pct"/>
                  <w:vMerge w:val="restar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eastAsiaTheme="minorEastAsia"/>
                      <w:sz w:val="21"/>
                      <w:szCs w:val="21"/>
                    </w:rPr>
                    <w:t>居住区</w:t>
                  </w: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612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费家屯</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128.01119328</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45.21070582</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SE</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741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铂金华府</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128.00426245</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45.20491573</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689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东和小镇</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127.99020767</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45.21548258</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NW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835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rPr>
                      <w:rFonts w:hint="default" w:ascii="Times New Roman" w:hAnsi="Times New Roman" w:cs="Times New Roman"/>
                      <w:color w:val="auto"/>
                      <w:sz w:val="21"/>
                      <w:szCs w:val="21"/>
                      <w:highlight w:val="none"/>
                      <w:lang w:val="en-US" w:eastAsia="zh-CN"/>
                    </w:rPr>
                  </w:pPr>
                  <w:r>
                    <w:rPr>
                      <w:rFonts w:eastAsiaTheme="minorEastAsia"/>
                      <w:sz w:val="21"/>
                      <w:szCs w:val="21"/>
                    </w:rPr>
                    <w:t>苏杭名都</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127.98467159</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45.21433378</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NW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1215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东方花园</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127.99140930</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45.20638221</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SW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850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明礼村</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127.97836304</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45.21826380</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NW</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朝阳屯</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128.01218033</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45.23253053</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NE</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2385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3"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630"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eastAsiaTheme="minorEastAsia"/>
                      <w:sz w:val="21"/>
                      <w:szCs w:val="21"/>
                    </w:rPr>
                    <w:t>一号中屯</w:t>
                  </w:r>
                </w:p>
              </w:tc>
              <w:tc>
                <w:tcPr>
                  <w:tcW w:w="921"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127.99806118</w:t>
                  </w:r>
                </w:p>
              </w:tc>
              <w:tc>
                <w:tcPr>
                  <w:tcW w:w="922" w:type="pct"/>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eastAsiaTheme="minorEastAsia"/>
                      <w:sz w:val="21"/>
                    </w:rPr>
                    <w:t>45.22509535</w:t>
                  </w:r>
                </w:p>
              </w:tc>
              <w:tc>
                <w:tcPr>
                  <w:tcW w:w="548"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250" w:type="pct"/>
                  <w:vMerge w:val="continue"/>
                  <w:noWrap w:val="0"/>
                  <w:vAlign w:val="center"/>
                </w:tcPr>
                <w:p>
                  <w:pPr>
                    <w:jc w:val="center"/>
                    <w:rPr>
                      <w:rFonts w:hint="default" w:ascii="Times New Roman" w:hAnsi="Times New Roman" w:cs="Times New Roman"/>
                      <w:color w:val="auto"/>
                      <w:sz w:val="21"/>
                      <w:szCs w:val="21"/>
                      <w:highlight w:val="none"/>
                    </w:rPr>
                  </w:pPr>
                </w:p>
              </w:tc>
              <w:tc>
                <w:tcPr>
                  <w:tcW w:w="443" w:type="pct"/>
                  <w:vMerge w:val="continue"/>
                  <w:noWrap w:val="0"/>
                  <w:vAlign w:val="center"/>
                </w:tcPr>
                <w:p>
                  <w:pPr>
                    <w:widowControl/>
                    <w:jc w:val="center"/>
                    <w:rPr>
                      <w:rFonts w:hint="default" w:ascii="Times New Roman" w:hAnsi="Times New Roman" w:cs="Times New Roman"/>
                      <w:color w:val="auto"/>
                      <w:sz w:val="21"/>
                      <w:szCs w:val="21"/>
                      <w:highlight w:val="none"/>
                    </w:rPr>
                  </w:pPr>
                </w:p>
              </w:tc>
              <w:tc>
                <w:tcPr>
                  <w:tcW w:w="839"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N</w:t>
                  </w:r>
                </w:p>
              </w:tc>
              <w:tc>
                <w:tcPr>
                  <w:tcW w:w="66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eastAsiaTheme="minorEastAsia"/>
                      <w:sz w:val="21"/>
                      <w:szCs w:val="21"/>
                    </w:rPr>
                    <w:t>1458</w:t>
                  </w:r>
                </w:p>
              </w:tc>
            </w:tr>
          </w:tbl>
          <w:p>
            <w:pPr>
              <w:pStyle w:val="54"/>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（2）声环境</w:t>
            </w:r>
          </w:p>
          <w:p>
            <w:pPr>
              <w:pStyle w:val="54"/>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本项目厂界外50m范围内无声环境保护目标。</w:t>
            </w:r>
          </w:p>
          <w:p>
            <w:pPr>
              <w:pStyle w:val="54"/>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（3）地下水环境保护目标</w:t>
            </w:r>
          </w:p>
          <w:p>
            <w:pPr>
              <w:pStyle w:val="54"/>
              <w:ind w:firstLine="480" w:firstLineChars="200"/>
              <w:rPr>
                <w:rFonts w:hint="eastAsia" w:ascii="Times New Roman" w:hAnsi="Times New Roman" w:cs="Times New Roman"/>
                <w:lang w:val="en-US" w:eastAsia="zh-CN"/>
              </w:rPr>
            </w:pPr>
            <w:r>
              <w:rPr>
                <w:rFonts w:hint="eastAsia" w:ascii="Times New Roman" w:hAnsi="Times New Roman" w:cs="Times New Roman"/>
                <w:lang w:val="en-US" w:eastAsia="zh-CN"/>
              </w:rPr>
              <w:t>本项目厂界外500米范围内无地下水集中式饮用水水源和热水、矿泉水、温泉等特殊地下水资源保护目标（先富村采用分散式饮用水水源供水）。</w:t>
            </w:r>
          </w:p>
          <w:p>
            <w:pPr>
              <w:pStyle w:val="54"/>
              <w:ind w:firstLine="480" w:firstLineChars="200"/>
              <w:rPr>
                <w:rFonts w:hint="eastAsia" w:ascii="Times New Roman" w:hAnsi="Times New Roman" w:cs="Times New Roman"/>
                <w:lang w:val="en-US" w:eastAsia="zh-CN"/>
              </w:rPr>
            </w:pPr>
          </w:p>
          <w:p>
            <w:pPr>
              <w:pStyle w:val="49"/>
              <w:widowControl w:val="0"/>
              <w:bidi w:val="0"/>
              <w:rPr>
                <w:rFonts w:hint="eastAsia"/>
                <w:color w:val="FF0000"/>
                <w:highlight w:val="none"/>
                <w:lang w:val="en-US" w:eastAsia="zh-CN"/>
              </w:rPr>
            </w:pPr>
          </w:p>
          <w:p>
            <w:pPr>
              <w:pStyle w:val="49"/>
              <w:widowControl w:val="0"/>
              <w:bidi w:val="0"/>
              <w:rPr>
                <w:rFonts w:hint="eastAsia"/>
                <w:color w:val="FF0000"/>
                <w:highlight w:val="none"/>
                <w:lang w:val="en-US" w:eastAsia="zh-CN"/>
              </w:rPr>
            </w:pPr>
          </w:p>
          <w:p>
            <w:pPr>
              <w:pStyle w:val="49"/>
              <w:widowControl w:val="0"/>
              <w:bidi w:val="0"/>
              <w:rPr>
                <w:rFonts w:hint="eastAsia"/>
                <w:color w:val="FF0000"/>
                <w:highlight w:val="none"/>
                <w:lang w:val="en-US" w:eastAsia="zh-CN"/>
              </w:rPr>
            </w:pPr>
          </w:p>
          <w:p>
            <w:pPr>
              <w:pStyle w:val="49"/>
              <w:widowControl w:val="0"/>
              <w:bidi w:val="0"/>
              <w:rPr>
                <w:rFonts w:hint="eastAsia"/>
                <w:color w:val="FF0000"/>
                <w:highlight w:val="no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p>
          <w:p>
            <w:pPr>
              <w:rPr>
                <w:rFonts w:hint="eastAsia"/>
                <w:color w:val="FF0000"/>
                <w:highlight w:val="none"/>
                <w:lang w:val="en-US" w:eastAsia="zh-CN"/>
              </w:rPr>
            </w:pPr>
          </w:p>
          <w:p>
            <w:pPr>
              <w:bidi w:val="0"/>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rPr>
                <w:rFonts w:hint="default"/>
                <w:color w:val="FF0000"/>
                <w:highlight w:val="none"/>
                <w:lang w:val="en-US" w:eastAsia="zh-CN"/>
              </w:rPr>
            </w:pPr>
          </w:p>
          <w:p>
            <w:pPr>
              <w:pStyle w:val="2"/>
              <w:ind w:left="0" w:leftChars="0" w:firstLine="0" w:firstLineChars="0"/>
              <w:rPr>
                <w:rFonts w:hint="default"/>
                <w:color w:val="FF0000"/>
                <w:highlight w:val="none"/>
                <w:lang w:val="en-US" w:eastAsia="zh-CN"/>
              </w:rPr>
            </w:pPr>
          </w:p>
        </w:tc>
      </w:tr>
    </w:tbl>
    <w:p>
      <w:pPr>
        <w:rPr>
          <w:rFonts w:hint="eastAsia" w:ascii="宋体" w:hAnsi="宋体" w:eastAsia="宋体" w:cs="宋体"/>
          <w:b/>
          <w:bCs/>
          <w:color w:val="FF0000"/>
          <w:sz w:val="28"/>
          <w:szCs w:val="28"/>
          <w:highlight w:val="none"/>
          <w:lang w:val="en-US" w:eastAsia="zh-CN"/>
        </w:rPr>
      </w:pPr>
      <w:bookmarkStart w:id="5" w:name="_Toc16485"/>
      <w:r>
        <w:rPr>
          <w:rFonts w:hint="eastAsia" w:ascii="宋体" w:hAnsi="宋体" w:eastAsia="宋体" w:cs="宋体"/>
          <w:b/>
          <w:bCs/>
          <w:color w:val="FF0000"/>
          <w:sz w:val="28"/>
          <w:szCs w:val="28"/>
          <w:highlight w:val="none"/>
          <w:lang w:val="en-US" w:eastAsia="zh-CN"/>
        </w:rPr>
        <w:br w:type="page"/>
      </w:r>
    </w:p>
    <w:p>
      <w:pPr>
        <w:pStyle w:val="27"/>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left"/>
        <w:textAlignment w:val="auto"/>
        <w:outlineLvl w:val="0"/>
        <w:rPr>
          <w:rFonts w:hint="eastAsia" w:ascii="仿宋" w:hAnsi="仿宋" w:eastAsia="仿宋" w:cs="仿宋"/>
          <w:b/>
          <w:bCs/>
          <w:color w:val="FF0000"/>
          <w:sz w:val="28"/>
          <w:szCs w:val="28"/>
          <w:highlight w:val="none"/>
          <w:lang w:val="en-US" w:eastAsia="zh-CN"/>
        </w:rPr>
      </w:pPr>
      <w:bookmarkStart w:id="6" w:name="_Toc20459"/>
      <w:r>
        <w:rPr>
          <w:rFonts w:hint="eastAsia" w:ascii="宋体" w:hAnsi="宋体" w:eastAsia="宋体" w:cs="宋体"/>
          <w:b/>
          <w:bCs/>
          <w:color w:val="auto"/>
          <w:sz w:val="28"/>
          <w:szCs w:val="28"/>
          <w:highlight w:val="none"/>
          <w:lang w:val="en-US" w:eastAsia="zh-CN"/>
        </w:rPr>
        <w:t>表三 主要污染源、污染物处理和排放</w:t>
      </w:r>
      <w:bookmarkEnd w:id="5"/>
      <w:bookmarkEnd w:id="6"/>
    </w:p>
    <w:tbl>
      <w:tblPr>
        <w:tblStyle w:val="22"/>
        <w:tblW w:w="8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5" w:hRule="atLeast"/>
          <w:jc w:val="center"/>
        </w:trPr>
        <w:tc>
          <w:tcPr>
            <w:tcW w:w="8937" w:type="dxa"/>
          </w:tcPr>
          <w:p>
            <w:pPr>
              <w:pStyle w:val="27"/>
              <w:keepNext w:val="0"/>
              <w:keepLines w:val="0"/>
              <w:pageBreakBefore w:val="0"/>
              <w:widowControl w:val="0"/>
              <w:kinsoku/>
              <w:wordWrap/>
              <w:overflowPunct/>
              <w:topLinePunct w:val="0"/>
              <w:bidi w:val="0"/>
              <w:snapToGrid/>
              <w:spacing w:line="360" w:lineRule="auto"/>
              <w:jc w:val="both"/>
              <w:textAlignment w:val="auto"/>
              <w:outlineLvl w:val="9"/>
              <w:rPr>
                <w:rFonts w:hint="default" w:ascii="Times New Roman" w:hAnsi="Times New Roman" w:eastAsia="宋体" w:cs="Times New Roman"/>
                <w:b/>
                <w:bCs/>
                <w:color w:val="auto"/>
                <w:sz w:val="28"/>
                <w:szCs w:val="28"/>
                <w:highlight w:val="none"/>
                <w:lang w:val="en-US" w:eastAsia="zh-CN"/>
              </w:rPr>
            </w:pPr>
            <w:r>
              <w:rPr>
                <w:rFonts w:hint="default" w:ascii="Times New Roman" w:hAnsi="Times New Roman" w:eastAsia="宋体" w:cs="Times New Roman"/>
                <w:b/>
                <w:bCs/>
                <w:color w:val="auto"/>
                <w:sz w:val="28"/>
                <w:szCs w:val="28"/>
                <w:highlight w:val="none"/>
                <w:lang w:val="en-US" w:eastAsia="zh-CN"/>
              </w:rPr>
              <w:t>主要污染源、污染物处理和排放</w:t>
            </w:r>
          </w:p>
          <w:p>
            <w:pPr>
              <w:bidi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一、废水</w:t>
            </w:r>
          </w:p>
          <w:p>
            <w:pPr>
              <w:bidi w:val="0"/>
              <w:spacing w:line="360" w:lineRule="auto"/>
              <w:ind w:firstLine="480" w:firstLineChars="200"/>
              <w:rPr>
                <w:rFonts w:hint="default" w:ascii="Times New Roman" w:hAnsi="Times New Roman" w:cs="Times New Roman"/>
                <w:b w:val="0"/>
                <w:bCs w:val="0"/>
                <w:color w:val="auto"/>
                <w:szCs w:val="24"/>
                <w:highlight w:val="none"/>
              </w:rPr>
            </w:pPr>
            <w:r>
              <w:rPr>
                <w:rFonts w:hint="default" w:ascii="Times New Roman" w:hAnsi="Times New Roman" w:eastAsia="宋体" w:cs="Times New Roman"/>
                <w:color w:val="auto"/>
                <w:sz w:val="24"/>
                <w:szCs w:val="24"/>
                <w:highlight w:val="none"/>
              </w:rPr>
              <w:t>本项目废水主要为锅炉排污水及软化处理废水。废水排放及防治措施见表</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-1。</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b w:val="0"/>
                <w:bCs w:val="0"/>
                <w:color w:val="auto"/>
                <w:highlight w:val="none"/>
                <w:lang w:eastAsia="zh-CN"/>
              </w:rPr>
            </w:pPr>
            <w:r>
              <w:rPr>
                <w:rFonts w:hint="default"/>
                <w:b w:val="0"/>
                <w:bCs w:val="0"/>
                <w:color w:val="auto"/>
                <w:highlight w:val="none"/>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3</w:t>
            </w:r>
            <w:r>
              <w:rPr>
                <w:rFonts w:hint="default" w:ascii="Times New Roman" w:hAnsi="Times New Roman" w:cs="Times New Roman"/>
                <w:b w:val="0"/>
                <w:bCs w:val="0"/>
                <w:color w:val="auto"/>
                <w:highlight w:val="none"/>
              </w:rPr>
              <w:t>-1</w:t>
            </w:r>
            <w:r>
              <w:rPr>
                <w:rFonts w:hint="default"/>
                <w:b w:val="0"/>
                <w:bCs w:val="0"/>
                <w:color w:val="auto"/>
                <w:highlight w:val="none"/>
              </w:rPr>
              <w:t xml:space="preserve"> 废水排放及防</w:t>
            </w:r>
            <w:r>
              <w:rPr>
                <w:rFonts w:hint="default"/>
                <w:b w:val="0"/>
                <w:bCs w:val="0"/>
                <w:color w:val="auto"/>
                <w:highlight w:val="none"/>
                <w:lang w:eastAsia="zh-CN"/>
              </w:rPr>
              <w:t>治措施</w:t>
            </w:r>
          </w:p>
          <w:tbl>
            <w:tblPr>
              <w:tblStyle w:val="22"/>
              <w:tblW w:w="876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787"/>
              <w:gridCol w:w="1320"/>
              <w:gridCol w:w="1125"/>
              <w:gridCol w:w="2250"/>
              <w:gridCol w:w="1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569"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序号</w:t>
                  </w:r>
                </w:p>
              </w:tc>
              <w:tc>
                <w:tcPr>
                  <w:tcW w:w="1787"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废水类别</w:t>
                  </w:r>
                </w:p>
              </w:tc>
              <w:tc>
                <w:tcPr>
                  <w:tcW w:w="1320"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来源</w:t>
                  </w:r>
                </w:p>
              </w:tc>
              <w:tc>
                <w:tcPr>
                  <w:tcW w:w="1125"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排放量</w:t>
                  </w:r>
                </w:p>
              </w:tc>
              <w:tc>
                <w:tcPr>
                  <w:tcW w:w="2250"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治理设施</w:t>
                  </w:r>
                </w:p>
              </w:tc>
              <w:tc>
                <w:tcPr>
                  <w:tcW w:w="1717" w:type="dxa"/>
                  <w:tcBorders>
                    <w:tl2br w:val="nil"/>
                    <w:tr2bl w:val="nil"/>
                  </w:tcBorders>
                  <w:vAlign w:val="center"/>
                </w:tcPr>
                <w:p>
                  <w:pPr>
                    <w:jc w:val="center"/>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rPr>
                    <w:t>排水去向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9" w:type="dxa"/>
                  <w:tcBorders>
                    <w:tl2br w:val="nil"/>
                    <w:tr2bl w:val="nil"/>
                  </w:tcBorders>
                  <w:vAlign w:val="center"/>
                </w:tcPr>
                <w:p>
                  <w:pPr>
                    <w:jc w:val="center"/>
                    <w:outlineLvl w:val="9"/>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787" w:type="dxa"/>
                  <w:tcBorders>
                    <w:tl2br w:val="nil"/>
                    <w:tr2bl w:val="nil"/>
                  </w:tcBorders>
                  <w:vAlign w:val="center"/>
                </w:tcPr>
                <w:p>
                  <w:pPr>
                    <w:jc w:val="center"/>
                    <w:outlineLvl w:val="9"/>
                    <w:rPr>
                      <w:rFonts w:hint="default" w:ascii="Times New Roman" w:hAnsi="Times New Roman" w:eastAsia="宋体" w:cs="Times New Roman"/>
                      <w:b w:val="0"/>
                      <w:bCs/>
                      <w:color w:val="auto"/>
                      <w:sz w:val="21"/>
                      <w:szCs w:val="21"/>
                      <w:highlight w:val="none"/>
                      <w:lang w:eastAsia="zh-CN"/>
                    </w:rPr>
                  </w:pPr>
                  <w:r>
                    <w:rPr>
                      <w:rFonts w:eastAsiaTheme="minorEastAsia"/>
                      <w:sz w:val="21"/>
                      <w:szCs w:val="21"/>
                    </w:rPr>
                    <w:t>软化水处理废水和锅炉排污水</w:t>
                  </w:r>
                </w:p>
              </w:tc>
              <w:tc>
                <w:tcPr>
                  <w:tcW w:w="1320" w:type="dxa"/>
                  <w:tcBorders>
                    <w:tl2br w:val="nil"/>
                    <w:tr2bl w:val="nil"/>
                  </w:tcBorders>
                  <w:vAlign w:val="center"/>
                </w:tcPr>
                <w:p>
                  <w:pPr>
                    <w:jc w:val="center"/>
                    <w:outlineLvl w:val="9"/>
                    <w:rPr>
                      <w:rFonts w:hint="default" w:ascii="Times New Roman" w:hAnsi="Times New Roman" w:cs="Times New Roman"/>
                      <w:color w:val="auto"/>
                      <w:highlight w:val="none"/>
                    </w:rPr>
                  </w:pPr>
                  <w:r>
                    <w:rPr>
                      <w:rFonts w:eastAsiaTheme="minorEastAsia"/>
                      <w:sz w:val="21"/>
                      <w:szCs w:val="21"/>
                    </w:rPr>
                    <w:t>软化水装置、锅炉</w:t>
                  </w:r>
                </w:p>
              </w:tc>
              <w:tc>
                <w:tcPr>
                  <w:tcW w:w="1125" w:type="dxa"/>
                  <w:tcBorders>
                    <w:tl2br w:val="nil"/>
                    <w:tr2bl w:val="nil"/>
                  </w:tcBorders>
                  <w:vAlign w:val="center"/>
                </w:tcPr>
                <w:p>
                  <w:pPr>
                    <w:jc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w:t>
                  </w:r>
                  <w:r>
                    <w:rPr>
                      <w:rFonts w:hint="default" w:ascii="Times New Roman" w:hAnsi="Times New Roman" w:eastAsia="宋体" w:cs="Times New Roman"/>
                      <w:b w:val="0"/>
                      <w:bCs/>
                      <w:color w:val="auto"/>
                      <w:sz w:val="21"/>
                      <w:szCs w:val="21"/>
                      <w:highlight w:val="none"/>
                    </w:rPr>
                    <w:t>t/a</w:t>
                  </w:r>
                </w:p>
              </w:tc>
              <w:tc>
                <w:tcPr>
                  <w:tcW w:w="2250" w:type="dxa"/>
                  <w:tcBorders>
                    <w:tl2br w:val="nil"/>
                    <w:tr2bl w:val="nil"/>
                  </w:tcBorders>
                  <w:vAlign w:val="center"/>
                </w:tcPr>
                <w:p>
                  <w:pPr>
                    <w:jc w:val="center"/>
                    <w:outlineLvl w:val="9"/>
                    <w:rPr>
                      <w:rStyle w:val="25"/>
                      <w:rFonts w:hint="default"/>
                      <w:color w:val="auto"/>
                      <w:highlight w:val="none"/>
                      <w:lang w:val="en-US" w:eastAsia="zh-CN"/>
                    </w:rPr>
                  </w:pPr>
                  <w:r>
                    <w:rPr>
                      <w:rFonts w:eastAsiaTheme="minorEastAsia"/>
                      <w:sz w:val="21"/>
                      <w:szCs w:val="21"/>
                    </w:rPr>
                    <w:t>用于燃煤锅除渣、除灰</w:t>
                  </w:r>
                </w:p>
              </w:tc>
              <w:tc>
                <w:tcPr>
                  <w:tcW w:w="1717" w:type="dxa"/>
                  <w:tcBorders>
                    <w:tl2br w:val="nil"/>
                    <w:tr2bl w:val="nil"/>
                  </w:tcBorders>
                  <w:vAlign w:val="center"/>
                </w:tcPr>
                <w:p>
                  <w:pPr>
                    <w:jc w:val="center"/>
                    <w:outlineLvl w:val="9"/>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不排放</w:t>
                  </w:r>
                </w:p>
              </w:tc>
            </w:tr>
          </w:tbl>
          <w:p>
            <w:pPr>
              <w:tabs>
                <w:tab w:val="left" w:pos="1287"/>
              </w:tabs>
              <w:spacing w:line="360" w:lineRule="auto"/>
              <w:rPr>
                <w:rFonts w:hint="default" w:ascii="Times New Roman" w:hAnsi="Times New Roman" w:eastAsia="宋体" w:cs="Times New Roman"/>
                <w:color w:val="auto"/>
                <w:sz w:val="28"/>
                <w:szCs w:val="28"/>
                <w:highlight w:val="none"/>
              </w:rPr>
            </w:pPr>
            <w:bookmarkStart w:id="7" w:name="_Toc411248532"/>
            <w:bookmarkEnd w:id="7"/>
            <w:bookmarkStart w:id="8" w:name="_Toc421531184"/>
            <w:bookmarkEnd w:id="8"/>
            <w:bookmarkStart w:id="9" w:name="_Toc421536065"/>
            <w:bookmarkEnd w:id="9"/>
            <w:r>
              <w:rPr>
                <w:rFonts w:hint="default" w:ascii="Times New Roman" w:hAnsi="Times New Roman" w:eastAsia="宋体" w:cs="Times New Roman"/>
                <w:b/>
                <w:bCs/>
                <w:color w:val="auto"/>
                <w:sz w:val="28"/>
                <w:szCs w:val="28"/>
                <w:highlight w:val="none"/>
                <w:lang w:val="en-US" w:eastAsia="zh-CN"/>
              </w:rPr>
              <w:t>二、</w:t>
            </w:r>
            <w:r>
              <w:rPr>
                <w:rFonts w:hint="default" w:ascii="Times New Roman" w:hAnsi="Times New Roman" w:eastAsia="宋体" w:cs="Times New Roman"/>
                <w:b/>
                <w:bCs/>
                <w:color w:val="auto"/>
                <w:sz w:val="24"/>
                <w:szCs w:val="24"/>
                <w:highlight w:val="none"/>
                <w:lang w:val="en-US" w:eastAsia="zh-CN"/>
              </w:rPr>
              <w:t>废气</w:t>
            </w:r>
          </w:p>
          <w:p>
            <w:pPr>
              <w:tabs>
                <w:tab w:val="left" w:pos="1287"/>
              </w:tabs>
              <w:spacing w:line="360" w:lineRule="auto"/>
              <w:ind w:firstLine="470" w:firstLineChars="196"/>
              <w:rPr>
                <w:rFonts w:hint="eastAsia" w:ascii="宋体" w:hAnsi="宋体" w:eastAsia="宋体" w:cs="宋体"/>
                <w:b w:val="0"/>
                <w:bCs w:val="0"/>
                <w:color w:val="auto"/>
                <w:sz w:val="24"/>
                <w:szCs w:val="24"/>
                <w:highlight w:val="none"/>
              </w:rPr>
            </w:pPr>
            <w:r>
              <w:rPr>
                <w:rFonts w:hint="default" w:ascii="Times New Roman" w:hAnsi="Times New Roman" w:eastAsia="宋体" w:cs="Times New Roman"/>
                <w:color w:val="auto"/>
                <w:sz w:val="24"/>
                <w:szCs w:val="24"/>
                <w:highlight w:val="none"/>
              </w:rPr>
              <w:t>项目运营期废气主要为燃煤锅炉烟气、无组织工艺粉尘、逃逸氨。废气排放及防治措施见表</w:t>
            </w:r>
            <w:r>
              <w:rPr>
                <w:rFonts w:hint="default" w:ascii="Times New Roman" w:hAnsi="Times New Roman" w:eastAsia="宋体" w:cs="Times New Roman"/>
                <w:b w:val="0"/>
                <w:bCs w:val="0"/>
                <w:color w:val="auto"/>
                <w:sz w:val="24"/>
                <w:szCs w:val="24"/>
                <w:highlight w:val="none"/>
                <w:lang w:val="en-US" w:eastAsia="zh-CN"/>
              </w:rPr>
              <w:t>3-</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color w:val="auto"/>
                <w:highlight w:val="none"/>
                <w:lang w:val="en-US" w:eastAsia="zh-CN"/>
              </w:rPr>
            </w:pPr>
            <w:r>
              <w:rPr>
                <w:rFonts w:hint="default"/>
                <w:b w:val="0"/>
                <w:bCs w:val="0"/>
                <w:color w:val="auto"/>
                <w:highlight w:val="none"/>
                <w:lang w:val="en-US" w:eastAsia="zh-CN"/>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3-</w:t>
            </w:r>
            <w:r>
              <w:rPr>
                <w:rFonts w:hint="eastAsia" w:ascii="Times New Roman" w:hAnsi="Times New Roman" w:cs="Times New Roman"/>
                <w:b w:val="0"/>
                <w:bCs w:val="0"/>
                <w:color w:val="auto"/>
                <w:highlight w:val="none"/>
                <w:lang w:val="en-US" w:eastAsia="zh-CN"/>
              </w:rPr>
              <w:t>2</w:t>
            </w:r>
            <w:r>
              <w:rPr>
                <w:rFonts w:hint="default"/>
                <w:b w:val="0"/>
                <w:bCs w:val="0"/>
                <w:color w:val="auto"/>
                <w:highlight w:val="none"/>
                <w:lang w:val="en-US" w:eastAsia="zh-CN"/>
              </w:rPr>
              <w:t xml:space="preserve"> 废气排放及防治措施</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154"/>
              <w:gridCol w:w="1270"/>
              <w:gridCol w:w="1438"/>
              <w:gridCol w:w="1182"/>
              <w:gridCol w:w="1964"/>
              <w:gridCol w:w="11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序号</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废气名称</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来源</w:t>
                  </w:r>
                </w:p>
              </w:tc>
              <w:tc>
                <w:tcPr>
                  <w:tcW w:w="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污染物种类</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排放形式</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治理设施</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auto"/>
                      <w:sz w:val="21"/>
                      <w:szCs w:val="21"/>
                      <w:highlight w:val="none"/>
                      <w:vertAlign w:val="baseline"/>
                      <w:lang w:eastAsia="zh-CN"/>
                    </w:rPr>
                  </w:pPr>
                  <w:r>
                    <w:rPr>
                      <w:rFonts w:hint="default" w:ascii="Times New Roman" w:hAnsi="Times New Roman" w:eastAsia="宋体" w:cs="Times New Roman"/>
                      <w:b/>
                      <w:bCs w:val="0"/>
                      <w:color w:val="auto"/>
                      <w:sz w:val="21"/>
                      <w:szCs w:val="21"/>
                      <w:highlight w:val="none"/>
                      <w:vertAlign w:val="baseline"/>
                      <w:lang w:eastAsia="zh-CN"/>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bookmarkStart w:id="10" w:name="_Toc28605"/>
                  <w:bookmarkStart w:id="11" w:name="_Toc27314"/>
                  <w:r>
                    <w:rPr>
                      <w:rFonts w:hint="default" w:ascii="Times New Roman" w:hAnsi="Times New Roman" w:eastAsia="宋体" w:cs="Times New Roman"/>
                      <w:b w:val="0"/>
                      <w:bCs/>
                      <w:color w:val="auto"/>
                      <w:sz w:val="21"/>
                      <w:szCs w:val="21"/>
                      <w:highlight w:val="none"/>
                      <w:vertAlign w:val="baseline"/>
                      <w:lang w:val="en-US" w:eastAsia="zh-CN"/>
                    </w:rPr>
                    <w:t>1</w:t>
                  </w:r>
                  <w:bookmarkEnd w:id="10"/>
                  <w:bookmarkEnd w:id="11"/>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cs="Times New Roman" w:eastAsiaTheme="minorEastAsia"/>
                    </w:rPr>
                    <w:t>燃煤锅炉废气</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燃料燃烧</w:t>
                  </w:r>
                </w:p>
              </w:tc>
              <w:tc>
                <w:tcPr>
                  <w:tcW w:w="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cs="Times New Roman" w:eastAsiaTheme="minorEastAsia"/>
                    </w:rPr>
                    <w:t>SO</w:t>
                  </w:r>
                  <w:r>
                    <w:rPr>
                      <w:rFonts w:hint="default" w:ascii="Times New Roman" w:hAnsi="Times New Roman" w:cs="Times New Roman" w:eastAsiaTheme="minorEastAsia"/>
                      <w:vertAlign w:val="subscript"/>
                    </w:rPr>
                    <w:t>2</w:t>
                  </w:r>
                  <w:r>
                    <w:rPr>
                      <w:rFonts w:hint="default" w:ascii="Times New Roman" w:hAnsi="Times New Roman" w:cs="Times New Roman" w:eastAsiaTheme="minorEastAsia"/>
                    </w:rPr>
                    <w:t>、NO</w:t>
                  </w:r>
                  <w:r>
                    <w:rPr>
                      <w:rFonts w:hint="default" w:ascii="Times New Roman" w:hAnsi="Times New Roman" w:cs="Times New Roman" w:eastAsiaTheme="minorEastAsia"/>
                      <w:vertAlign w:val="subscript"/>
                    </w:rPr>
                    <w:t>x</w:t>
                  </w:r>
                  <w:r>
                    <w:rPr>
                      <w:rFonts w:hint="default" w:ascii="Times New Roman" w:hAnsi="Times New Roman" w:cs="Times New Roman" w:eastAsiaTheme="minorEastAsia"/>
                    </w:rPr>
                    <w:t>、颗粒物、汞及其化合物</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有组织排放</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rPr>
                    <w:t>经</w:t>
                  </w:r>
                  <w:r>
                    <w:rPr>
                      <w:rFonts w:hint="default" w:ascii="Times New Roman" w:hAnsi="Times New Roman" w:cs="Times New Roman"/>
                      <w:lang w:val="en-US" w:eastAsia="zh-CN"/>
                    </w:rPr>
                    <w:t>布</w:t>
                  </w:r>
                  <w:r>
                    <w:rPr>
                      <w:rFonts w:hint="default" w:ascii="Times New Roman" w:hAnsi="Times New Roman" w:cs="Times New Roman" w:eastAsiaTheme="minorEastAsia"/>
                    </w:rPr>
                    <w:t>袋除尘器效率为99.5%，双碱法脱硫效率80%，低氮燃烧+SNCR脱硝效率40%，协同去除汞及其化合物效率为58%，锅炉烟气处理后通过50m高烟囱（DA001）排放</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2</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无组织废气</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脱硝</w:t>
                  </w:r>
                </w:p>
              </w:tc>
              <w:tc>
                <w:tcPr>
                  <w:tcW w:w="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氨</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无组织排放</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eastAsiaTheme="minorEastAsia"/>
                    </w:rPr>
                    <w:t>合理控制尿素的喷淋量以及尿素分布的均匀性，同时采用控制反应区内温度及足够的停留时间</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3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3</w:t>
                  </w:r>
                </w:p>
              </w:tc>
              <w:tc>
                <w:tcPr>
                  <w:tcW w:w="6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无组织粉尘</w:t>
                  </w:r>
                </w:p>
              </w:tc>
              <w:tc>
                <w:tcPr>
                  <w:tcW w:w="72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煤堆、渣场</w:t>
                  </w:r>
                </w:p>
              </w:tc>
              <w:tc>
                <w:tcPr>
                  <w:tcW w:w="8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颗粒物</w:t>
                  </w:r>
                </w:p>
              </w:tc>
              <w:tc>
                <w:tcPr>
                  <w:tcW w:w="67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无组织排放</w:t>
                  </w:r>
                </w:p>
              </w:tc>
              <w:tc>
                <w:tcPr>
                  <w:tcW w:w="11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eastAsiaTheme="minorEastAsia"/>
                    </w:rPr>
                    <w:t>煤场采取防风抑尘网措施，渣场进行全封闭建设，采用封闭煤廊带式输送机输送</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环境空气</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ascii="黑体" w:hAnsi="黑体" w:eastAsia="黑体" w:cs="黑体"/>
                <w:b w:val="0"/>
                <w:bCs w:val="0"/>
                <w:color w:val="auto"/>
                <w:kern w:val="0"/>
                <w:sz w:val="24"/>
                <w:highlight w:val="none"/>
                <w:lang w:val="en-US" w:eastAsia="zh-CN"/>
              </w:rPr>
            </w:pPr>
            <w:r>
              <w:rPr>
                <w:rFonts w:hint="eastAsia" w:ascii="宋体" w:hAnsi="宋体" w:eastAsia="宋体" w:cs="宋体"/>
                <w:color w:val="auto"/>
                <w:sz w:val="24"/>
                <w:szCs w:val="24"/>
                <w:highlight w:val="none"/>
              </w:rPr>
              <w:t>本项目噪声主要来自生产设备运行时产生的噪声，项目采用低噪声设备并设置基础减振设施。</w:t>
            </w:r>
            <w:r>
              <w:rPr>
                <w:rFonts w:hint="default" w:ascii="Times New Roman" w:hAnsi="Times New Roman" w:cs="Times New Roman"/>
                <w:color w:val="auto"/>
                <w:sz w:val="24"/>
                <w:szCs w:val="24"/>
                <w:highlight w:val="none"/>
              </w:rPr>
              <w:t>噪声污染源及降噪措施见表</w:t>
            </w:r>
            <w:r>
              <w:rPr>
                <w:rFonts w:hint="eastAsia" w:ascii="Times New Roman" w:hAnsi="Times New Roman" w:cs="Times New Roman"/>
                <w:b w:val="0"/>
                <w:bCs w:val="0"/>
                <w:color w:val="auto"/>
                <w:sz w:val="24"/>
                <w:szCs w:val="24"/>
                <w:highlight w:val="none"/>
                <w:lang w:val="en-US" w:eastAsia="zh-CN"/>
              </w:rPr>
              <w:t xml:space="preserve"> </w:t>
            </w:r>
            <w:r>
              <w:rPr>
                <w:rFonts w:hint="default" w:ascii="Times New Roman" w:hAnsi="Times New Roman" w:cs="Times New Roman"/>
                <w:b w:val="0"/>
                <w:bCs w:val="0"/>
                <w:color w:val="auto"/>
                <w:sz w:val="24"/>
                <w:szCs w:val="24"/>
                <w:highlight w:val="none"/>
                <w:lang w:val="en-US" w:eastAsia="zh-CN"/>
              </w:rPr>
              <w:t>3-</w:t>
            </w:r>
            <w:r>
              <w:rPr>
                <w:rFonts w:hint="eastAsia" w:ascii="Times New Roman" w:hAnsi="Times New Roman" w:cs="Times New Roman"/>
                <w:b w:val="0"/>
                <w:bCs w:val="0"/>
                <w:color w:val="auto"/>
                <w:sz w:val="24"/>
                <w:szCs w:val="24"/>
                <w:highlight w:val="none"/>
                <w:lang w:val="en-US" w:eastAsia="zh-CN"/>
              </w:rPr>
              <w:t>3。</w:t>
            </w:r>
          </w:p>
          <w:p>
            <w:pPr>
              <w:pStyle w:val="27"/>
              <w:keepNext w:val="0"/>
              <w:keepLines w:val="0"/>
              <w:pageBreakBefore w:val="0"/>
              <w:widowControl w:val="0"/>
              <w:kinsoku/>
              <w:wordWrap/>
              <w:overflowPunct/>
              <w:topLinePunct w:val="0"/>
              <w:autoSpaceDE w:val="0"/>
              <w:autoSpaceDN w:val="0"/>
              <w:bidi w:val="0"/>
              <w:adjustRightInd w:val="0"/>
              <w:snapToGrid/>
              <w:spacing w:line="240" w:lineRule="auto"/>
              <w:ind w:right="0" w:rightChars="0"/>
              <w:jc w:val="center"/>
              <w:textAlignment w:val="auto"/>
              <w:outlineLvl w:val="9"/>
              <w:rPr>
                <w:rFonts w:hint="eastAsia" w:ascii="黑体" w:hAnsi="黑体" w:eastAsia="黑体" w:cs="黑体"/>
                <w:b w:val="0"/>
                <w:bCs w:val="0"/>
                <w:color w:val="auto"/>
                <w:kern w:val="0"/>
                <w:sz w:val="24"/>
                <w:highlight w:val="none"/>
                <w:lang w:val="en-US" w:eastAsia="zh-CN"/>
              </w:rPr>
            </w:pPr>
            <w:r>
              <w:rPr>
                <w:rFonts w:hint="eastAsia" w:ascii="黑体" w:hAnsi="黑体" w:eastAsia="黑体" w:cs="黑体"/>
                <w:b w:val="0"/>
                <w:bCs w:val="0"/>
                <w:color w:val="auto"/>
                <w:kern w:val="0"/>
                <w:sz w:val="24"/>
                <w:highlight w:val="none"/>
                <w:lang w:val="en-US" w:eastAsia="zh-CN"/>
              </w:rPr>
              <w:t>表 3-3 噪声污染源及降噪措施</w:t>
            </w:r>
          </w:p>
          <w:tbl>
            <w:tblPr>
              <w:tblStyle w:val="21"/>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673"/>
              <w:gridCol w:w="2069"/>
              <w:gridCol w:w="1009"/>
              <w:gridCol w:w="843"/>
              <w:gridCol w:w="937"/>
              <w:gridCol w:w="804"/>
              <w:gridCol w:w="1058"/>
              <w:gridCol w:w="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8" w:hRule="atLeast"/>
                <w:jc w:val="center"/>
              </w:trPr>
              <w:tc>
                <w:tcPr>
                  <w:tcW w:w="369"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工序</w:t>
                  </w:r>
                </w:p>
              </w:tc>
              <w:tc>
                <w:tcPr>
                  <w:tcW w:w="384"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装置</w:t>
                  </w:r>
                </w:p>
              </w:tc>
              <w:tc>
                <w:tcPr>
                  <w:tcW w:w="1181"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w:t>
                  </w:r>
                </w:p>
              </w:tc>
              <w:tc>
                <w:tcPr>
                  <w:tcW w:w="576"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声源类型</w:t>
                  </w:r>
                </w:p>
              </w:tc>
              <w:tc>
                <w:tcPr>
                  <w:tcW w:w="481"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噪声源强</w:t>
                  </w:r>
                </w:p>
              </w:tc>
              <w:tc>
                <w:tcPr>
                  <w:tcW w:w="994" w:type="pct"/>
                  <w:gridSpan w:val="2"/>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降噪措施</w:t>
                  </w:r>
                </w:p>
              </w:tc>
              <w:tc>
                <w:tcPr>
                  <w:tcW w:w="604"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噪声排放值</w:t>
                  </w:r>
                </w:p>
              </w:tc>
              <w:tc>
                <w:tcPr>
                  <w:tcW w:w="408"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持续时间/h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69" w:type="pct"/>
                  <w:vMerge w:val="continue"/>
                  <w:noWrap w:val="0"/>
                  <w:vAlign w:val="center"/>
                </w:tcPr>
                <w:p>
                  <w:pPr>
                    <w:keepNext/>
                    <w:keepLines/>
                    <w:pageBreakBefore w:val="0"/>
                    <w:widowControl/>
                    <w:kinsoku/>
                    <w:wordWrap/>
                    <w:overflowPunct/>
                    <w:topLinePunct w:val="0"/>
                    <w:autoSpaceDE/>
                    <w:autoSpaceDN/>
                    <w:bidi w:val="0"/>
                    <w:snapToGrid/>
                    <w:jc w:val="center"/>
                    <w:rPr>
                      <w:rFonts w:hint="default" w:ascii="Times New Roman" w:hAnsi="Times New Roman" w:cs="Times New Roman"/>
                      <w:color w:val="auto"/>
                      <w:highlight w:val="none"/>
                    </w:rPr>
                  </w:pPr>
                </w:p>
              </w:tc>
              <w:tc>
                <w:tcPr>
                  <w:tcW w:w="384" w:type="pct"/>
                  <w:vMerge w:val="continue"/>
                  <w:noWrap w:val="0"/>
                  <w:vAlign w:val="center"/>
                </w:tcPr>
                <w:p>
                  <w:pPr>
                    <w:keepNext/>
                    <w:keepLines/>
                    <w:pageBreakBefore w:val="0"/>
                    <w:widowControl/>
                    <w:kinsoku/>
                    <w:wordWrap/>
                    <w:overflowPunct/>
                    <w:topLinePunct w:val="0"/>
                    <w:autoSpaceDE/>
                    <w:autoSpaceDN/>
                    <w:bidi w:val="0"/>
                    <w:snapToGrid/>
                    <w:jc w:val="center"/>
                    <w:rPr>
                      <w:rFonts w:hint="default" w:ascii="Times New Roman" w:hAnsi="Times New Roman" w:cs="Times New Roman"/>
                      <w:color w:val="auto"/>
                      <w:highlight w:val="none"/>
                    </w:rPr>
                  </w:pPr>
                </w:p>
              </w:tc>
              <w:tc>
                <w:tcPr>
                  <w:tcW w:w="1181" w:type="pct"/>
                  <w:vMerge w:val="continue"/>
                  <w:noWrap w:val="0"/>
                  <w:vAlign w:val="center"/>
                </w:tcPr>
                <w:p>
                  <w:pPr>
                    <w:keepNext/>
                    <w:keepLines/>
                    <w:pageBreakBefore w:val="0"/>
                    <w:widowControl/>
                    <w:kinsoku/>
                    <w:wordWrap/>
                    <w:overflowPunct/>
                    <w:topLinePunct w:val="0"/>
                    <w:autoSpaceDE/>
                    <w:autoSpaceDN/>
                    <w:bidi w:val="0"/>
                    <w:snapToGrid/>
                    <w:jc w:val="center"/>
                    <w:rPr>
                      <w:rFonts w:hint="default" w:ascii="Times New Roman" w:hAnsi="Times New Roman" w:cs="Times New Roman"/>
                      <w:color w:val="auto"/>
                      <w:highlight w:val="none"/>
                    </w:rPr>
                  </w:pPr>
                </w:p>
              </w:tc>
              <w:tc>
                <w:tcPr>
                  <w:tcW w:w="576" w:type="pct"/>
                  <w:vMerge w:val="continue"/>
                  <w:noWrap w:val="0"/>
                  <w:vAlign w:val="center"/>
                </w:tcPr>
                <w:p>
                  <w:pPr>
                    <w:keepNext/>
                    <w:keepLines/>
                    <w:pageBreakBefore w:val="0"/>
                    <w:widowControl/>
                    <w:kinsoku/>
                    <w:wordWrap/>
                    <w:overflowPunct/>
                    <w:topLinePunct w:val="0"/>
                    <w:autoSpaceDE/>
                    <w:autoSpaceDN/>
                    <w:bidi w:val="0"/>
                    <w:snapToGrid/>
                    <w:jc w:val="center"/>
                    <w:rPr>
                      <w:rFonts w:hint="default" w:ascii="Times New Roman" w:hAnsi="Times New Roman" w:cs="Times New Roman"/>
                      <w:color w:val="auto"/>
                      <w:highlight w:val="none"/>
                    </w:rPr>
                  </w:pPr>
                </w:p>
              </w:tc>
              <w:tc>
                <w:tcPr>
                  <w:tcW w:w="481"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噪声值</w:t>
                  </w:r>
                </w:p>
              </w:tc>
              <w:tc>
                <w:tcPr>
                  <w:tcW w:w="535"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工艺</w:t>
                  </w:r>
                </w:p>
              </w:tc>
              <w:tc>
                <w:tcPr>
                  <w:tcW w:w="458"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降噪效果</w:t>
                  </w:r>
                </w:p>
              </w:tc>
              <w:tc>
                <w:tcPr>
                  <w:tcW w:w="604" w:type="pc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噪声值</w:t>
                  </w:r>
                </w:p>
              </w:tc>
              <w:tc>
                <w:tcPr>
                  <w:tcW w:w="408" w:type="pct"/>
                  <w:vMerge w:val="continue"/>
                  <w:noWrap w:val="0"/>
                  <w:vAlign w:val="center"/>
                </w:tcPr>
                <w:p>
                  <w:pPr>
                    <w:keepNext/>
                    <w:keepLines/>
                    <w:pageBreakBefore w:val="0"/>
                    <w:widowControl/>
                    <w:kinsoku/>
                    <w:wordWrap/>
                    <w:overflowPunct/>
                    <w:topLinePunct w:val="0"/>
                    <w:autoSpaceDE/>
                    <w:autoSpaceDN/>
                    <w:bidi w:val="0"/>
                    <w:snapToGrid/>
                    <w:jc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369" w:type="pct"/>
                  <w:vMerge w:val="restart"/>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lang w:val="en-US" w:eastAsia="zh-CN"/>
                    </w:rPr>
                    <w:t>锅炉</w:t>
                  </w:r>
                </w:p>
              </w:tc>
              <w:tc>
                <w:tcPr>
                  <w:tcW w:w="384"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lang w:val="en-US" w:eastAsia="zh-CN"/>
                    </w:rPr>
                    <w:t>锅炉</w:t>
                  </w:r>
                </w:p>
              </w:tc>
              <w:tc>
                <w:tcPr>
                  <w:tcW w:w="207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eastAsiaTheme="minorEastAsia"/>
                      <w:sz w:val="21"/>
                      <w:szCs w:val="21"/>
                    </w:rPr>
                    <w:t>引风机</w:t>
                  </w:r>
                </w:p>
              </w:tc>
              <w:tc>
                <w:tcPr>
                  <w:tcW w:w="576" w:type="pct"/>
                  <w:vMerge w:val="restart"/>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频发</w:t>
                  </w:r>
                </w:p>
              </w:tc>
              <w:tc>
                <w:tcPr>
                  <w:tcW w:w="84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sz w:val="21"/>
                      <w:szCs w:val="21"/>
                    </w:rPr>
                    <w:t>60~70</w:t>
                  </w:r>
                </w:p>
              </w:tc>
              <w:tc>
                <w:tcPr>
                  <w:tcW w:w="535" w:type="pct"/>
                  <w:vMerge w:val="restart"/>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低噪声设备、隔声、减振</w:t>
                  </w:r>
                </w:p>
              </w:tc>
              <w:tc>
                <w:tcPr>
                  <w:tcW w:w="458" w:type="pct"/>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05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sz w:val="21"/>
                      <w:szCs w:val="21"/>
                    </w:rPr>
                    <w:t>40~50</w:t>
                  </w:r>
                </w:p>
              </w:tc>
              <w:tc>
                <w:tcPr>
                  <w:tcW w:w="408" w:type="pct"/>
                  <w:vMerge w:val="restart"/>
                  <w:tcBorders>
                    <w:top w:val="single" w:color="auto" w:sz="4" w:space="0"/>
                  </w:tcBorders>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4320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369"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c>
                <w:tcPr>
                  <w:tcW w:w="384" w:type="pct"/>
                  <w:vMerge w:val="continue"/>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p>
              </w:tc>
              <w:tc>
                <w:tcPr>
                  <w:tcW w:w="207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sz w:val="21"/>
                      <w:szCs w:val="21"/>
                    </w:rPr>
                    <w:t>鼓风机</w:t>
                  </w:r>
                </w:p>
              </w:tc>
              <w:tc>
                <w:tcPr>
                  <w:tcW w:w="576" w:type="pct"/>
                  <w:vMerge w:val="continue"/>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p>
              </w:tc>
              <w:tc>
                <w:tcPr>
                  <w:tcW w:w="84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sz w:val="21"/>
                      <w:szCs w:val="21"/>
                    </w:rPr>
                    <w:t>60~70</w:t>
                  </w:r>
                </w:p>
              </w:tc>
              <w:tc>
                <w:tcPr>
                  <w:tcW w:w="535"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c>
                <w:tcPr>
                  <w:tcW w:w="458" w:type="pct"/>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20</w:t>
                  </w:r>
                </w:p>
              </w:tc>
              <w:tc>
                <w:tcPr>
                  <w:tcW w:w="105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eastAsiaTheme="minorEastAsia"/>
                      <w:sz w:val="21"/>
                      <w:szCs w:val="21"/>
                    </w:rPr>
                    <w:t>40~50</w:t>
                  </w:r>
                </w:p>
              </w:tc>
              <w:tc>
                <w:tcPr>
                  <w:tcW w:w="408"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369"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c>
                <w:tcPr>
                  <w:tcW w:w="384" w:type="pct"/>
                  <w:vMerge w:val="continue"/>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p>
              </w:tc>
              <w:tc>
                <w:tcPr>
                  <w:tcW w:w="2070"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一、二次风机</w:t>
                  </w:r>
                </w:p>
              </w:tc>
              <w:tc>
                <w:tcPr>
                  <w:tcW w:w="576" w:type="pct"/>
                  <w:vMerge w:val="continue"/>
                  <w:noWrap w:val="0"/>
                  <w:vAlign w:val="center"/>
                </w:tcPr>
                <w:p>
                  <w:pPr>
                    <w:keepNext/>
                    <w:keepLines/>
                    <w:pageBreakBefore w:val="0"/>
                    <w:kinsoku/>
                    <w:wordWrap/>
                    <w:overflowPunct/>
                    <w:topLinePunct w:val="0"/>
                    <w:autoSpaceDE/>
                    <w:autoSpaceDN/>
                    <w:bidi w:val="0"/>
                    <w:snapToGrid/>
                    <w:jc w:val="center"/>
                    <w:rPr>
                      <w:rFonts w:hint="default" w:ascii="Times New Roman" w:hAnsi="Times New Roman" w:cs="Times New Roman"/>
                      <w:color w:val="auto"/>
                      <w:highlight w:val="none"/>
                    </w:rPr>
                  </w:pPr>
                </w:p>
              </w:tc>
              <w:tc>
                <w:tcPr>
                  <w:tcW w:w="843"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60~70</w:t>
                  </w:r>
                </w:p>
              </w:tc>
              <w:tc>
                <w:tcPr>
                  <w:tcW w:w="535"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c>
                <w:tcPr>
                  <w:tcW w:w="458" w:type="pct"/>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1058" w:type="dxa"/>
                  <w:noWrap w:val="0"/>
                  <w:vAlign w:val="center"/>
                </w:tcPr>
                <w:p>
                  <w:pPr>
                    <w:adjustRightInd w:val="0"/>
                    <w:snapToGrid w:val="0"/>
                    <w:spacing w:line="240" w:lineRule="auto"/>
                    <w:ind w:firstLine="0" w:firstLineChars="0"/>
                    <w:jc w:val="center"/>
                    <w:rPr>
                      <w:rFonts w:hint="default" w:ascii="Times New Roman" w:hAnsi="Times New Roman" w:cs="Times New Roman"/>
                      <w:color w:val="auto"/>
                      <w:highlight w:val="none"/>
                      <w:lang w:val="en-US" w:eastAsia="zh-CN"/>
                    </w:rPr>
                  </w:pPr>
                  <w:r>
                    <w:rPr>
                      <w:rFonts w:hint="default" w:ascii="Times New Roman" w:hAnsi="Times New Roman" w:cs="Times New Roman" w:eastAsiaTheme="minorEastAsia"/>
                      <w:sz w:val="21"/>
                      <w:szCs w:val="21"/>
                    </w:rPr>
                    <w:t>40~50</w:t>
                  </w:r>
                </w:p>
              </w:tc>
              <w:tc>
                <w:tcPr>
                  <w:tcW w:w="408" w:type="pct"/>
                  <w:vMerge w:val="continue"/>
                  <w:noWrap w:val="0"/>
                  <w:vAlign w:val="center"/>
                </w:tcPr>
                <w:p>
                  <w:pPr>
                    <w:keepNext/>
                    <w:keepLines/>
                    <w:pageBreakBefore w:val="0"/>
                    <w:kinsoku/>
                    <w:wordWrap/>
                    <w:overflowPunct/>
                    <w:topLinePunct w:val="0"/>
                    <w:autoSpaceDE/>
                    <w:autoSpaceDN/>
                    <w:bidi w:val="0"/>
                    <w:snapToGrid/>
                    <w:jc w:val="center"/>
                    <w:textAlignment w:val="center"/>
                    <w:rPr>
                      <w:rFonts w:hint="default" w:ascii="Times New Roman" w:hAnsi="Times New Roman" w:cs="Times New Roman"/>
                      <w:color w:val="auto"/>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outlineLvl w:val="9"/>
              <w:rPr>
                <w:rFonts w:hint="eastAsia" w:ascii="宋体" w:hAnsi="宋体" w:eastAsia="宋体" w:cs="宋体"/>
                <w:color w:val="auto"/>
                <w:sz w:val="28"/>
                <w:szCs w:val="28"/>
                <w:highlight w:val="none"/>
              </w:rPr>
            </w:pPr>
            <w:r>
              <w:rPr>
                <w:rFonts w:hint="default" w:ascii="Times New Roman" w:hAnsi="Times New Roman" w:cs="Times New Roman"/>
                <w:b/>
                <w:color w:val="auto"/>
                <w:sz w:val="24"/>
                <w:szCs w:val="24"/>
                <w:highlight w:val="none"/>
                <w:lang w:eastAsia="zh-CN"/>
              </w:rPr>
              <w:t>四、</w:t>
            </w:r>
            <w:r>
              <w:rPr>
                <w:rFonts w:hint="default" w:ascii="Times New Roman" w:hAnsi="Times New Roman" w:cs="Times New Roman"/>
                <w:b/>
                <w:color w:val="auto"/>
                <w:sz w:val="24"/>
                <w:szCs w:val="24"/>
                <w:highlight w:val="none"/>
              </w:rPr>
              <w:t>固体废物</w:t>
            </w:r>
          </w:p>
          <w:p>
            <w:pPr>
              <w:keepNext w:val="0"/>
              <w:keepLines w:val="0"/>
              <w:pageBreakBefore w:val="0"/>
              <w:widowControl w:val="0"/>
              <w:kinsoku/>
              <w:wordWrap/>
              <w:overflowPunct/>
              <w:topLinePunct w:val="0"/>
              <w:bidi w:val="0"/>
              <w:snapToGrid/>
              <w:spacing w:line="360" w:lineRule="auto"/>
              <w:ind w:firstLine="480" w:firstLineChars="200"/>
              <w:textAlignment w:val="auto"/>
              <w:outlineLvl w:val="9"/>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本项目产生的固体废物主要为锅炉产生的炉渣、布袋除尘器收尘、脱硫副产物、废离子交换树脂。</w:t>
            </w:r>
          </w:p>
          <w:p>
            <w:pPr>
              <w:pStyle w:val="18"/>
              <w:jc w:val="center"/>
              <w:rPr>
                <w:rFonts w:hint="eastAsia" w:ascii="黑体" w:hAnsi="黑体" w:eastAsia="黑体" w:cs="黑体"/>
                <w:color w:val="auto"/>
                <w:sz w:val="24"/>
                <w:szCs w:val="24"/>
                <w:lang w:val="en-US"/>
              </w:rPr>
            </w:pPr>
            <w:r>
              <w:rPr>
                <w:rFonts w:hint="eastAsia" w:ascii="黑体" w:hAnsi="黑体" w:eastAsia="黑体" w:cs="黑体"/>
                <w:color w:val="auto"/>
                <w:kern w:val="2"/>
                <w:sz w:val="24"/>
                <w:szCs w:val="24"/>
                <w:highlight w:val="none"/>
                <w:lang w:val="en-US" w:eastAsia="zh-CN" w:bidi="ar"/>
              </w:rPr>
              <w:t>表 3-4 固体废物数量、种类及处置情况</w:t>
            </w:r>
          </w:p>
          <w:tbl>
            <w:tblPr>
              <w:tblStyle w:val="22"/>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544"/>
              <w:gridCol w:w="1111"/>
              <w:gridCol w:w="1050"/>
              <w:gridCol w:w="1125"/>
              <w:gridCol w:w="2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8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固体废物名称</w:t>
                  </w:r>
                </w:p>
              </w:tc>
              <w:tc>
                <w:tcPr>
                  <w:tcW w:w="6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性质</w:t>
                  </w:r>
                </w:p>
              </w:tc>
              <w:tc>
                <w:tcPr>
                  <w:tcW w:w="59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产生量（</w:t>
                  </w:r>
                  <w:r>
                    <w:rPr>
                      <w:rFonts w:hint="eastAsia" w:ascii="Times New Roman" w:hAnsi="Times New Roman" w:cs="Times New Roman"/>
                      <w:b/>
                      <w:bCs/>
                      <w:sz w:val="21"/>
                      <w:szCs w:val="21"/>
                      <w:lang w:val="en-US" w:eastAsia="zh-CN"/>
                    </w:rPr>
                    <w:t>t/a</w:t>
                  </w:r>
                  <w:r>
                    <w:rPr>
                      <w:rFonts w:hint="eastAsia" w:ascii="Times New Roman" w:hAnsi="Times New Roman" w:eastAsia="宋体" w:cs="Times New Roman"/>
                      <w:b/>
                      <w:bCs/>
                      <w:color w:val="auto"/>
                      <w:sz w:val="21"/>
                      <w:szCs w:val="21"/>
                      <w:highlight w:val="none"/>
                      <w:vertAlign w:val="baseline"/>
                      <w:lang w:val="en-US" w:eastAsia="zh-CN"/>
                    </w:rPr>
                    <w:t>）</w:t>
                  </w:r>
                </w:p>
              </w:tc>
              <w:tc>
                <w:tcPr>
                  <w:tcW w:w="6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处置量（</w:t>
                  </w:r>
                  <w:r>
                    <w:rPr>
                      <w:rFonts w:hint="eastAsia" w:ascii="Times New Roman" w:hAnsi="Times New Roman" w:cs="Times New Roman"/>
                      <w:b/>
                      <w:bCs/>
                      <w:sz w:val="21"/>
                      <w:szCs w:val="21"/>
                      <w:lang w:val="en-US" w:eastAsia="zh-CN"/>
                    </w:rPr>
                    <w:t>t/a</w:t>
                  </w:r>
                  <w:r>
                    <w:rPr>
                      <w:rFonts w:hint="eastAsia" w:ascii="Times New Roman" w:hAnsi="Times New Roman" w:eastAsia="宋体" w:cs="Times New Roman"/>
                      <w:b/>
                      <w:bCs/>
                      <w:color w:val="auto"/>
                      <w:sz w:val="21"/>
                      <w:szCs w:val="21"/>
                      <w:highlight w:val="none"/>
                      <w:vertAlign w:val="baseline"/>
                      <w:lang w:val="en-US" w:eastAsia="zh-CN"/>
                    </w:rPr>
                    <w:t>）</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w:t>
                  </w:r>
                </w:p>
              </w:tc>
              <w:tc>
                <w:tcPr>
                  <w:tcW w:w="881"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sz w:val="21"/>
                      <w:szCs w:val="21"/>
                      <w:highlight w:val="none"/>
                      <w:lang w:eastAsia="zh-CN"/>
                    </w:rPr>
                  </w:pPr>
                  <w:r>
                    <w:rPr>
                      <w:rFonts w:ascii="Times New Roman" w:hAnsi="Times New Roman" w:cs="Times New Roman"/>
                      <w:sz w:val="21"/>
                      <w:szCs w:val="21"/>
                    </w:rPr>
                    <w:t>布袋除尘器收尘</w:t>
                  </w:r>
                </w:p>
              </w:tc>
              <w:tc>
                <w:tcPr>
                  <w:tcW w:w="63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一般工业固体废物</w:t>
                  </w:r>
                </w:p>
              </w:tc>
              <w:tc>
                <w:tcPr>
                  <w:tcW w:w="599" w:type="pct"/>
                  <w:tcBorders>
                    <w:tl2br w:val="nil"/>
                    <w:tr2bl w:val="nil"/>
                  </w:tcBorders>
                  <w:noWrap w:val="0"/>
                  <w:vAlign w:val="center"/>
                </w:tcPr>
                <w:p>
                  <w:pPr>
                    <w:pStyle w:val="58"/>
                    <w:ind w:firstLine="0" w:firstLineChars="0"/>
                    <w:rPr>
                      <w:rFonts w:hint="eastAsia" w:ascii="Times New Roman" w:hAnsi="Times New Roman" w:cs="Times New Roman" w:eastAsiaTheme="minorEastAsia"/>
                      <w:b w:val="0"/>
                      <w:bCs w:val="0"/>
                      <w:color w:val="auto"/>
                      <w:sz w:val="21"/>
                      <w:szCs w:val="21"/>
                      <w:highlight w:val="none"/>
                      <w:lang w:val="en-US" w:eastAsia="zh-CN"/>
                    </w:rPr>
                  </w:pPr>
                  <w:r>
                    <w:rPr>
                      <w:rFonts w:ascii="Times New Roman" w:hAnsi="Times New Roman" w:cs="Times New Roman"/>
                      <w:sz w:val="21"/>
                      <w:szCs w:val="21"/>
                    </w:rPr>
                    <w:t>695.07</w:t>
                  </w:r>
                  <w:r>
                    <w:rPr>
                      <w:rFonts w:hint="eastAsia" w:ascii="Times New Roman" w:hAnsi="Times New Roman" w:cs="Times New Roman"/>
                      <w:sz w:val="21"/>
                      <w:szCs w:val="21"/>
                      <w:lang w:val="en-US" w:eastAsia="zh-CN"/>
                    </w:rPr>
                    <w:t>t/a</w:t>
                  </w:r>
                </w:p>
              </w:tc>
              <w:tc>
                <w:tcPr>
                  <w:tcW w:w="642" w:type="pct"/>
                  <w:tcBorders>
                    <w:tl2br w:val="nil"/>
                    <w:tr2bl w:val="nil"/>
                  </w:tcBorders>
                  <w:noWrap w:val="0"/>
                  <w:vAlign w:val="center"/>
                </w:tcPr>
                <w:p>
                  <w:pPr>
                    <w:pStyle w:val="58"/>
                    <w:ind w:firstLine="0" w:firstLineChars="0"/>
                    <w:rPr>
                      <w:rFonts w:hint="default" w:ascii="Times New Roman" w:hAnsi="Times New Roman" w:eastAsia="宋体" w:cs="Times New Roman"/>
                      <w:b w:val="0"/>
                      <w:bCs w:val="0"/>
                      <w:color w:val="auto"/>
                      <w:sz w:val="21"/>
                      <w:szCs w:val="21"/>
                      <w:highlight w:val="none"/>
                      <w:lang w:val="en-US" w:eastAsia="zh-CN"/>
                    </w:rPr>
                  </w:pPr>
                  <w:r>
                    <w:rPr>
                      <w:rFonts w:ascii="Times New Roman" w:hAnsi="Times New Roman" w:cs="Times New Roman"/>
                      <w:sz w:val="21"/>
                      <w:szCs w:val="21"/>
                    </w:rPr>
                    <w:t>695.07</w:t>
                  </w:r>
                </w:p>
              </w:tc>
              <w:tc>
                <w:tcPr>
                  <w:tcW w:w="169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w:t>
                  </w:r>
                </w:p>
              </w:tc>
              <w:tc>
                <w:tcPr>
                  <w:tcW w:w="881"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炉渣</w:t>
                  </w:r>
                </w:p>
              </w:tc>
              <w:tc>
                <w:tcPr>
                  <w:tcW w:w="6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p>
              </w:tc>
              <w:tc>
                <w:tcPr>
                  <w:tcW w:w="599" w:type="pct"/>
                  <w:tcBorders>
                    <w:tl2br w:val="nil"/>
                    <w:tr2bl w:val="nil"/>
                  </w:tcBorders>
                  <w:noWrap w:val="0"/>
                  <w:vAlign w:val="center"/>
                </w:tcPr>
                <w:p>
                  <w:pPr>
                    <w:pStyle w:val="58"/>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4140.99</w:t>
                  </w:r>
                </w:p>
              </w:tc>
              <w:tc>
                <w:tcPr>
                  <w:tcW w:w="642" w:type="pct"/>
                  <w:tcBorders>
                    <w:tl2br w:val="nil"/>
                    <w:tr2bl w:val="nil"/>
                  </w:tcBorders>
                  <w:noWrap w:val="0"/>
                  <w:vAlign w:val="center"/>
                </w:tcPr>
                <w:p>
                  <w:pPr>
                    <w:pStyle w:val="58"/>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4140.99</w:t>
                  </w:r>
                </w:p>
              </w:tc>
              <w:tc>
                <w:tcPr>
                  <w:tcW w:w="16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w:t>
                  </w:r>
                </w:p>
              </w:tc>
              <w:tc>
                <w:tcPr>
                  <w:tcW w:w="881"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highlight w:val="none"/>
                    </w:rPr>
                    <w:t>脱硫副产物</w:t>
                  </w:r>
                </w:p>
              </w:tc>
              <w:tc>
                <w:tcPr>
                  <w:tcW w:w="6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p>
              </w:tc>
              <w:tc>
                <w:tcPr>
                  <w:tcW w:w="599"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171.05</w:t>
                  </w:r>
                </w:p>
              </w:tc>
              <w:tc>
                <w:tcPr>
                  <w:tcW w:w="642"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171.05</w:t>
                  </w:r>
                </w:p>
              </w:tc>
              <w:tc>
                <w:tcPr>
                  <w:tcW w:w="169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4</w:t>
                  </w:r>
                </w:p>
              </w:tc>
              <w:tc>
                <w:tcPr>
                  <w:tcW w:w="881"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highlight w:val="none"/>
                    </w:rPr>
                    <w:t>废离子交换树脂</w:t>
                  </w:r>
                </w:p>
              </w:tc>
              <w:tc>
                <w:tcPr>
                  <w:tcW w:w="63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p>
              </w:tc>
              <w:tc>
                <w:tcPr>
                  <w:tcW w:w="599" w:type="pct"/>
                  <w:tcBorders>
                    <w:tl2br w:val="nil"/>
                    <w:tr2bl w:val="nil"/>
                  </w:tcBorders>
                  <w:noWrap w:val="0"/>
                  <w:vAlign w:val="center"/>
                </w:tcPr>
                <w:p>
                  <w:pPr>
                    <w:pStyle w:val="58"/>
                    <w:ind w:firstLine="0" w:firstLineChars="0"/>
                    <w:rPr>
                      <w:rFonts w:hint="default"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0.3</w:t>
                  </w:r>
                </w:p>
              </w:tc>
              <w:tc>
                <w:tcPr>
                  <w:tcW w:w="642" w:type="pct"/>
                  <w:tcBorders>
                    <w:tl2br w:val="nil"/>
                    <w:tr2bl w:val="nil"/>
                  </w:tcBorders>
                  <w:noWrap w:val="0"/>
                  <w:vAlign w:val="center"/>
                </w:tcPr>
                <w:p>
                  <w:pPr>
                    <w:pStyle w:val="58"/>
                    <w:ind w:firstLine="0" w:firstLineChars="0"/>
                    <w:rPr>
                      <w:rFonts w:hint="eastAsia" w:ascii="Times New Roman" w:hAnsi="Times New Roman" w:eastAsia="宋体" w:cs="Times New Roman"/>
                      <w:b w:val="0"/>
                      <w:bCs w:val="0"/>
                      <w:color w:val="auto"/>
                      <w:kern w:val="2"/>
                      <w:sz w:val="21"/>
                      <w:szCs w:val="21"/>
                      <w:highlight w:val="none"/>
                      <w:lang w:val="en-US" w:eastAsia="zh-CN" w:bidi="ar-SA"/>
                    </w:rPr>
                  </w:pPr>
                  <w:r>
                    <w:rPr>
                      <w:rFonts w:ascii="Times New Roman" w:hAnsi="Times New Roman" w:cs="Times New Roman"/>
                      <w:sz w:val="21"/>
                      <w:szCs w:val="21"/>
                    </w:rPr>
                    <w:t>0.3</w:t>
                  </w:r>
                </w:p>
              </w:tc>
              <w:tc>
                <w:tcPr>
                  <w:tcW w:w="1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sz w:val="21"/>
                      <w:szCs w:val="21"/>
                      <w:highlight w:val="none"/>
                      <w:lang w:val="en-US" w:eastAsia="zh-CN"/>
                    </w:rPr>
                    <w:t>交由市政环卫部门统一处理</w:t>
                  </w: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宋体" w:hAnsi="宋体" w:eastAsia="宋体"/>
                <w:b w:val="0"/>
                <w:bCs/>
                <w:color w:val="FF0000"/>
                <w:sz w:val="24"/>
                <w:szCs w:val="24"/>
                <w:highlight w:val="none"/>
                <w:lang w:val="en-US" w:eastAsia="zh-CN"/>
              </w:rPr>
            </w:pPr>
          </w:p>
        </w:tc>
      </w:tr>
    </w:tbl>
    <w:p>
      <w:pPr>
        <w:pStyle w:val="27"/>
        <w:keepNext w:val="0"/>
        <w:keepLines w:val="0"/>
        <w:pageBreakBefore w:val="0"/>
        <w:widowControl w:val="0"/>
        <w:kinsoku/>
        <w:wordWrap/>
        <w:overflowPunct/>
        <w:topLinePunct w:val="0"/>
        <w:autoSpaceDE w:val="0"/>
        <w:autoSpaceDN w:val="0"/>
        <w:bidi w:val="0"/>
        <w:adjustRightInd w:val="0"/>
        <w:snapToGrid/>
        <w:textAlignment w:val="auto"/>
        <w:outlineLvl w:val="0"/>
        <w:rPr>
          <w:rFonts w:hint="eastAsia" w:ascii="仿宋" w:hAnsi="仿宋" w:eastAsia="仿宋" w:cs="仿宋"/>
          <w:b/>
          <w:bCs/>
          <w:color w:val="auto"/>
          <w:sz w:val="28"/>
          <w:szCs w:val="28"/>
          <w:highlight w:val="none"/>
          <w:lang w:val="en-US" w:eastAsia="zh-CN"/>
        </w:rPr>
      </w:pPr>
      <w:bookmarkStart w:id="12" w:name="_Toc9615"/>
      <w:bookmarkStart w:id="13" w:name="_Toc4977"/>
      <w:r>
        <w:rPr>
          <w:rFonts w:hint="eastAsia" w:ascii="宋体" w:hAnsi="宋体" w:eastAsia="宋体" w:cs="宋体"/>
          <w:b/>
          <w:bCs/>
          <w:color w:val="auto"/>
          <w:sz w:val="28"/>
          <w:szCs w:val="28"/>
          <w:highlight w:val="none"/>
          <w:lang w:val="en-US" w:eastAsia="zh-CN"/>
        </w:rPr>
        <w:t>表四 建设项目环评报告表的主要结论与建议及审批部门审批决定</w:t>
      </w:r>
      <w:bookmarkEnd w:id="12"/>
      <w:bookmarkEnd w:id="13"/>
    </w:p>
    <w:tbl>
      <w:tblPr>
        <w:tblStyle w:val="22"/>
        <w:tblW w:w="9043" w:type="dxa"/>
        <w:tblInd w:w="-2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0" w:hRule="atLeast"/>
        </w:trPr>
        <w:tc>
          <w:tcPr>
            <w:tcW w:w="904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0"/>
                <w:sz w:val="28"/>
                <w:szCs w:val="28"/>
                <w:highlight w:val="none"/>
                <w:lang w:val="en-US" w:eastAsia="zh-CN" w:bidi="ar-SA"/>
              </w:rPr>
            </w:pPr>
            <w:bookmarkStart w:id="14" w:name="_Toc26719"/>
            <w:bookmarkStart w:id="15" w:name="_Toc24560"/>
            <w:bookmarkStart w:id="16" w:name="_Toc317257420"/>
            <w:bookmarkStart w:id="17" w:name="_Toc318118521"/>
            <w:bookmarkStart w:id="18" w:name="_Toc317257564"/>
            <w:bookmarkStart w:id="19" w:name="_Toc6484"/>
            <w:bookmarkStart w:id="20" w:name="_Toc15132"/>
            <w:bookmarkStart w:id="21" w:name="_Toc2923"/>
            <w:r>
              <w:rPr>
                <w:rFonts w:hint="default" w:ascii="Times New Roman" w:hAnsi="Times New Roman" w:eastAsia="宋体" w:cs="Times New Roman"/>
                <w:b/>
                <w:bCs/>
                <w:color w:val="auto"/>
                <w:sz w:val="28"/>
                <w:szCs w:val="28"/>
                <w:highlight w:val="none"/>
                <w:lang w:val="en-US" w:eastAsia="zh-CN"/>
              </w:rPr>
              <w:t>一、</w:t>
            </w:r>
            <w:r>
              <w:rPr>
                <w:rFonts w:hint="default" w:ascii="Times New Roman" w:hAnsi="Times New Roman" w:eastAsia="宋体" w:cs="Times New Roman"/>
                <w:b/>
                <w:bCs/>
                <w:color w:val="auto"/>
                <w:sz w:val="28"/>
                <w:szCs w:val="28"/>
                <w:highlight w:val="none"/>
              </w:rPr>
              <w:t>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1、地表水环境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本项目锅炉排污水及软化处理废水可满足锅炉灰渣加湿用水要求，综合利用，不外排。不会对周边地表水环境产生影响，是能够长期稳定运行的，具有较高的环境依托可行性。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2、大气环境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项目废气主要为燃煤锅炉烟气、无组织工艺粉尘、逃逸氨</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全厂燃煤锅炉废气经袋除尘器效率为99.5%，双碱法脱硫效率80%，低氮燃烧+SNCR脱硝效率40%，协同去除汞及其化合物效率为58%，锅炉烟气处理后通过50m高烟囱（DA001）排放，SO</w:t>
            </w:r>
            <w:r>
              <w:rPr>
                <w:rFonts w:hint="default" w:ascii="Times New Roman" w:hAnsi="Times New Roman" w:eastAsia="宋体" w:cs="Times New Roman"/>
                <w:color w:val="auto"/>
                <w:kern w:val="0"/>
                <w:sz w:val="24"/>
                <w:szCs w:val="24"/>
                <w:highlight w:val="none"/>
                <w:vertAlign w:val="subscript"/>
                <w:lang w:val="en-US" w:eastAsia="zh-CN" w:bidi="ar-SA"/>
              </w:rPr>
              <w:t>2</w:t>
            </w:r>
            <w:r>
              <w:rPr>
                <w:rFonts w:hint="default" w:ascii="Times New Roman" w:hAnsi="Times New Roman" w:eastAsia="宋体" w:cs="Times New Roman"/>
                <w:color w:val="auto"/>
                <w:kern w:val="0"/>
                <w:sz w:val="24"/>
                <w:szCs w:val="24"/>
                <w:highlight w:val="none"/>
                <w:lang w:val="en-US" w:eastAsia="zh-CN" w:bidi="ar-SA"/>
              </w:rPr>
              <w:t>、NOx、颗粒物、汞及其化合物的排放浓度及烟气黑度满足《锅炉大气污染物排放标准》（GB13271-2014）表3排放限值。项目合理控制尿素的喷淋量以及尿素分布的均匀性，同时采用控制反应区内温度及足够的停留时间等措施，确保氨与烟气中氮氧化物具备良好的接触，降低氨的逃逸量，保证氨的排放浓度满足《恶臭污染物排放标准》（GB14554-93）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煤堆表面采用苫布苫盖，煤场采取防风抑尘网措施，渣场进行全封闭建设，采用封闭煤廊带式输送机输送，无组织粉尘通过上述措施处理后可处理后满足《大气污染物综合排放标准》（GB16297-1996）表2无组织排放浓度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综上所述，在落实污染防治措施的前提下，并保证环保设施正常运行，项目排放的污染物对评价区域环境空气质量影响较小。</w:t>
            </w:r>
          </w:p>
          <w:p>
            <w:pPr>
              <w:bidi w:val="0"/>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3、声环境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通过选用低噪声设备，减振、隔声、降噪、加强管理和设备合理布局等措施，再经墙体隔声以及距离衰减后，本项目运行后厂界噪声满足《工业企业厂界环境噪声排放标准》（GB12348-2008）表1中2类标准要求。本项目产生的噪声经隔声及距离衰减后可达标排放，对周围声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4、固体废物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本项目固体废物主要为炉渣（443-001-64）、除尘器收尘（443-001-63）、脱硫产生的副产物（443-001-65）、废离子交换树脂（443-004-99），均属于一般固体物废物。炉渣</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除尘器收尘</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脱硫产生的副产物集中收集，暂存于封闭式炉渣场</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外售综合利用</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废离子交换树脂</w:t>
            </w:r>
            <w:r>
              <w:rPr>
                <w:rFonts w:hint="eastAsia" w:ascii="Times New Roman" w:hAnsi="Times New Roman" w:eastAsia="宋体" w:cs="Times New Roman"/>
                <w:color w:val="auto"/>
                <w:kern w:val="0"/>
                <w:sz w:val="24"/>
                <w:szCs w:val="24"/>
                <w:highlight w:val="none"/>
                <w:lang w:val="en-US" w:eastAsia="zh-CN" w:bidi="ar-SA"/>
              </w:rPr>
              <w:t>由</w:t>
            </w:r>
            <w:r>
              <w:rPr>
                <w:rFonts w:hint="default" w:ascii="Times New Roman" w:hAnsi="Times New Roman" w:eastAsia="宋体" w:cs="Times New Roman"/>
                <w:color w:val="auto"/>
                <w:kern w:val="0"/>
                <w:sz w:val="24"/>
                <w:szCs w:val="24"/>
                <w:highlight w:val="none"/>
                <w:lang w:val="en-US" w:eastAsia="zh-CN" w:bidi="ar-SA"/>
              </w:rPr>
              <w:t>市政部门统一处理</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厂区内不设置维修车间，设备维修拉运场外专业维修厂进行，不产生废润滑油等危险废物。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各项环保措施后，对周围环境造成的影响可以降至最低。因此，本项目从环保角度分析是可行的。</w:t>
            </w:r>
          </w:p>
          <w:p>
            <w:pPr>
              <w:rPr>
                <w:rFonts w:hint="eastAsia"/>
                <w:color w:val="auto"/>
                <w:lang w:val="en-US" w:eastAsia="zh-CN"/>
              </w:rPr>
            </w:pPr>
            <w:r>
              <w:rPr>
                <w:rFonts w:hint="default" w:ascii="Times New Roman" w:hAnsi="Times New Roman" w:eastAsia="宋体" w:cs="Times New Roman"/>
                <w:b/>
                <w:bCs/>
                <w:color w:val="auto"/>
                <w:kern w:val="0"/>
                <w:sz w:val="28"/>
                <w:szCs w:val="28"/>
                <w:highlight w:val="none"/>
                <w:lang w:val="en-US" w:eastAsia="zh-CN" w:bidi="ar-SA"/>
              </w:rPr>
              <w:t>二、审批部门审批决定</w:t>
            </w:r>
            <w:bookmarkEnd w:id="14"/>
            <w:bookmarkEnd w:id="15"/>
            <w:bookmarkEnd w:id="16"/>
            <w:bookmarkEnd w:id="17"/>
            <w:bookmarkEnd w:id="18"/>
            <w:bookmarkEnd w:id="19"/>
            <w:bookmarkEnd w:id="20"/>
            <w:bookmarkEnd w:id="21"/>
          </w:p>
          <w:p>
            <w:pPr>
              <w:keepNext w:val="0"/>
              <w:keepLines w:val="0"/>
              <w:widowControl/>
              <w:suppressLineNumbers w:val="0"/>
              <w:spacing w:line="360" w:lineRule="auto"/>
              <w:jc w:val="right"/>
              <w:rPr>
                <w:rFonts w:hint="default" w:ascii="Times New Roman" w:hAnsi="Times New Roman"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尚环审表</w:t>
            </w:r>
            <w:r>
              <w:rPr>
                <w:rFonts w:hint="default" w:ascii="Times New Roman" w:hAnsi="Times New Roman" w:eastAsia="宋体" w:cs="Times New Roman"/>
                <w:color w:val="auto"/>
                <w:kern w:val="0"/>
                <w:sz w:val="24"/>
                <w:szCs w:val="24"/>
                <w:highlight w:val="none"/>
                <w:lang w:val="en-US" w:eastAsia="zh-CN" w:bidi="ar"/>
              </w:rPr>
              <w:t xml:space="preserve"> [20</w:t>
            </w:r>
            <w:r>
              <w:rPr>
                <w:rFonts w:hint="eastAsia" w:ascii="Times New Roman" w:hAnsi="Times New Roman" w:eastAsia="宋体"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 xml:space="preserve">] </w:t>
            </w:r>
            <w:r>
              <w:rPr>
                <w:rFonts w:hint="eastAsia" w:ascii="Times New Roman" w:hAnsi="Times New Roman" w:eastAsia="宋体" w:cs="Times New Roman"/>
                <w:color w:val="auto"/>
                <w:kern w:val="0"/>
                <w:sz w:val="24"/>
                <w:szCs w:val="24"/>
                <w:highlight w:val="none"/>
                <w:lang w:val="en-US" w:eastAsia="zh-CN" w:bidi="ar"/>
              </w:rPr>
              <w:t>43</w:t>
            </w:r>
            <w:r>
              <w:rPr>
                <w:rFonts w:hint="default" w:ascii="Times New Roman" w:hAnsi="Times New Roman" w:eastAsia="宋体" w:cs="Times New Roman"/>
                <w:color w:val="auto"/>
                <w:kern w:val="0"/>
                <w:sz w:val="24"/>
                <w:szCs w:val="24"/>
                <w:highlight w:val="none"/>
                <w:lang w:val="en-US" w:eastAsia="zh-CN" w:bidi="ar"/>
              </w:rPr>
              <w:t xml:space="preserve"> 号</w:t>
            </w:r>
          </w:p>
          <w:p>
            <w:pPr>
              <w:keepNext w:val="0"/>
              <w:keepLines w:val="0"/>
              <w:widowControl/>
              <w:suppressLineNumbers w:val="0"/>
              <w:spacing w:line="360" w:lineRule="auto"/>
              <w:jc w:val="center"/>
              <w:rPr>
                <w:rFonts w:hint="eastAsia" w:ascii="方正小标宋简体" w:hAnsi="方正小标宋简体" w:eastAsia="方正小标宋简体" w:cs="方正小标宋简体"/>
                <w:color w:val="auto"/>
                <w:sz w:val="30"/>
                <w:szCs w:val="30"/>
                <w:highlight w:val="none"/>
                <w:lang w:eastAsia="zh-CN"/>
              </w:rPr>
            </w:pPr>
            <w:r>
              <w:rPr>
                <w:rFonts w:hint="eastAsia" w:ascii="方正小标宋简体" w:hAnsi="方正小标宋简体" w:eastAsia="方正小标宋简体" w:cs="方正小标宋简体"/>
                <w:color w:val="auto"/>
                <w:sz w:val="30"/>
                <w:szCs w:val="30"/>
                <w:highlight w:val="none"/>
              </w:rPr>
              <w:t>关于</w:t>
            </w:r>
            <w:r>
              <w:rPr>
                <w:rFonts w:hint="eastAsia" w:ascii="方正小标宋简体" w:hAnsi="方正小标宋简体" w:eastAsia="方正小标宋简体" w:cs="方正小标宋简体"/>
                <w:color w:val="auto"/>
                <w:sz w:val="30"/>
                <w:szCs w:val="30"/>
                <w:highlight w:val="none"/>
                <w:lang w:eastAsia="zh-CN"/>
              </w:rPr>
              <w:t>长兴供热锅炉设施建设项目</w:t>
            </w:r>
          </w:p>
          <w:p>
            <w:pPr>
              <w:keepNext w:val="0"/>
              <w:keepLines w:val="0"/>
              <w:widowControl/>
              <w:suppressLineNumbers w:val="0"/>
              <w:spacing w:line="360" w:lineRule="auto"/>
              <w:jc w:val="center"/>
              <w:rPr>
                <w:rFonts w:hint="eastAsia" w:ascii="方正小标宋简体" w:hAnsi="方正小标宋简体" w:eastAsia="方正小标宋简体" w:cs="方正小标宋简体"/>
                <w:color w:val="auto"/>
                <w:sz w:val="30"/>
                <w:szCs w:val="30"/>
                <w:highlight w:val="none"/>
              </w:rPr>
            </w:pPr>
            <w:r>
              <w:rPr>
                <w:rFonts w:hint="eastAsia" w:ascii="方正小标宋简体" w:hAnsi="方正小标宋简体" w:eastAsia="方正小标宋简体" w:cs="方正小标宋简体"/>
                <w:color w:val="auto"/>
                <w:sz w:val="30"/>
                <w:szCs w:val="30"/>
                <w:highlight w:val="none"/>
              </w:rPr>
              <w:t>环境影响报告表审批意见</w:t>
            </w:r>
          </w:p>
          <w:p>
            <w:pPr>
              <w:pStyle w:val="2"/>
              <w:rPr>
                <w:rFonts w:hint="default"/>
              </w:rPr>
            </w:pPr>
          </w:p>
          <w:p>
            <w:pPr>
              <w:keepNext w:val="0"/>
              <w:keepLines w:val="0"/>
              <w:widowControl/>
              <w:suppressLineNumbers w:val="0"/>
              <w:spacing w:line="360" w:lineRule="auto"/>
              <w:jc w:val="left"/>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bidi="ar"/>
              </w:rPr>
              <w:t>尚志市长兴供热服务有限责任公司</w:t>
            </w:r>
            <w:r>
              <w:rPr>
                <w:rFonts w:hint="default" w:ascii="Times New Roman" w:hAnsi="Times New Roman" w:eastAsia="宋体" w:cs="Times New Roman"/>
                <w:b w:val="0"/>
                <w:bCs w:val="0"/>
                <w:color w:val="auto"/>
                <w:kern w:val="0"/>
                <w:sz w:val="24"/>
                <w:szCs w:val="24"/>
                <w:highlight w:val="none"/>
                <w:lang w:val="en-US" w:eastAsia="zh-CN" w:bidi="ar"/>
              </w:rPr>
              <w:t>：</w:t>
            </w:r>
          </w:p>
          <w:p>
            <w:pPr>
              <w:spacing w:line="52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你单位报送的由黑龙江辰瀚环境保护有限公司编制的《长兴供热锅炉设施建设项目环境影响报告表》（以下简称“报告表”）已收悉，结合哈尔滨市环境科学学会的技术评估报告，经研究审查，现批复如下：</w:t>
            </w:r>
          </w:p>
          <w:p>
            <w:pPr>
              <w:pStyle w:val="2"/>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w:t>
            </w:r>
            <w:bookmarkStart w:id="22" w:name="_Hlk45286427"/>
            <w:r>
              <w:rPr>
                <w:rFonts w:hint="default" w:ascii="Times New Roman" w:hAnsi="Times New Roman" w:eastAsia="宋体" w:cs="Times New Roman"/>
                <w:sz w:val="24"/>
                <w:szCs w:val="24"/>
              </w:rPr>
              <w:t>项目建设地点</w:t>
            </w:r>
            <w:bookmarkEnd w:id="22"/>
            <w:r>
              <w:rPr>
                <w:rFonts w:hint="default" w:ascii="Times New Roman" w:hAnsi="Times New Roman" w:eastAsia="宋体" w:cs="Times New Roman"/>
                <w:sz w:val="24"/>
                <w:szCs w:val="24"/>
              </w:rPr>
              <w:t>位于尚志市东浦新区，西侧为空地及环卫车队停车场；北侧相邻依次为空地及励志汽车检车站，北侧185米为西安村；东侧为农田；南侧相邻为空地。建设性质：改扩建。主要建设内容：在原有厂房内锅炉安装一台型号为SHW29-1.25/115/70-AⅡ29MW热水锅炉，配套布袋除尘、低氮燃烧+SNCR脱硝脱硝装置，双碱法脱硫依托现有，无新增占地，原有工程1台29MW热水锅炉进行低氮燃烧改造。本项目建设完成后，2台29MW热水锅炉投入使用，拆除现有1台14MW热水锅炉，实现最终供热面积66万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的供热能力。</w:t>
            </w:r>
          </w:p>
          <w:p>
            <w:pPr>
              <w:spacing w:line="520" w:lineRule="exact"/>
              <w:ind w:firstLine="480" w:firstLineChars="20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snapToGrid w:val="0"/>
                <w:kern w:val="0"/>
                <w:sz w:val="24"/>
                <w:szCs w:val="24"/>
              </w:rPr>
              <w:t>二、该项目要切实落实报告表中提出的环境保护措施，确保该项目所产生的各类污染物能够稳定达标排放。</w:t>
            </w:r>
          </w:p>
          <w:p>
            <w:pPr>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(一)水环境</w:t>
            </w:r>
          </w:p>
          <w:p>
            <w:pPr>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废水主要为生产废水，锅炉排污水及水处理软化处理废水可满足锅炉灰渣加湿用水要求，综合利用，不外排。</w:t>
            </w:r>
          </w:p>
          <w:p>
            <w:pPr>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(二)大气环境</w:t>
            </w:r>
          </w:p>
          <w:p>
            <w:pPr>
              <w:adjustRightInd w:val="0"/>
              <w:snapToGrid w:val="0"/>
              <w:spacing w:line="5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行期主要为燃煤锅炉烟气、无组织工艺粉尘、逃逸氨。锅炉烟气经布袋除尘器，双碱法脱硫，低氮燃烧+SNCR脱硝，协同去除汞及其化合物，锅炉烟气处理后通过50m高烟囱排放，各污染物排放浓度及烟气黑度要满足《锅炉大气污染物排放标准》（GB13271-2014）表3排放限值。项目要合理控制尿素的喷淋量以及尿素分布的均匀性，同时采用控制反应区内温度及足够的停留时间等措施，确保氨与烟气中氮氧化物具备良好的接触，降低氨的逃逸量，保证氨的排放浓度要满足《恶臭污染物排放标准》（GB14554-93）限值要求。煤堆表面要采用苫布苫盖，煤场要采取防风抑尘网措施，渣场要进行全封闭建设，采用封闭煤廊带式输送机输送，无组织粉尘通过上述措施处理后要满足《大气污染物综合排放标准》（GB16297-1996）表2无组织排放浓度限值要求。</w:t>
            </w:r>
          </w:p>
          <w:p>
            <w:pPr>
              <w:adjustRightInd w:val="0"/>
              <w:snapToGrid w:val="0"/>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(三)噪声</w:t>
            </w:r>
          </w:p>
          <w:p>
            <w:pPr>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为风机等设备产生的噪声。采取减振、隔声、降噪、加强管理和设备合理布局等措施，再经墙体隔声以及距离衰减后，本项目运行后厂界噪声要满足《工业企业厂界环境噪声排放标准》（GB12348-2008）表1中2类标准要求。</w:t>
            </w:r>
          </w:p>
          <w:p>
            <w:pPr>
              <w:adjustRightInd w:val="0"/>
              <w:snapToGrid w:val="0"/>
              <w:spacing w:line="520" w:lineRule="exac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(四)固体废物</w:t>
            </w:r>
          </w:p>
          <w:p>
            <w:pPr>
              <w:spacing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为废离子交换树脂、除尘器收尘、炉渣、脱硫副产物。废离子交换树脂由市政部门统一清运进行卫生填埋，除尘器收尘、炉渣、脱硫副产物统一收集暂存于封闭式渣场储存间，定期拉运出厂，定期外售综合利用。</w:t>
            </w:r>
          </w:p>
          <w:p>
            <w:pPr>
              <w:overflowPunct w:val="0"/>
              <w:topLinePunct/>
              <w:adjustRightInd w:val="0"/>
              <w:snapToGrid w:val="0"/>
              <w:spacing w:line="520" w:lineRule="exact"/>
              <w:ind w:firstLine="480" w:firstLineChars="200"/>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三、产业政策符合性及选址合理性</w:t>
            </w:r>
          </w:p>
          <w:p>
            <w:pPr>
              <w:spacing w:line="56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1、本项目为集中供热燃煤锅炉建设项目，属于《产业结构调整指导目录（2019年本）》，中鼓励类第二十二条城市基础设施建设“11城镇集中供热建设和改造工程”项目，符合产业政策要求。</w:t>
            </w:r>
          </w:p>
          <w:p>
            <w:pPr>
              <w:pStyle w:val="10"/>
              <w:overflowPunct w:val="0"/>
              <w:topLinePunct/>
              <w:spacing w:line="520" w:lineRule="exact"/>
              <w:ind w:firstLine="640"/>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2、项目选址不属于生活饮用水源地和地下水补给区、风景名胜区、温泉疗养区、水产养殖区、基本农田保护区、自然保护区等需要特殊保护区域，</w:t>
            </w:r>
            <w:r>
              <w:rPr>
                <w:rFonts w:hint="default" w:ascii="Times New Roman" w:hAnsi="Times New Roman" w:eastAsia="宋体" w:cs="Times New Roman"/>
                <w:sz w:val="24"/>
                <w:szCs w:val="24"/>
              </w:rPr>
              <w:t>在全面落实报告表提出的各项污染防治措施要求的前提下，选址基本可行。</w:t>
            </w:r>
          </w:p>
          <w:p>
            <w:pPr>
              <w:tabs>
                <w:tab w:val="left" w:pos="1418"/>
              </w:tabs>
              <w:overflowPunct w:val="0"/>
              <w:topLinePunct/>
              <w:spacing w:line="520" w:lineRule="exact"/>
              <w:ind w:firstLine="480" w:firstLineChars="200"/>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四、总量控制</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28"/>
              <w:gridCol w:w="1926"/>
              <w:gridCol w:w="1370"/>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2168" w:type="pct"/>
                  <w:noWrap w:val="0"/>
                  <w:vAlign w:val="center"/>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w:t>
                  </w:r>
                </w:p>
              </w:tc>
              <w:tc>
                <w:tcPr>
                  <w:tcW w:w="1091" w:type="pct"/>
                  <w:noWrap w:val="0"/>
                  <w:vAlign w:val="center"/>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颗粒物</w:t>
                  </w:r>
                </w:p>
              </w:tc>
              <w:tc>
                <w:tcPr>
                  <w:tcW w:w="776" w:type="pct"/>
                  <w:noWrap w:val="0"/>
                  <w:vAlign w:val="center"/>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p>
              </w:tc>
              <w:tc>
                <w:tcPr>
                  <w:tcW w:w="962" w:type="pct"/>
                  <w:noWrap w:val="0"/>
                  <w:vAlign w:val="center"/>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168"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现有工程污染物排放总量(t/a)</w:t>
                  </w:r>
                </w:p>
              </w:tc>
              <w:tc>
                <w:tcPr>
                  <w:tcW w:w="1091"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1.51</w:t>
                  </w:r>
                </w:p>
              </w:tc>
              <w:tc>
                <w:tcPr>
                  <w:tcW w:w="776"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19.39</w:t>
                  </w:r>
                </w:p>
              </w:tc>
              <w:tc>
                <w:tcPr>
                  <w:tcW w:w="962"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26.08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8"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改扩建后核定排放量(t/a)</w:t>
                  </w:r>
                </w:p>
              </w:tc>
              <w:tc>
                <w:tcPr>
                  <w:tcW w:w="1091"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6.44</w:t>
                  </w:r>
                </w:p>
              </w:tc>
              <w:tc>
                <w:tcPr>
                  <w:tcW w:w="776"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42.42</w:t>
                  </w:r>
                </w:p>
              </w:tc>
              <w:tc>
                <w:tcPr>
                  <w:tcW w:w="962"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53.02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168"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改扩建后总量增减量(t/a)</w:t>
                  </w:r>
                </w:p>
              </w:tc>
              <w:tc>
                <w:tcPr>
                  <w:tcW w:w="1091"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+5.75</w:t>
                  </w:r>
                </w:p>
              </w:tc>
              <w:tc>
                <w:tcPr>
                  <w:tcW w:w="776"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+23.03</w:t>
                  </w:r>
                </w:p>
              </w:tc>
              <w:tc>
                <w:tcPr>
                  <w:tcW w:w="962" w:type="pct"/>
                  <w:noWrap w:val="0"/>
                  <w:vAlign w:val="bottom"/>
                </w:tcPr>
                <w:p>
                  <w:pPr>
                    <w:pStyle w:val="3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+26.94</w:t>
                  </w:r>
                </w:p>
              </w:tc>
            </w:tr>
          </w:tbl>
          <w:p>
            <w:pPr>
              <w:adjustRightInd w:val="0"/>
              <w:snapToGrid w:val="0"/>
              <w:spacing w:line="520" w:lineRule="exact"/>
              <w:ind w:firstLine="480" w:firstLineChars="200"/>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sz w:val="24"/>
                <w:szCs w:val="24"/>
                <w:shd w:val="clear" w:color="auto" w:fill="FFFFFF"/>
              </w:rPr>
              <w:t>要按照《哈尔滨市重点污染物排放总量指标交易办法》在取得环境影响评价审批文件后、启动生产设施或者实际排污之前，通过交易系统进行总量交易，购买总量指标。</w:t>
            </w:r>
          </w:p>
          <w:p>
            <w:pPr>
              <w:adjustRightInd w:val="0"/>
              <w:snapToGrid w:val="0"/>
              <w:spacing w:line="520" w:lineRule="exact"/>
              <w:ind w:firstLine="480" w:firstLineChars="200"/>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sz w:val="24"/>
                <w:szCs w:val="24"/>
                <w:shd w:val="clear" w:color="auto" w:fill="FFFFFF"/>
              </w:rPr>
              <w:t>五、</w:t>
            </w:r>
            <w:r>
              <w:rPr>
                <w:rFonts w:hint="default" w:ascii="Times New Roman" w:hAnsi="Times New Roman" w:eastAsia="宋体" w:cs="Times New Roman"/>
                <w:sz w:val="24"/>
                <w:szCs w:val="24"/>
              </w:rPr>
              <w:t>项目应切实</w:t>
            </w:r>
            <w:r>
              <w:rPr>
                <w:rFonts w:hint="default" w:ascii="Times New Roman" w:hAnsi="Times New Roman" w:eastAsia="宋体" w:cs="Times New Roman"/>
                <w:snapToGrid w:val="0"/>
                <w:kern w:val="0"/>
                <w:sz w:val="24"/>
                <w:szCs w:val="24"/>
              </w:rPr>
              <w:t>加强施工期的环境管理，落实工程有关防护措施，防止对周边近距离环境保护敏感目标产生影响。</w:t>
            </w:r>
          </w:p>
          <w:p>
            <w:pPr>
              <w:adjustRightInd w:val="0"/>
              <w:snapToGrid w:val="0"/>
              <w:spacing w:line="520" w:lineRule="exact"/>
              <w:ind w:firstLine="640"/>
              <w:rPr>
                <w:rFonts w:hint="default" w:ascii="Times New Roman" w:hAnsi="Times New Roman" w:eastAsia="宋体" w:cs="Times New Roman"/>
                <w:snapToGrid w:val="0"/>
                <w:kern w:val="0"/>
                <w:sz w:val="24"/>
                <w:szCs w:val="24"/>
              </w:rPr>
            </w:pPr>
            <w:r>
              <w:rPr>
                <w:rFonts w:hint="default" w:ascii="Times New Roman" w:hAnsi="Times New Roman" w:eastAsia="宋体" w:cs="Times New Roman"/>
                <w:sz w:val="24"/>
                <w:szCs w:val="24"/>
                <w:shd w:val="clear" w:color="auto" w:fill="FFFFFF"/>
              </w:rPr>
              <w:t>六、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应当依法向社会公开验收报告。配套建设的环境保护设施经验收合格，方可投入生产或者使用；未经验收或者验收不合格的，不得投入生产或者使用。否则，将依法进行查处。</w:t>
            </w:r>
          </w:p>
          <w:p>
            <w:pPr>
              <w:adjustRightInd w:val="0"/>
              <w:snapToGrid w:val="0"/>
              <w:spacing w:line="520" w:lineRule="exact"/>
              <w:ind w:firstLine="640"/>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sz w:val="24"/>
                <w:szCs w:val="24"/>
              </w:rPr>
              <w:t>七、该报告表经批准后，建设项目性质、规模、地点或采用的生产工艺等发生重大变化的，建设单位须向我局重新报批项目环境影响报告表；自批准之日起5年后，方开工建设的，建设单位须将该报告表报我局重新审核。如遇国家、省及哈市政策调整，按照相关政策规定和要求执行。</w:t>
            </w:r>
          </w:p>
          <w:p>
            <w:pPr>
              <w:adjustRightInd w:val="0"/>
              <w:snapToGrid w:val="0"/>
              <w:spacing w:line="520" w:lineRule="exact"/>
              <w:ind w:firstLine="640"/>
              <w:rPr>
                <w:rFonts w:hint="default" w:ascii="Times New Roman" w:hAnsi="Times New Roman" w:eastAsia="宋体" w:cs="Times New Roman"/>
                <w:sz w:val="24"/>
                <w:szCs w:val="24"/>
                <w:shd w:val="clear" w:color="auto" w:fill="FFFFFF"/>
              </w:rPr>
            </w:pPr>
            <w:r>
              <w:rPr>
                <w:rFonts w:hint="default" w:ascii="Times New Roman" w:hAnsi="Times New Roman" w:eastAsia="宋体" w:cs="Times New Roman"/>
                <w:sz w:val="24"/>
                <w:szCs w:val="24"/>
              </w:rPr>
              <w:t>八、本批复仅说明该项目应符合的环境保护相关要求，项目建设单位在项目开工建设前应依法取得其他相关部门的合法批件，确保项目的建设实施符合相关法律法规的规定。</w:t>
            </w:r>
          </w:p>
          <w:p>
            <w:pPr>
              <w:spacing w:line="520" w:lineRule="exact"/>
              <w:ind w:firstLine="480" w:firstLineChars="200"/>
              <w:jc w:val="left"/>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此复。               </w:t>
            </w:r>
          </w:p>
          <w:p>
            <w:pPr>
              <w:spacing w:line="520" w:lineRule="exact"/>
              <w:ind w:firstLine="3480" w:firstLineChars="1450"/>
              <w:jc w:val="righ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哈尔滨市尚志生态环境局</w:t>
            </w:r>
          </w:p>
          <w:p>
            <w:pPr>
              <w:spacing w:line="520" w:lineRule="exact"/>
              <w:ind w:firstLine="360" w:firstLineChars="150"/>
              <w:jc w:val="right"/>
              <w:textAlignment w:val="center"/>
              <w:rPr>
                <w:rFonts w:hint="default" w:ascii="Times New Roman" w:hAnsi="Times New Roman" w:eastAsia="宋体" w:cs="Times New Roman"/>
                <w:color w:val="FF0000"/>
                <w:kern w:val="0"/>
                <w:sz w:val="24"/>
                <w:szCs w:val="24"/>
                <w:highlight w:val="none"/>
                <w:lang w:val="en-US" w:eastAsia="zh-CN" w:bidi="ar-SA"/>
              </w:rPr>
            </w:pPr>
            <w:r>
              <w:rPr>
                <w:rFonts w:hint="default" w:ascii="Times New Roman" w:hAnsi="Times New Roman" w:eastAsia="宋体" w:cs="Times New Roman"/>
                <w:sz w:val="24"/>
                <w:szCs w:val="24"/>
              </w:rPr>
              <w:t xml:space="preserve">                              2022年10月13日</w:t>
            </w:r>
          </w:p>
        </w:tc>
      </w:tr>
    </w:tbl>
    <w:p>
      <w:pPr>
        <w:rPr>
          <w:rFonts w:hint="eastAsia" w:ascii="宋体" w:hAnsi="宋体" w:eastAsia="宋体" w:cs="宋体"/>
          <w:b/>
          <w:bCs w:val="0"/>
          <w:color w:val="FF0000"/>
          <w:sz w:val="28"/>
          <w:szCs w:val="28"/>
          <w:highlight w:val="none"/>
        </w:rPr>
      </w:pPr>
      <w:bookmarkStart w:id="23" w:name="_Toc20432"/>
      <w:r>
        <w:rPr>
          <w:rFonts w:hint="eastAsia" w:ascii="宋体" w:hAnsi="宋体" w:eastAsia="宋体" w:cs="宋体"/>
          <w:b/>
          <w:bCs w:val="0"/>
          <w:color w:val="FF0000"/>
          <w:sz w:val="28"/>
          <w:szCs w:val="28"/>
          <w:highlight w:val="none"/>
        </w:rPr>
        <w:br w:type="page"/>
      </w:r>
    </w:p>
    <w:p>
      <w:pPr>
        <w:spacing w:before="62" w:beforeLines="20" w:line="360" w:lineRule="auto"/>
        <w:outlineLvl w:val="0"/>
        <w:rPr>
          <w:rFonts w:hint="eastAsia" w:ascii="仿宋" w:hAnsi="仿宋" w:eastAsia="仿宋" w:cs="仿宋"/>
          <w:b/>
          <w:color w:val="auto"/>
          <w:sz w:val="28"/>
          <w:szCs w:val="28"/>
          <w:highlight w:val="none"/>
          <w:vertAlign w:val="baseline"/>
        </w:rPr>
      </w:pPr>
      <w:bookmarkStart w:id="24" w:name="_Toc231"/>
      <w:r>
        <w:rPr>
          <w:rFonts w:hint="eastAsia" w:ascii="宋体" w:hAnsi="宋体" w:eastAsia="宋体" w:cs="宋体"/>
          <w:b/>
          <w:bCs w:val="0"/>
          <w:color w:val="auto"/>
          <w:sz w:val="28"/>
          <w:szCs w:val="28"/>
          <w:highlight w:val="none"/>
        </w:rPr>
        <w:t>表五</w:t>
      </w:r>
      <w:r>
        <w:rPr>
          <w:rFonts w:hint="eastAsia" w:ascii="宋体" w:hAnsi="宋体" w:eastAsia="宋体" w:cs="宋体"/>
          <w:b/>
          <w:bCs w:val="0"/>
          <w:color w:val="auto"/>
          <w:sz w:val="28"/>
          <w:szCs w:val="28"/>
          <w:highlight w:val="none"/>
          <w:lang w:val="en-US" w:eastAsia="zh-CN"/>
        </w:rPr>
        <w:t xml:space="preserve"> 验收监测质量保证及质量控制</w:t>
      </w:r>
      <w:bookmarkEnd w:id="23"/>
      <w:bookmarkEnd w:id="24"/>
    </w:p>
    <w:tbl>
      <w:tblPr>
        <w:tblStyle w:val="22"/>
        <w:tblW w:w="903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2" w:type="dxa"/>
          </w:tcPr>
          <w:p>
            <w:pPr>
              <w:bidi w:val="0"/>
              <w:spacing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rPr>
              <w:t>一、监测分析方法</w:t>
            </w:r>
          </w:p>
          <w:p>
            <w:pPr>
              <w:bidi w:val="0"/>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监测分析方法来源见</w:t>
            </w:r>
            <w:r>
              <w:rPr>
                <w:rFonts w:hint="eastAsia" w:ascii="宋体" w:hAnsi="宋体" w:eastAsia="宋体" w:cs="宋体"/>
                <w:color w:val="auto"/>
                <w:sz w:val="24"/>
                <w:szCs w:val="24"/>
                <w:highlight w:val="none"/>
                <w:lang w:val="en-US" w:eastAsia="zh-CN"/>
              </w:rPr>
              <w:t>下</w:t>
            </w:r>
            <w:r>
              <w:rPr>
                <w:rFonts w:hint="eastAsia" w:ascii="宋体" w:hAnsi="宋体" w:eastAsia="宋体" w:cs="宋体"/>
                <w:color w:val="auto"/>
                <w:sz w:val="24"/>
                <w:szCs w:val="24"/>
                <w:highlight w:val="none"/>
              </w:rPr>
              <w:t>表</w:t>
            </w:r>
            <w:r>
              <w:rPr>
                <w:rFonts w:hint="eastAsia" w:ascii="宋体" w:hAnsi="宋体" w:eastAsia="宋体" w:cs="宋体"/>
                <w:b w:val="0"/>
                <w:bCs w:val="0"/>
                <w:color w:val="auto"/>
                <w:sz w:val="24"/>
                <w:szCs w:val="24"/>
                <w:highlight w:val="none"/>
              </w:rPr>
              <w:t>。</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eastAsia="黑体"/>
                <w:b w:val="0"/>
                <w:bCs w:val="0"/>
                <w:color w:val="auto"/>
                <w:highlight w:val="none"/>
                <w:lang w:val="en-US" w:eastAsia="zh-CN"/>
              </w:rPr>
            </w:pPr>
            <w:r>
              <w:rPr>
                <w:rFonts w:hint="eastAsia"/>
                <w:b w:val="0"/>
                <w:bCs w:val="0"/>
                <w:color w:val="auto"/>
                <w:highlight w:val="none"/>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5-1</w:t>
            </w:r>
            <w:r>
              <w:rPr>
                <w:b w:val="0"/>
                <w:bCs w:val="0"/>
                <w:color w:val="auto"/>
                <w:highlight w:val="none"/>
              </w:rPr>
              <w:t xml:space="preserve"> </w:t>
            </w:r>
            <w:r>
              <w:rPr>
                <w:rFonts w:hint="eastAsia"/>
                <w:b w:val="0"/>
                <w:bCs w:val="0"/>
                <w:color w:val="auto"/>
                <w:highlight w:val="none"/>
                <w:lang w:val="en-US" w:eastAsia="zh-CN"/>
              </w:rPr>
              <w:t>无组织废气</w:t>
            </w:r>
            <w:r>
              <w:rPr>
                <w:rFonts w:hint="eastAsia"/>
                <w:b w:val="0"/>
                <w:bCs w:val="0"/>
                <w:color w:val="auto"/>
                <w:highlight w:val="none"/>
              </w:rPr>
              <w:t>监测分析方法</w:t>
            </w:r>
            <w:r>
              <w:rPr>
                <w:rFonts w:hint="eastAsia"/>
                <w:b w:val="0"/>
                <w:bCs w:val="0"/>
                <w:color w:val="auto"/>
                <w:highlight w:val="none"/>
                <w:lang w:val="en-US" w:eastAsia="zh-CN"/>
              </w:rPr>
              <w:t>及仪器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3867"/>
              <w:gridCol w:w="3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31"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1"/>
                      <w:szCs w:val="21"/>
                      <w:lang w:eastAsia="zh-CN"/>
                    </w:rPr>
                    <w:t>检测项目</w:t>
                  </w:r>
                </w:p>
              </w:tc>
              <w:tc>
                <w:tcPr>
                  <w:tcW w:w="386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pacing w:val="0"/>
                      <w:sz w:val="21"/>
                      <w:szCs w:val="21"/>
                      <w:lang w:eastAsia="zh-CN"/>
                    </w:rPr>
                    <w:t>检测方法名称及标准号</w:t>
                  </w:r>
                </w:p>
              </w:tc>
              <w:tc>
                <w:tcPr>
                  <w:tcW w:w="36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pacing w:val="0"/>
                      <w:sz w:val="21"/>
                      <w:szCs w:val="21"/>
                      <w:lang w:eastAsia="zh-CN"/>
                    </w:rPr>
                    <w:t>仪器名称</w:t>
                  </w:r>
                  <w:r>
                    <w:rPr>
                      <w:rFonts w:hint="default" w:ascii="Times New Roman" w:hAnsi="Times New Roman" w:eastAsia="宋体" w:cs="Times New Roman"/>
                      <w:b/>
                      <w:bCs/>
                      <w:color w:val="auto"/>
                      <w:spacing w:val="0"/>
                      <w:sz w:val="21"/>
                      <w:szCs w:val="21"/>
                      <w:lang w:val="en-US" w:eastAsia="zh-CN"/>
                    </w:rPr>
                    <w:t>/仪器</w:t>
                  </w:r>
                  <w:r>
                    <w:rPr>
                      <w:rFonts w:hint="default" w:ascii="Times New Roman" w:hAnsi="Times New Roman" w:eastAsia="宋体" w:cs="Times New Roman"/>
                      <w:b/>
                      <w:bCs/>
                      <w:color w:val="auto"/>
                      <w:spacing w:val="0"/>
                      <w:sz w:val="21"/>
                      <w:szCs w:val="21"/>
                      <w:lang w:eastAsia="zh-CN"/>
                    </w:rPr>
                    <w:t>型号</w:t>
                  </w:r>
                  <w:r>
                    <w:rPr>
                      <w:rFonts w:hint="default" w:ascii="Times New Roman" w:hAnsi="Times New Roman" w:eastAsia="宋体" w:cs="Times New Roman"/>
                      <w:b/>
                      <w:bCs/>
                      <w:color w:val="auto"/>
                      <w:spacing w:val="0"/>
                      <w:sz w:val="21"/>
                      <w:szCs w:val="21"/>
                      <w:lang w:val="en-US" w:eastAsia="zh-CN"/>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5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2"/>
                      <w:sz w:val="21"/>
                      <w:szCs w:val="21"/>
                      <w:lang w:val="en-US" w:eastAsia="zh-CN" w:bidi="ar-SA"/>
                    </w:rPr>
                    <w:t>颗粒物</w:t>
                  </w:r>
                </w:p>
              </w:tc>
              <w:tc>
                <w:tcPr>
                  <w:tcW w:w="219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1"/>
                      <w:szCs w:val="21"/>
                      <w:lang w:val="en-US" w:eastAsia="zh-CN" w:bidi="ar-SA"/>
                    </w:rPr>
                    <w:t>环境空气 总悬浮颗粒物的测定 重量法 HJ1263-2022</w:t>
                  </w:r>
                </w:p>
              </w:tc>
              <w:tc>
                <w:tcPr>
                  <w:tcW w:w="2050" w:type="pc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智能颗粒物采样器</w:t>
                  </w:r>
                </w:p>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lang w:val="en-US" w:eastAsia="zh-CN" w:bidi="ar-SA"/>
                    </w:rPr>
                    <w:t>/BX-2030/</w:t>
                  </w:r>
                  <w:r>
                    <w:rPr>
                      <w:rFonts w:hint="default" w:ascii="Times New Roman" w:hAnsi="Times New Roman" w:eastAsia="宋体" w:cs="Times New Roman"/>
                      <w:i w:val="0"/>
                      <w:color w:val="auto"/>
                      <w:kern w:val="0"/>
                      <w:sz w:val="21"/>
                      <w:szCs w:val="21"/>
                      <w:u w:val="none"/>
                      <w:lang w:val="en-US" w:eastAsia="zh-CN" w:bidi="ar"/>
                    </w:rPr>
                    <w:t>KXYQ-076、081~083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rPr>
                  </w:pPr>
                </w:p>
              </w:tc>
              <w:tc>
                <w:tcPr>
                  <w:tcW w:w="2194"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lang w:val="en-US"/>
                    </w:rPr>
                  </w:pP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电子天平</w:t>
                  </w:r>
                </w:p>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color w:val="auto"/>
                      <w:kern w:val="0"/>
                      <w:sz w:val="21"/>
                      <w:szCs w:val="21"/>
                      <w:u w:val="none"/>
                      <w:lang w:val="en-US" w:eastAsia="zh-CN" w:bidi="ar"/>
                    </w:rPr>
                    <w:t>/AUW120D/KXYQ-017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55"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rPr>
                  </w:pPr>
                </w:p>
              </w:tc>
              <w:tc>
                <w:tcPr>
                  <w:tcW w:w="2194" w:type="pct"/>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color w:val="auto"/>
                      <w:highlight w:val="none"/>
                      <w:lang w:val="en-US" w:eastAsia="zh-CN"/>
                    </w:rPr>
                  </w:pP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恒温恒湿称重系统</w:t>
                  </w:r>
                </w:p>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i w:val="0"/>
                      <w:color w:val="auto"/>
                      <w:kern w:val="0"/>
                      <w:sz w:val="21"/>
                      <w:szCs w:val="21"/>
                      <w:u w:val="none"/>
                      <w:lang w:val="en-US" w:eastAsia="zh-CN" w:bidi="ar"/>
                    </w:rPr>
                    <w:t>/JC-AWS9-2/KXYQ-029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cs="Times New Roman"/>
                      <w:color w:val="auto"/>
                      <w:kern w:val="2"/>
                      <w:sz w:val="21"/>
                      <w:szCs w:val="21"/>
                      <w:lang w:val="en-US" w:eastAsia="zh-CN" w:bidi="ar-SA"/>
                    </w:rPr>
                    <w:t>氨</w:t>
                  </w:r>
                </w:p>
              </w:tc>
              <w:tc>
                <w:tcPr>
                  <w:tcW w:w="2194" w:type="pct"/>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2"/>
                      <w:sz w:val="21"/>
                      <w:szCs w:val="21"/>
                      <w:lang w:val="en-US" w:eastAsia="zh-CN" w:bidi="ar-SA"/>
                    </w:rPr>
                    <w:t>环境空气和废气 氨的测定 纳氏试剂分光光度法HJ533-2009</w:t>
                  </w: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color w:val="auto"/>
                      <w:kern w:val="0"/>
                      <w:sz w:val="21"/>
                      <w:szCs w:val="21"/>
                      <w:u w:val="none"/>
                      <w:lang w:val="en-US" w:eastAsia="zh-CN" w:bidi="ar"/>
                    </w:rPr>
                    <w:t>空气采样器</w:t>
                  </w:r>
                  <w:r>
                    <w:rPr>
                      <w:rFonts w:hint="eastAsia" w:ascii="Times New Roman" w:hAnsi="Times New Roman" w:cs="Times New Roman"/>
                      <w:i w:val="0"/>
                      <w:color w:val="auto"/>
                      <w:kern w:val="0"/>
                      <w:sz w:val="21"/>
                      <w:szCs w:val="21"/>
                      <w:u w:val="none"/>
                      <w:lang w:val="en-US" w:eastAsia="zh-CN" w:bidi="ar"/>
                    </w:rPr>
                    <w:t>/2020/KXYQ-048/049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pct"/>
                  <w:vMerge w:val="continue"/>
                  <w:tcBorders>
                    <w:tl2br w:val="nil"/>
                    <w:tr2bl w:val="nil"/>
                  </w:tcBorders>
                  <w:vAlign w:val="center"/>
                </w:tcPr>
                <w:p>
                  <w:pPr>
                    <w:bidi w:val="0"/>
                    <w:jc w:val="center"/>
                    <w:rPr>
                      <w:rFonts w:hint="eastAsia" w:ascii="Times New Roman" w:hAnsi="Times New Roman" w:eastAsia="宋体" w:cs="Times New Roman"/>
                      <w:color w:val="auto"/>
                      <w:highlight w:val="none"/>
                      <w:lang w:val="en-US" w:eastAsia="zh-CN"/>
                    </w:rPr>
                  </w:pPr>
                </w:p>
              </w:tc>
              <w:tc>
                <w:tcPr>
                  <w:tcW w:w="2194"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lang w:val="en-US" w:eastAsia="zh-CN"/>
                    </w:rPr>
                  </w:pP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大气采样器</w:t>
                  </w:r>
                  <w:r>
                    <w:rPr>
                      <w:rFonts w:hint="eastAsia" w:ascii="Times New Roman" w:hAnsi="Times New Roman" w:cs="Times New Roman"/>
                      <w:i w:val="0"/>
                      <w:color w:val="auto"/>
                      <w:kern w:val="0"/>
                      <w:sz w:val="21"/>
                      <w:szCs w:val="21"/>
                      <w:u w:val="none"/>
                      <w:lang w:val="en-US" w:eastAsia="zh-CN" w:bidi="ar"/>
                    </w:rPr>
                    <w:t>/TMP-1500型/KXYQ-050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pct"/>
                  <w:vMerge w:val="continue"/>
                  <w:tcBorders>
                    <w:tl2br w:val="nil"/>
                    <w:tr2bl w:val="nil"/>
                  </w:tcBorders>
                  <w:vAlign w:val="center"/>
                </w:tcPr>
                <w:p>
                  <w:pPr>
                    <w:bidi w:val="0"/>
                    <w:jc w:val="center"/>
                    <w:rPr>
                      <w:rFonts w:hint="eastAsia" w:ascii="Times New Roman" w:hAnsi="Times New Roman" w:eastAsia="宋体" w:cs="Times New Roman"/>
                      <w:color w:val="auto"/>
                      <w:highlight w:val="none"/>
                      <w:lang w:val="en-US" w:eastAsia="zh-CN"/>
                    </w:rPr>
                  </w:pPr>
                </w:p>
              </w:tc>
              <w:tc>
                <w:tcPr>
                  <w:tcW w:w="2194"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lang w:val="en-US" w:eastAsia="zh-CN"/>
                    </w:rPr>
                  </w:pP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空气采样器</w:t>
                  </w:r>
                  <w:r>
                    <w:rPr>
                      <w:rFonts w:hint="eastAsia" w:ascii="Times New Roman" w:hAnsi="Times New Roman" w:cs="Times New Roman"/>
                      <w:i w:val="0"/>
                      <w:color w:val="auto"/>
                      <w:kern w:val="0"/>
                      <w:sz w:val="21"/>
                      <w:szCs w:val="21"/>
                      <w:u w:val="none"/>
                      <w:lang w:val="en-US" w:eastAsia="zh-CN" w:bidi="ar"/>
                    </w:rPr>
                    <w:t>/</w:t>
                  </w:r>
                  <w:r>
                    <w:rPr>
                      <w:rFonts w:hint="default" w:ascii="Times New Roman" w:hAnsi="Times New Roman" w:eastAsia="宋体" w:cs="Times New Roman"/>
                      <w:i w:val="0"/>
                      <w:color w:val="auto"/>
                      <w:kern w:val="0"/>
                      <w:sz w:val="21"/>
                      <w:szCs w:val="21"/>
                      <w:u w:val="none"/>
                      <w:lang w:val="en-US" w:eastAsia="zh-CN" w:bidi="ar"/>
                    </w:rPr>
                    <w:t>KC-6D</w:t>
                  </w:r>
                </w:p>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eastAsia" w:ascii="Times New Roman" w:hAnsi="Times New Roman" w:cs="Times New Roman"/>
                      <w:i w:val="0"/>
                      <w:color w:val="auto"/>
                      <w:kern w:val="0"/>
                      <w:sz w:val="21"/>
                      <w:szCs w:val="21"/>
                      <w:u w:val="none"/>
                      <w:lang w:val="en-US" w:eastAsia="zh-CN" w:bidi="ar"/>
                    </w:rPr>
                    <w:t>/KXYQ-064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5" w:type="pct"/>
                  <w:vMerge w:val="continue"/>
                  <w:tcBorders>
                    <w:tl2br w:val="nil"/>
                    <w:tr2bl w:val="nil"/>
                  </w:tcBorders>
                  <w:vAlign w:val="center"/>
                </w:tcPr>
                <w:p>
                  <w:pPr>
                    <w:bidi w:val="0"/>
                    <w:jc w:val="center"/>
                    <w:rPr>
                      <w:rFonts w:hint="eastAsia" w:ascii="Times New Roman" w:hAnsi="Times New Roman" w:eastAsia="宋体" w:cs="Times New Roman"/>
                      <w:color w:val="auto"/>
                      <w:highlight w:val="none"/>
                      <w:lang w:val="en-US" w:eastAsia="zh-CN"/>
                    </w:rPr>
                  </w:pPr>
                </w:p>
              </w:tc>
              <w:tc>
                <w:tcPr>
                  <w:tcW w:w="2194" w:type="pct"/>
                  <w:vMerge w:val="continue"/>
                  <w:tcBorders>
                    <w:tl2br w:val="nil"/>
                    <w:tr2bl w:val="nil"/>
                  </w:tcBorders>
                  <w:vAlign w:val="center"/>
                </w:tcPr>
                <w:p>
                  <w:pPr>
                    <w:bidi w:val="0"/>
                    <w:jc w:val="center"/>
                    <w:rPr>
                      <w:rFonts w:hint="default" w:ascii="Times New Roman" w:hAnsi="Times New Roman" w:eastAsia="宋体" w:cs="Times New Roman"/>
                      <w:color w:val="auto"/>
                      <w:highlight w:val="none"/>
                      <w:lang w:val="en-US" w:eastAsia="zh-CN"/>
                    </w:rPr>
                  </w:pPr>
                </w:p>
              </w:tc>
              <w:tc>
                <w:tcPr>
                  <w:tcW w:w="205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color w:val="auto"/>
                      <w:kern w:val="0"/>
                      <w:sz w:val="21"/>
                      <w:szCs w:val="21"/>
                      <w:u w:val="none"/>
                      <w:lang w:val="en-US" w:eastAsia="zh-CN" w:bidi="ar"/>
                    </w:rPr>
                    <w:t>紫外可见分光光度计</w:t>
                  </w:r>
                  <w:r>
                    <w:rPr>
                      <w:rFonts w:hint="eastAsia" w:ascii="Times New Roman" w:hAnsi="Times New Roman" w:cs="Times New Roman"/>
                      <w:i w:val="0"/>
                      <w:color w:val="auto"/>
                      <w:kern w:val="0"/>
                      <w:sz w:val="21"/>
                      <w:szCs w:val="21"/>
                      <w:u w:val="none"/>
                      <w:lang w:val="en-US" w:eastAsia="zh-CN" w:bidi="ar"/>
                    </w:rPr>
                    <w:t>/UV-1800D/KXYQ-015</w:t>
                  </w:r>
                </w:p>
              </w:tc>
            </w:tr>
          </w:tbl>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eastAsia="黑体"/>
                <w:b w:val="0"/>
                <w:bCs w:val="0"/>
                <w:color w:val="auto"/>
                <w:highlight w:val="none"/>
                <w:lang w:val="en-US" w:eastAsia="zh-CN"/>
              </w:rPr>
            </w:pPr>
            <w:r>
              <w:rPr>
                <w:rFonts w:hint="eastAsia"/>
                <w:b w:val="0"/>
                <w:bCs w:val="0"/>
                <w:color w:val="auto"/>
                <w:highlight w:val="none"/>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5-2</w:t>
            </w:r>
            <w:r>
              <w:rPr>
                <w:b w:val="0"/>
                <w:bCs w:val="0"/>
                <w:color w:val="auto"/>
                <w:highlight w:val="none"/>
              </w:rPr>
              <w:t xml:space="preserve"> </w:t>
            </w:r>
            <w:r>
              <w:rPr>
                <w:rFonts w:hint="eastAsia"/>
                <w:b w:val="0"/>
                <w:bCs w:val="0"/>
                <w:color w:val="auto"/>
                <w:highlight w:val="none"/>
                <w:lang w:val="en-US" w:eastAsia="zh-CN"/>
              </w:rPr>
              <w:t>有组织废气</w:t>
            </w:r>
            <w:r>
              <w:rPr>
                <w:rFonts w:hint="eastAsia"/>
                <w:b w:val="0"/>
                <w:bCs w:val="0"/>
                <w:color w:val="auto"/>
                <w:highlight w:val="none"/>
              </w:rPr>
              <w:t>监测分析方法</w:t>
            </w:r>
            <w:r>
              <w:rPr>
                <w:rFonts w:hint="eastAsia"/>
                <w:b w:val="0"/>
                <w:bCs w:val="0"/>
                <w:color w:val="auto"/>
                <w:highlight w:val="none"/>
                <w:lang w:val="en-US" w:eastAsia="zh-CN"/>
              </w:rPr>
              <w:t>及仪器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869"/>
              <w:gridCol w:w="3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lang w:eastAsia="zh-CN"/>
                    </w:rPr>
                    <w:t>检测项目</w:t>
                  </w:r>
                </w:p>
              </w:tc>
              <w:tc>
                <w:tcPr>
                  <w:tcW w:w="386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pacing w:val="0"/>
                      <w:sz w:val="21"/>
                      <w:szCs w:val="21"/>
                      <w:lang w:eastAsia="zh-CN"/>
                    </w:rPr>
                    <w:t>检测方法名称及标准号</w:t>
                  </w:r>
                </w:p>
              </w:tc>
              <w:tc>
                <w:tcPr>
                  <w:tcW w:w="36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pacing w:val="0"/>
                      <w:sz w:val="21"/>
                      <w:szCs w:val="21"/>
                      <w:lang w:eastAsia="zh-CN"/>
                    </w:rPr>
                    <w:t>仪器名称</w:t>
                  </w:r>
                  <w:r>
                    <w:rPr>
                      <w:rFonts w:hint="default" w:ascii="Times New Roman" w:hAnsi="Times New Roman" w:eastAsia="宋体" w:cs="Times New Roman"/>
                      <w:b/>
                      <w:bCs/>
                      <w:color w:val="auto"/>
                      <w:spacing w:val="0"/>
                      <w:sz w:val="21"/>
                      <w:szCs w:val="21"/>
                      <w:lang w:val="en-US" w:eastAsia="zh-CN"/>
                    </w:rPr>
                    <w:t>/仪器</w:t>
                  </w:r>
                  <w:r>
                    <w:rPr>
                      <w:rFonts w:hint="default" w:ascii="Times New Roman" w:hAnsi="Times New Roman" w:eastAsia="宋体" w:cs="Times New Roman"/>
                      <w:b/>
                      <w:bCs/>
                      <w:color w:val="auto"/>
                      <w:spacing w:val="0"/>
                      <w:sz w:val="21"/>
                      <w:szCs w:val="21"/>
                      <w:lang w:eastAsia="zh-CN"/>
                    </w:rPr>
                    <w:t>型号</w:t>
                  </w:r>
                  <w:r>
                    <w:rPr>
                      <w:rFonts w:hint="default" w:ascii="Times New Roman" w:hAnsi="Times New Roman" w:eastAsia="宋体" w:cs="Times New Roman"/>
                      <w:b/>
                      <w:bCs/>
                      <w:color w:val="auto"/>
                      <w:spacing w:val="0"/>
                      <w:sz w:val="21"/>
                      <w:szCs w:val="21"/>
                      <w:lang w:val="en-US" w:eastAsia="zh-CN"/>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color w:val="auto"/>
                      <w:kern w:val="2"/>
                      <w:sz w:val="21"/>
                      <w:szCs w:val="21"/>
                      <w:lang w:val="en-US" w:eastAsia="zh-CN" w:bidi="ar-SA"/>
                    </w:rPr>
                    <w:t>颗粒物</w:t>
                  </w:r>
                </w:p>
              </w:tc>
              <w:tc>
                <w:tcPr>
                  <w:tcW w:w="386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固定污染源排气中颗粒物测定与气态污染物采样方法GB/T16157-1996及修改单</w:t>
                  </w:r>
                </w:p>
              </w:tc>
              <w:tc>
                <w:tcPr>
                  <w:tcW w:w="361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auto"/>
                      <w:kern w:val="0"/>
                      <w:sz w:val="21"/>
                      <w:szCs w:val="21"/>
                      <w:highlight w:val="none"/>
                      <w:u w:val="none"/>
                      <w:lang w:val="en-US" w:eastAsia="zh-CN" w:bidi="ar"/>
                    </w:rPr>
                    <w:t>智能烟尘/烟气分析仪/BX-8250D/KXYQ-07</w:t>
                  </w:r>
                  <w:r>
                    <w:rPr>
                      <w:rFonts w:hint="eastAsia" w:ascii="Times New Roman" w:hAnsi="Times New Roman" w:cs="Times New Roman"/>
                      <w:i w:val="0"/>
                      <w:color w:val="auto"/>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continue"/>
                  <w:tcBorders>
                    <w:tl2br w:val="nil"/>
                    <w:tr2bl w:val="nil"/>
                  </w:tcBorders>
                  <w:vAlign w:val="center"/>
                </w:tcPr>
                <w:p>
                  <w:pPr>
                    <w:keepNext w:val="0"/>
                    <w:keepLines w:val="0"/>
                    <w:widowControl/>
                    <w:suppressLineNumbers w:val="0"/>
                    <w:jc w:val="center"/>
                    <w:textAlignment w:val="center"/>
                  </w:pPr>
                </w:p>
              </w:tc>
              <w:tc>
                <w:tcPr>
                  <w:tcW w:w="3869" w:type="dxa"/>
                  <w:vMerge w:val="continue"/>
                  <w:tcBorders>
                    <w:tl2br w:val="nil"/>
                    <w:tr2bl w:val="nil"/>
                  </w:tcBorders>
                  <w:vAlign w:val="center"/>
                </w:tcPr>
                <w:p>
                  <w:pPr>
                    <w:keepNext w:val="0"/>
                    <w:keepLines w:val="0"/>
                    <w:widowControl/>
                    <w:suppressLineNumbers w:val="0"/>
                    <w:jc w:val="center"/>
                    <w:textAlignment w:val="center"/>
                  </w:pPr>
                </w:p>
              </w:tc>
              <w:tc>
                <w:tcPr>
                  <w:tcW w:w="361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电子天平/AUW120D/KXYQ-017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p>
              </w:tc>
              <w:tc>
                <w:tcPr>
                  <w:tcW w:w="3869"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p>
              </w:tc>
              <w:tc>
                <w:tcPr>
                  <w:tcW w:w="3613"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恒温干燥箱/101-3B/KXYQ-023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i w:val="0"/>
                      <w:color w:val="000000"/>
                      <w:kern w:val="0"/>
                      <w:sz w:val="21"/>
                      <w:szCs w:val="21"/>
                      <w:u w:val="none"/>
                      <w:lang w:val="en-US" w:eastAsia="zh-CN" w:bidi="ar"/>
                    </w:rPr>
                    <w:t>二氧化硫</w:t>
                  </w:r>
                </w:p>
              </w:tc>
              <w:tc>
                <w:tcPr>
                  <w:tcW w:w="386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固定污染源废气 二氧化硫的测定 定电位电解法HJ57-2017</w:t>
                  </w: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智能烟尘/烟气分析仪/BX-8250D/KXYQ-07</w:t>
                  </w:r>
                  <w:r>
                    <w:rPr>
                      <w:rFonts w:hint="eastAsia" w:ascii="Times New Roman" w:hAnsi="Times New Roman" w:cs="Times New Roman"/>
                      <w:i w:val="0"/>
                      <w:color w:val="000000"/>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i w:val="0"/>
                      <w:color w:val="000000"/>
                      <w:kern w:val="0"/>
                      <w:sz w:val="21"/>
                      <w:szCs w:val="21"/>
                      <w:u w:val="none"/>
                      <w:lang w:val="en-US" w:eastAsia="zh-CN" w:bidi="ar"/>
                    </w:rPr>
                    <w:t>氮氧化物</w:t>
                  </w:r>
                </w:p>
              </w:tc>
              <w:tc>
                <w:tcPr>
                  <w:tcW w:w="386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固定污染源废气 氮氧化物的测定 定电位电解法HJ693-2014</w:t>
                  </w: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智能烟尘/烟气分析仪/BX-8250D/KXYQ-07</w:t>
                  </w:r>
                  <w:r>
                    <w:rPr>
                      <w:rFonts w:hint="eastAsia" w:ascii="Times New Roman" w:hAnsi="Times New Roman" w:cs="Times New Roman"/>
                      <w:i w:val="0"/>
                      <w:color w:val="000000"/>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eastAsia" w:ascii="Times New Roman" w:hAnsi="Times New Roman" w:cs="Times New Roman"/>
                      <w:i w:val="0"/>
                      <w:color w:val="000000"/>
                      <w:kern w:val="0"/>
                      <w:sz w:val="21"/>
                      <w:szCs w:val="21"/>
                      <w:u w:val="none"/>
                      <w:lang w:val="en-US" w:eastAsia="zh-CN" w:bidi="ar"/>
                    </w:rPr>
                    <w:t>烟气黑度</w:t>
                  </w:r>
                </w:p>
              </w:tc>
              <w:tc>
                <w:tcPr>
                  <w:tcW w:w="386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固定污染源排放 烟气黑度的测定 林格曼烟气黑度图法HJ/T398-2007</w:t>
                  </w: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烟气黑度图</w:t>
                  </w:r>
                  <w:r>
                    <w:rPr>
                      <w:rFonts w:hint="eastAsia" w:ascii="Times New Roman" w:hAnsi="Times New Roman" w:cs="Times New Roman"/>
                      <w:i w:val="0"/>
                      <w:color w:val="000000"/>
                      <w:kern w:val="0"/>
                      <w:sz w:val="21"/>
                      <w:szCs w:val="21"/>
                      <w:u w:val="none"/>
                      <w:lang w:val="en-US" w:eastAsia="zh-CN" w:bidi="ar"/>
                    </w:rPr>
                    <w:t>/KXYQ-078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eastAsia" w:ascii="Times New Roman" w:hAnsi="Times New Roman" w:cs="Times New Roman"/>
                      <w:i w:val="0"/>
                      <w:color w:val="000000"/>
                      <w:kern w:val="0"/>
                      <w:sz w:val="21"/>
                      <w:szCs w:val="21"/>
                      <w:u w:val="none"/>
                      <w:lang w:val="en-US" w:eastAsia="zh-CN" w:bidi="ar"/>
                    </w:rPr>
                    <w:t>汞及其化合物</w:t>
                  </w:r>
                </w:p>
              </w:tc>
              <w:tc>
                <w:tcPr>
                  <w:tcW w:w="3869" w:type="dxa"/>
                  <w:vMerge w:val="restart"/>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i w:val="0"/>
                      <w:color w:val="000000"/>
                      <w:kern w:val="0"/>
                      <w:sz w:val="21"/>
                      <w:szCs w:val="21"/>
                      <w:u w:val="none"/>
                      <w:lang w:val="en-US" w:eastAsia="zh-CN" w:bidi="ar"/>
                    </w:rPr>
                    <w:t>固定污染源废气 汞的测定 冷原子吸收分光光度法HJ543-2009</w:t>
                  </w: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智能烟尘/烟气分析仪/BX-8250D/KXYQ-07</w:t>
                  </w:r>
                  <w:r>
                    <w:rPr>
                      <w:rFonts w:hint="eastAsia" w:ascii="Times New Roman" w:hAnsi="Times New Roman" w:cs="Times New Roman"/>
                      <w:i w:val="0"/>
                      <w:color w:val="000000"/>
                      <w:kern w:val="0"/>
                      <w:sz w:val="21"/>
                      <w:szCs w:val="21"/>
                      <w:highlight w:val="none"/>
                      <w:u w:val="none"/>
                      <w:lang w:val="en-US" w:eastAsia="zh-CN"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3869"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highlight w:val="none"/>
                      <w:u w:val="none"/>
                      <w:lang w:val="en-US" w:eastAsia="zh-CN" w:bidi="ar"/>
                    </w:rPr>
                    <w:t>空气采样器</w:t>
                  </w:r>
                  <w:r>
                    <w:rPr>
                      <w:rFonts w:hint="default" w:ascii="Times New Roman" w:hAnsi="Times New Roman" w:eastAsia="宋体" w:cs="Times New Roman"/>
                      <w:i w:val="0"/>
                      <w:color w:val="000000"/>
                      <w:kern w:val="0"/>
                      <w:sz w:val="21"/>
                      <w:szCs w:val="21"/>
                      <w:highlight w:val="none"/>
                      <w:u w:val="none"/>
                      <w:lang w:val="en-US" w:eastAsia="zh-CN" w:bidi="ar"/>
                    </w:rPr>
                    <w:t>/</w:t>
                  </w:r>
                  <w:r>
                    <w:rPr>
                      <w:rFonts w:hint="eastAsia" w:ascii="Times New Roman" w:hAnsi="Times New Roman" w:cs="Times New Roman"/>
                      <w:i w:val="0"/>
                      <w:color w:val="000000"/>
                      <w:kern w:val="0"/>
                      <w:sz w:val="21"/>
                      <w:szCs w:val="21"/>
                      <w:highlight w:val="none"/>
                      <w:u w:val="none"/>
                      <w:lang w:val="en-US" w:eastAsia="zh-CN" w:bidi="ar"/>
                    </w:rPr>
                    <w:t>KC-64D</w:t>
                  </w:r>
                  <w:r>
                    <w:rPr>
                      <w:rFonts w:hint="default" w:ascii="Times New Roman" w:hAnsi="Times New Roman" w:eastAsia="宋体" w:cs="Times New Roman"/>
                      <w:i w:val="0"/>
                      <w:color w:val="000000"/>
                      <w:kern w:val="0"/>
                      <w:sz w:val="21"/>
                      <w:szCs w:val="21"/>
                      <w:highlight w:val="none"/>
                      <w:u w:val="none"/>
                      <w:lang w:val="en-US" w:eastAsia="zh-CN" w:bidi="ar"/>
                    </w:rPr>
                    <w:t>/KXYQ-0</w:t>
                  </w:r>
                  <w:r>
                    <w:rPr>
                      <w:rFonts w:hint="eastAsia" w:ascii="Times New Roman" w:hAnsi="Times New Roman" w:cs="Times New Roman"/>
                      <w:i w:val="0"/>
                      <w:color w:val="000000"/>
                      <w:kern w:val="0"/>
                      <w:sz w:val="21"/>
                      <w:szCs w:val="21"/>
                      <w:highlight w:val="none"/>
                      <w:u w:val="none"/>
                      <w:lang w:val="en-US" w:eastAsia="zh-CN" w:bidi="ar"/>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p>
              </w:tc>
              <w:tc>
                <w:tcPr>
                  <w:tcW w:w="3869" w:type="dxa"/>
                  <w:vMerge w:val="continue"/>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color w:val="auto"/>
                      <w:szCs w:val="21"/>
                      <w:highlight w:val="none"/>
                      <w:lang w:val="en-US" w:eastAsia="zh-CN"/>
                    </w:rPr>
                  </w:pPr>
                </w:p>
              </w:tc>
              <w:tc>
                <w:tcPr>
                  <w:tcW w:w="36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微分测汞仪</w:t>
                  </w:r>
                  <w:r>
                    <w:rPr>
                      <w:rFonts w:hint="default" w:ascii="Times New Roman" w:hAnsi="Times New Roman" w:eastAsia="宋体" w:cs="Times New Roman"/>
                      <w:i w:val="0"/>
                      <w:color w:val="000000"/>
                      <w:kern w:val="0"/>
                      <w:sz w:val="21"/>
                      <w:szCs w:val="21"/>
                      <w:u w:val="none"/>
                      <w:lang w:val="en-US" w:eastAsia="zh-CN" w:bidi="ar"/>
                    </w:rPr>
                    <w:t>/WCG-208/KXYQ-00</w:t>
                  </w:r>
                  <w:r>
                    <w:rPr>
                      <w:rFonts w:hint="eastAsia" w:ascii="Times New Roman" w:hAnsi="Times New Roman" w:cs="Times New Roman"/>
                      <w:i w:val="0"/>
                      <w:color w:val="000000"/>
                      <w:kern w:val="0"/>
                      <w:sz w:val="21"/>
                      <w:szCs w:val="21"/>
                      <w:u w:val="none"/>
                      <w:lang w:val="en-US" w:eastAsia="zh-CN" w:bidi="ar"/>
                    </w:rPr>
                    <w:t>3</w:t>
                  </w:r>
                </w:p>
              </w:tc>
            </w:tr>
          </w:tbl>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eastAsia="黑体"/>
                <w:b w:val="0"/>
                <w:bCs w:val="0"/>
                <w:color w:val="auto"/>
                <w:highlight w:val="none"/>
                <w:lang w:val="en-US" w:eastAsia="zh-CN"/>
              </w:rPr>
            </w:pPr>
            <w:r>
              <w:rPr>
                <w:rFonts w:hint="eastAsia"/>
                <w:b w:val="0"/>
                <w:bCs w:val="0"/>
                <w:color w:val="auto"/>
                <w:highlight w:val="none"/>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5-</w:t>
            </w:r>
            <w:r>
              <w:rPr>
                <w:rFonts w:hint="eastAsia" w:ascii="Times New Roman" w:hAnsi="Times New Roman" w:cs="Times New Roman"/>
                <w:b w:val="0"/>
                <w:bCs w:val="0"/>
                <w:color w:val="auto"/>
                <w:highlight w:val="none"/>
                <w:lang w:val="en-US" w:eastAsia="zh-CN"/>
              </w:rPr>
              <w:t>3</w:t>
            </w:r>
            <w:r>
              <w:rPr>
                <w:b w:val="0"/>
                <w:bCs w:val="0"/>
                <w:color w:val="auto"/>
                <w:highlight w:val="none"/>
              </w:rPr>
              <w:t xml:space="preserve"> </w:t>
            </w:r>
            <w:r>
              <w:rPr>
                <w:rFonts w:hint="eastAsia"/>
                <w:b w:val="0"/>
                <w:bCs w:val="0"/>
                <w:color w:val="auto"/>
                <w:highlight w:val="none"/>
                <w:lang w:val="en-US" w:eastAsia="zh-CN"/>
              </w:rPr>
              <w:t>厂界噪声</w:t>
            </w:r>
            <w:r>
              <w:rPr>
                <w:rFonts w:hint="eastAsia"/>
                <w:b w:val="0"/>
                <w:bCs w:val="0"/>
                <w:color w:val="auto"/>
                <w:highlight w:val="none"/>
              </w:rPr>
              <w:t>监测分析方法</w:t>
            </w:r>
            <w:r>
              <w:rPr>
                <w:rFonts w:hint="eastAsia"/>
                <w:b w:val="0"/>
                <w:bCs w:val="0"/>
                <w:color w:val="auto"/>
                <w:highlight w:val="none"/>
                <w:lang w:val="en-US" w:eastAsia="zh-CN"/>
              </w:rPr>
              <w:t>及仪器</w:t>
            </w:r>
          </w:p>
          <w:tbl>
            <w:tblPr>
              <w:tblStyle w:val="2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3869"/>
              <w:gridCol w:w="3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2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z w:val="21"/>
                      <w:szCs w:val="21"/>
                      <w:lang w:eastAsia="zh-CN"/>
                    </w:rPr>
                    <w:t>检测项目</w:t>
                  </w:r>
                </w:p>
              </w:tc>
              <w:tc>
                <w:tcPr>
                  <w:tcW w:w="3869"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pacing w:val="0"/>
                      <w:sz w:val="21"/>
                      <w:szCs w:val="21"/>
                      <w:lang w:eastAsia="zh-CN"/>
                    </w:rPr>
                    <w:t>检测方法名称及标准号</w:t>
                  </w:r>
                </w:p>
              </w:tc>
              <w:tc>
                <w:tcPr>
                  <w:tcW w:w="36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spacing w:val="0"/>
                      <w:sz w:val="21"/>
                      <w:szCs w:val="21"/>
                      <w:lang w:eastAsia="zh-CN"/>
                    </w:rPr>
                    <w:t>仪器名称</w:t>
                  </w:r>
                  <w:r>
                    <w:rPr>
                      <w:rFonts w:hint="default" w:ascii="Times New Roman" w:hAnsi="Times New Roman" w:eastAsia="宋体" w:cs="Times New Roman"/>
                      <w:b/>
                      <w:bCs/>
                      <w:color w:val="auto"/>
                      <w:spacing w:val="0"/>
                      <w:sz w:val="21"/>
                      <w:szCs w:val="21"/>
                      <w:lang w:val="en-US" w:eastAsia="zh-CN"/>
                    </w:rPr>
                    <w:t>/仪器</w:t>
                  </w:r>
                  <w:r>
                    <w:rPr>
                      <w:rFonts w:hint="default" w:ascii="Times New Roman" w:hAnsi="Times New Roman" w:eastAsia="宋体" w:cs="Times New Roman"/>
                      <w:b/>
                      <w:bCs/>
                      <w:color w:val="auto"/>
                      <w:spacing w:val="0"/>
                      <w:sz w:val="21"/>
                      <w:szCs w:val="21"/>
                      <w:lang w:eastAsia="zh-CN"/>
                    </w:rPr>
                    <w:t>型号</w:t>
                  </w:r>
                  <w:r>
                    <w:rPr>
                      <w:rFonts w:hint="default" w:ascii="Times New Roman" w:hAnsi="Times New Roman" w:eastAsia="宋体" w:cs="Times New Roman"/>
                      <w:b/>
                      <w:bCs/>
                      <w:color w:val="auto"/>
                      <w:spacing w:val="0"/>
                      <w:sz w:val="21"/>
                      <w:szCs w:val="21"/>
                      <w:lang w:val="en-US" w:eastAsia="zh-CN"/>
                    </w:rPr>
                    <w:t>/仪器编号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32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b w:val="0"/>
                      <w:bCs/>
                      <w:color w:val="auto"/>
                      <w:sz w:val="21"/>
                      <w:szCs w:val="21"/>
                      <w:highlight w:val="none"/>
                    </w:rPr>
                  </w:pPr>
                  <w:r>
                    <w:rPr>
                      <w:rFonts w:hint="default" w:ascii="Times New Roman" w:hAnsi="Times New Roman" w:eastAsia="宋体" w:cs="Times New Roman"/>
                      <w:kern w:val="2"/>
                      <w:sz w:val="21"/>
                      <w:szCs w:val="21"/>
                      <w:lang w:val="en-US" w:eastAsia="zh-CN" w:bidi="ar-SA"/>
                    </w:rPr>
                    <w:t>噪声</w:t>
                  </w:r>
                </w:p>
              </w:tc>
              <w:tc>
                <w:tcPr>
                  <w:tcW w:w="3869"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kern w:val="2"/>
                      <w:sz w:val="21"/>
                      <w:szCs w:val="21"/>
                      <w:highlight w:val="none"/>
                      <w:lang w:val="en-US" w:eastAsia="zh-CN" w:bidi="ar-SA"/>
                    </w:rPr>
                    <w:t>工业企业厂界环境噪声排放标准GB12348-2008</w:t>
                  </w:r>
                </w:p>
              </w:tc>
              <w:tc>
                <w:tcPr>
                  <w:tcW w:w="36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spacing w:val="0"/>
                      <w:sz w:val="21"/>
                      <w:szCs w:val="21"/>
                      <w:highlight w:val="none"/>
                      <w:lang w:val="en-US" w:eastAsia="zh-CN"/>
                    </w:rPr>
                    <w:t>多功能声级/AWA6228/KXYQ-052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2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3869"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color w:val="auto"/>
                      <w:szCs w:val="21"/>
                      <w:highlight w:val="none"/>
                      <w:lang w:val="en-US" w:eastAsia="zh-CN"/>
                    </w:rPr>
                  </w:pPr>
                </w:p>
              </w:tc>
              <w:tc>
                <w:tcPr>
                  <w:tcW w:w="361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spacing w:val="0"/>
                      <w:kern w:val="2"/>
                      <w:sz w:val="21"/>
                      <w:szCs w:val="21"/>
                      <w:lang w:val="en-US" w:eastAsia="zh-CN" w:bidi="ar-SA"/>
                    </w:rPr>
                    <w:t>声校准器/HS6020/KXYQ-062</w:t>
                  </w:r>
                </w:p>
              </w:tc>
            </w:tr>
          </w:tbl>
          <w:p>
            <w:pPr>
              <w:bidi w:val="0"/>
              <w:rPr>
                <w:rFonts w:hint="eastAsia"/>
                <w:b/>
                <w:bCs/>
                <w:color w:val="auto"/>
                <w:sz w:val="28"/>
                <w:szCs w:val="36"/>
                <w:highlight w:val="none"/>
              </w:rPr>
            </w:pPr>
            <w:r>
              <w:rPr>
                <w:rFonts w:hint="eastAsia"/>
                <w:b/>
                <w:bCs/>
                <w:color w:val="auto"/>
                <w:sz w:val="28"/>
                <w:szCs w:val="36"/>
                <w:highlight w:val="none"/>
                <w:lang w:eastAsia="zh-CN"/>
              </w:rPr>
              <w:t>三、</w:t>
            </w:r>
            <w:r>
              <w:rPr>
                <w:rFonts w:hint="eastAsia"/>
                <w:b/>
                <w:bCs/>
                <w:color w:val="auto"/>
                <w:sz w:val="28"/>
                <w:szCs w:val="36"/>
                <w:highlight w:val="none"/>
              </w:rPr>
              <w:t>验收监测质量保证</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人员资质</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检测人员经过专业技术培训，并按照《环境监测人员持证上岗考核制度》要求持证上岗。</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检测人员能正确熟练地掌握环境监测中操作技术和质量控制程序，熟知有关环境监测的法规、标准和规定。</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检测人员对所承担的分析测试项目熟悉方法原理、严守操作规程，能保证操作的准确无误。</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噪声监测分析过程中的质量保证和质量控制</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声级计在测试前后用声校准器进行校准，测量前后仪器的灵敏度相差小于0.5dB。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项目边界噪声监测结果按《环境噪声监测技术规范噪声测量值修正》（HJ 706-2014 )的要求进行评价，对于只需判断噪声源排放是否达标的情况，若噪声测量值低于相应噪声源排放标准的限值，可以不进行背景噪声的测量及修正。本项目监测数据和报告严格执行三级审核制度，经过校对、校核，最后由技术负责人审定，所有监测数据准确无误。</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气体监测分析过程中的质量保证和质量控制</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气验收监测质量控制与质量保证按照《固定源废气监测技术规范》（HJ/T397-2007）、《固定污染源监测质量保证与质量控制技术规范（试行）》（HJ/T373-2007）、《大气污染物无组织排放监测技术导则》（HJ/T55-2000）中有关规定执行。尽量避免被测排放物中共存污染物因子对仪器分析的交叉干扰。对采样仪器的流量计定期进行校准。</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、废气监测分析过程中的质量保证和质量控制</w:t>
            </w:r>
          </w:p>
          <w:p>
            <w:pPr>
              <w:pStyle w:val="1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本项目废气测定过程中，采用平行样检测等方法进行质量控制。</w:t>
            </w:r>
          </w:p>
          <w:p>
            <w:pPr>
              <w:rPr>
                <w:rFonts w:hint="default" w:ascii="Times New Roman" w:hAnsi="Times New Roman" w:eastAsia="宋体" w:cs="Times New Roman"/>
                <w:color w:val="auto"/>
                <w:sz w:val="24"/>
                <w:szCs w:val="24"/>
                <w:highlight w:val="none"/>
              </w:rPr>
            </w:pPr>
          </w:p>
          <w:p>
            <w:pPr>
              <w:pStyle w:val="27"/>
              <w:jc w:val="both"/>
              <w:rPr>
                <w:rFonts w:hint="default"/>
              </w:rPr>
            </w:pPr>
          </w:p>
        </w:tc>
      </w:tr>
    </w:tbl>
    <w:p>
      <w:pPr>
        <w:rPr>
          <w:rFonts w:hint="eastAsia" w:ascii="宋体" w:hAnsi="宋体" w:eastAsia="宋体" w:cs="宋体"/>
          <w:b/>
          <w:color w:val="auto"/>
          <w:sz w:val="28"/>
          <w:szCs w:val="28"/>
          <w:highlight w:val="none"/>
        </w:rPr>
      </w:pPr>
      <w:bookmarkStart w:id="25" w:name="_Toc9054"/>
      <w:bookmarkStart w:id="26" w:name="_Toc5955"/>
      <w:r>
        <w:rPr>
          <w:rFonts w:hint="eastAsia" w:ascii="宋体" w:hAnsi="宋体" w:eastAsia="宋体" w:cs="宋体"/>
          <w:b/>
          <w:color w:val="auto"/>
          <w:sz w:val="28"/>
          <w:szCs w:val="28"/>
          <w:highlight w:val="none"/>
        </w:rPr>
        <w:br w:type="page"/>
      </w:r>
    </w:p>
    <w:p>
      <w:pPr>
        <w:spacing w:after="0" w:afterLines="0" w:line="360" w:lineRule="auto"/>
        <w:outlineLvl w:val="0"/>
        <w:rPr>
          <w:rFonts w:hint="eastAsia" w:ascii="仿宋" w:hAnsi="仿宋" w:eastAsia="仿宋" w:cs="仿宋"/>
          <w:b/>
          <w:color w:val="auto"/>
          <w:sz w:val="28"/>
          <w:szCs w:val="28"/>
          <w:highlight w:val="none"/>
        </w:rPr>
      </w:pPr>
      <w:r>
        <w:rPr>
          <w:rFonts w:hint="eastAsia" w:ascii="宋体" w:hAnsi="宋体" w:eastAsia="宋体" w:cs="宋体"/>
          <w:b/>
          <w:color w:val="auto"/>
          <w:sz w:val="28"/>
          <w:szCs w:val="28"/>
          <w:highlight w:val="none"/>
        </w:rPr>
        <w:t>表六</w:t>
      </w:r>
      <w:r>
        <w:rPr>
          <w:rFonts w:hint="eastAsia" w:ascii="宋体" w:hAnsi="宋体" w:eastAsia="宋体" w:cs="宋体"/>
          <w:b/>
          <w:color w:val="auto"/>
          <w:sz w:val="28"/>
          <w:szCs w:val="28"/>
          <w:highlight w:val="none"/>
          <w:lang w:val="en-US" w:eastAsia="zh-CN"/>
        </w:rPr>
        <w:t xml:space="preserve"> 验收监测内容</w:t>
      </w:r>
      <w:bookmarkEnd w:id="25"/>
      <w:bookmarkEnd w:id="26"/>
    </w:p>
    <w:tbl>
      <w:tblPr>
        <w:tblStyle w:val="22"/>
        <w:tblW w:w="9000"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9" w:hRule="atLeast"/>
        </w:trPr>
        <w:tc>
          <w:tcPr>
            <w:tcW w:w="9000" w:type="dxa"/>
          </w:tcPr>
          <w:p>
            <w:pPr>
              <w:bidi w:val="0"/>
              <w:spacing w:line="360" w:lineRule="auto"/>
              <w:rPr>
                <w:rFonts w:hint="default" w:ascii="Times New Roman" w:hAnsi="Times New Roman" w:cs="Times New Roman" w:eastAsiaTheme="minorEastAsia"/>
                <w:color w:val="auto"/>
                <w:lang w:val="en-US" w:eastAsia="zh-CN"/>
              </w:rPr>
            </w:pPr>
            <w:r>
              <w:rPr>
                <w:rFonts w:hint="default" w:ascii="Times New Roman" w:hAnsi="Times New Roman" w:cs="Times New Roman"/>
                <w:b/>
                <w:bCs/>
                <w:color w:val="auto"/>
                <w:sz w:val="28"/>
                <w:szCs w:val="28"/>
              </w:rPr>
              <w:t>验收监测内容</w:t>
            </w:r>
            <w:r>
              <w:rPr>
                <w:rFonts w:hint="default" w:ascii="Times New Roman" w:hAnsi="Times New Roman" w:cs="Times New Roman"/>
                <w:b/>
                <w:bCs/>
                <w:color w:val="auto"/>
                <w:sz w:val="28"/>
                <w:szCs w:val="28"/>
                <w:lang w:val="en-US" w:eastAsia="zh-CN"/>
              </w:rPr>
              <w:t>如下：</w:t>
            </w:r>
          </w:p>
          <w:p>
            <w:pPr>
              <w:bidi w:val="0"/>
              <w:spacing w:line="360" w:lineRule="auto"/>
              <w:rPr>
                <w:rFonts w:hint="default" w:ascii="Times New Roman" w:hAnsi="Times New Roman" w:cs="Times New Roman"/>
                <w:color w:val="auto"/>
              </w:rPr>
            </w:pPr>
            <w:r>
              <w:rPr>
                <w:rFonts w:hint="default" w:ascii="Times New Roman" w:hAnsi="Times New Roman" w:cs="Times New Roman"/>
                <w:b/>
                <w:bCs/>
                <w:color w:val="auto"/>
                <w:sz w:val="24"/>
                <w:szCs w:val="24"/>
                <w:lang w:eastAsia="zh-CN"/>
              </w:rPr>
              <w:t>一、废气</w:t>
            </w:r>
            <w:r>
              <w:rPr>
                <w:rFonts w:hint="default" w:ascii="Times New Roman" w:hAnsi="Times New Roman" w:cs="Times New Roman"/>
                <w:b/>
                <w:bCs/>
                <w:color w:val="auto"/>
                <w:sz w:val="24"/>
                <w:szCs w:val="24"/>
              </w:rPr>
              <w:t>验收监测内容</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rPr>
            </w:pPr>
            <w:bookmarkStart w:id="27" w:name="_Toc14844"/>
            <w:bookmarkStart w:id="28" w:name="_Toc6824"/>
            <w:bookmarkStart w:id="29" w:name="_Toc295467210"/>
            <w:bookmarkStart w:id="30" w:name="_Toc145923959"/>
            <w:bookmarkStart w:id="31" w:name="_Toc116952706"/>
            <w:bookmarkStart w:id="32" w:name="_Toc113674651"/>
            <w:bookmarkStart w:id="33" w:name="_Toc113675808"/>
            <w:bookmarkStart w:id="34" w:name="_Toc336502638"/>
            <w:bookmarkStart w:id="35" w:name="_Toc117141405"/>
            <w:bookmarkStart w:id="36" w:name="_Toc143657500"/>
            <w:bookmarkStart w:id="37" w:name="_Toc114640580"/>
            <w:bookmarkStart w:id="38" w:name="_Toc145901441"/>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6-1</w:t>
            </w:r>
            <w:r>
              <w:rPr>
                <w:rFonts w:hint="default" w:ascii="Times New Roman" w:hAnsi="Times New Roman" w:cs="Times New Roman"/>
                <w:color w:val="auto"/>
              </w:rPr>
              <w:t xml:space="preserve"> 废气排放验收监测内容</w:t>
            </w:r>
            <w:bookmarkEnd w:id="27"/>
            <w:bookmarkEnd w:id="28"/>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2415"/>
              <w:gridCol w:w="1678"/>
              <w:gridCol w:w="1419"/>
              <w:gridCol w:w="18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污染源名称</w:t>
                  </w:r>
                </w:p>
              </w:tc>
              <w:tc>
                <w:tcPr>
                  <w:tcW w:w="1375"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监测点位</w:t>
                  </w:r>
                </w:p>
              </w:tc>
              <w:tc>
                <w:tcPr>
                  <w:tcW w:w="955"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监测项目</w:t>
                  </w:r>
                </w:p>
              </w:tc>
              <w:tc>
                <w:tcPr>
                  <w:tcW w:w="808"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监测频次</w:t>
                  </w:r>
                </w:p>
              </w:tc>
              <w:tc>
                <w:tcPr>
                  <w:tcW w:w="1043"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pct"/>
                  <w:tcBorders>
                    <w:tl2br w:val="nil"/>
                    <w:tr2bl w:val="nil"/>
                  </w:tcBorders>
                  <w:vAlign w:val="center"/>
                </w:tcPr>
                <w:p>
                  <w:pPr>
                    <w:bidi w:val="0"/>
                    <w:spacing w:line="240" w:lineRule="auto"/>
                    <w:jc w:val="center"/>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锅炉</w:t>
                  </w:r>
                  <w:r>
                    <w:rPr>
                      <w:rFonts w:hint="default" w:ascii="Times New Roman" w:hAnsi="Times New Roman" w:cs="Times New Roman"/>
                      <w:color w:val="auto"/>
                      <w:lang w:eastAsia="zh-CN"/>
                    </w:rPr>
                    <w:t>烟囱</w:t>
                  </w:r>
                </w:p>
              </w:tc>
              <w:tc>
                <w:tcPr>
                  <w:tcW w:w="1375" w:type="pct"/>
                  <w:tcBorders>
                    <w:tl2br w:val="nil"/>
                    <w:tr2bl w:val="nil"/>
                  </w:tcBorders>
                  <w:vAlign w:val="center"/>
                </w:tcPr>
                <w:p>
                  <w:pPr>
                    <w:bidi w:val="0"/>
                    <w:spacing w:line="240" w:lineRule="auto"/>
                    <w:jc w:val="center"/>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锅炉</w:t>
                  </w:r>
                  <w:r>
                    <w:rPr>
                      <w:rFonts w:hint="default" w:ascii="Times New Roman" w:hAnsi="Times New Roman" w:cs="Times New Roman"/>
                      <w:color w:val="auto"/>
                      <w:lang w:eastAsia="zh-CN"/>
                    </w:rPr>
                    <w:t>布袋除尘器后设置一个监测点</w:t>
                  </w:r>
                </w:p>
              </w:tc>
              <w:tc>
                <w:tcPr>
                  <w:tcW w:w="955" w:type="pct"/>
                  <w:tcBorders>
                    <w:tl2br w:val="nil"/>
                    <w:tr2bl w:val="nil"/>
                  </w:tcBorders>
                  <w:vAlign w:val="center"/>
                </w:tcPr>
                <w:p>
                  <w:pPr>
                    <w:keepNext w:val="0"/>
                    <w:keepLines w:val="0"/>
                    <w:widowControl/>
                    <w:suppressLineNumbers w:val="0"/>
                    <w:jc w:val="left"/>
                    <w:rPr>
                      <w:rFonts w:hint="default" w:ascii="Times New Roman" w:hAnsi="Times New Roman" w:cs="Times New Roman"/>
                      <w:color w:val="auto"/>
                      <w:lang w:eastAsia="zh-CN"/>
                    </w:rPr>
                  </w:pPr>
                  <w:r>
                    <w:rPr>
                      <w:rFonts w:hint="default"/>
                      <w:color w:val="auto"/>
                      <w:sz w:val="21"/>
                      <w:szCs w:val="21"/>
                      <w:highlight w:val="none"/>
                      <w:vertAlign w:val="baseline"/>
                      <w:lang w:val="en-US" w:eastAsia="zh-CN"/>
                    </w:rPr>
                    <w:t>SO</w:t>
                  </w:r>
                  <w:r>
                    <w:rPr>
                      <w:rFonts w:hint="default"/>
                      <w:color w:val="auto"/>
                      <w:sz w:val="21"/>
                      <w:szCs w:val="21"/>
                      <w:highlight w:val="none"/>
                      <w:vertAlign w:val="subscript"/>
                      <w:lang w:val="en-US" w:eastAsia="zh-CN"/>
                    </w:rPr>
                    <w:t>2</w:t>
                  </w:r>
                  <w:r>
                    <w:rPr>
                      <w:rFonts w:hint="default"/>
                      <w:color w:val="auto"/>
                      <w:sz w:val="21"/>
                      <w:szCs w:val="21"/>
                      <w:highlight w:val="none"/>
                      <w:vertAlign w:val="baseline"/>
                      <w:lang w:val="en-US" w:eastAsia="zh-CN"/>
                    </w:rPr>
                    <w:t>、</w:t>
                  </w:r>
                  <w:r>
                    <w:rPr>
                      <w:rFonts w:hint="eastAsia"/>
                      <w:color w:val="auto"/>
                      <w:sz w:val="21"/>
                      <w:szCs w:val="21"/>
                      <w:highlight w:val="none"/>
                      <w:vertAlign w:val="baseline"/>
                      <w:lang w:val="en-US" w:eastAsia="zh-CN"/>
                    </w:rPr>
                    <w:t>颗粒物</w:t>
                  </w:r>
                  <w:r>
                    <w:rPr>
                      <w:rFonts w:hint="default"/>
                      <w:color w:val="auto"/>
                      <w:sz w:val="21"/>
                      <w:szCs w:val="21"/>
                      <w:highlight w:val="none"/>
                      <w:vertAlign w:val="baseline"/>
                      <w:lang w:val="en-US" w:eastAsia="zh-CN"/>
                    </w:rPr>
                    <w:t>、NOx、</w:t>
                  </w:r>
                  <w:r>
                    <w:rPr>
                      <w:rFonts w:hint="eastAsia" w:cstheme="minorBidi"/>
                      <w:bCs/>
                      <w:color w:val="auto"/>
                      <w:kern w:val="0"/>
                      <w:sz w:val="21"/>
                      <w:szCs w:val="21"/>
                      <w:highlight w:val="none"/>
                      <w:lang w:val="en-US" w:eastAsia="zh-CN" w:bidi="en-US"/>
                    </w:rPr>
                    <w:t>汞及其化合物</w:t>
                  </w:r>
                  <w:r>
                    <w:rPr>
                      <w:rFonts w:hint="eastAsia"/>
                      <w:color w:val="auto"/>
                      <w:sz w:val="21"/>
                      <w:szCs w:val="21"/>
                      <w:highlight w:val="none"/>
                      <w:vertAlign w:val="baseline"/>
                      <w:lang w:val="en-US" w:eastAsia="zh-CN"/>
                    </w:rPr>
                    <w:t>、烟气黑度</w:t>
                  </w:r>
                </w:p>
              </w:tc>
              <w:tc>
                <w:tcPr>
                  <w:tcW w:w="808" w:type="pct"/>
                  <w:tcBorders>
                    <w:tl2br w:val="nil"/>
                    <w:tr2bl w:val="nil"/>
                  </w:tcBorders>
                  <w:vAlign w:val="center"/>
                </w:tcPr>
                <w:p>
                  <w:pPr>
                    <w:bidi w:val="0"/>
                    <w:spacing w:line="240" w:lineRule="auto"/>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连续2天，每天</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次</w:t>
                  </w:r>
                </w:p>
              </w:tc>
              <w:tc>
                <w:tcPr>
                  <w:tcW w:w="1043"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pct"/>
                  <w:vMerge w:val="restar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无组织</w:t>
                  </w:r>
                  <w:r>
                    <w:rPr>
                      <w:rFonts w:hint="default" w:ascii="Times New Roman" w:hAnsi="Times New Roman" w:cs="Times New Roman"/>
                      <w:color w:val="auto"/>
                      <w:lang w:eastAsia="zh-CN"/>
                    </w:rPr>
                    <w:t>废气</w:t>
                  </w:r>
                </w:p>
              </w:tc>
              <w:tc>
                <w:tcPr>
                  <w:tcW w:w="1375" w:type="pct"/>
                  <w:vMerge w:val="restar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厂界上风向设置1个参照点，下风向设置</w:t>
                  </w:r>
                  <w:r>
                    <w:rPr>
                      <w:rFonts w:hint="default" w:ascii="Times New Roman" w:hAnsi="Times New Roman" w:cs="Times New Roman"/>
                      <w:color w:val="auto"/>
                      <w:lang w:val="en-US" w:eastAsia="zh-CN"/>
                    </w:rPr>
                    <w:t>3</w:t>
                  </w:r>
                  <w:r>
                    <w:rPr>
                      <w:rFonts w:hint="default" w:ascii="Times New Roman" w:hAnsi="Times New Roman" w:cs="Times New Roman"/>
                      <w:color w:val="auto"/>
                    </w:rPr>
                    <w:t>个监控点</w:t>
                  </w:r>
                </w:p>
              </w:tc>
              <w:tc>
                <w:tcPr>
                  <w:tcW w:w="955"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颗粒物</w:t>
                  </w:r>
                </w:p>
              </w:tc>
              <w:tc>
                <w:tcPr>
                  <w:tcW w:w="808" w:type="pct"/>
                  <w:vMerge w:val="restar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连续2天，每天</w:t>
                  </w:r>
                  <w:r>
                    <w:rPr>
                      <w:rFonts w:hint="default" w:ascii="Times New Roman" w:hAnsi="Times New Roman" w:cs="Times New Roman"/>
                      <w:color w:val="auto"/>
                      <w:lang w:val="en-US" w:eastAsia="zh-CN"/>
                    </w:rPr>
                    <w:t>3</w:t>
                  </w:r>
                  <w:r>
                    <w:rPr>
                      <w:rFonts w:hint="default" w:ascii="Times New Roman" w:hAnsi="Times New Roman" w:cs="Times New Roman"/>
                      <w:color w:val="auto"/>
                    </w:rPr>
                    <w:t>次</w:t>
                  </w:r>
                </w:p>
              </w:tc>
              <w:tc>
                <w:tcPr>
                  <w:tcW w:w="1043" w:type="pct"/>
                  <w:vMerge w:val="restar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rPr>
                    <w:t>同步监测气温、气压、风向、风力等气象参数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pct"/>
                  <w:vMerge w:val="continue"/>
                  <w:tcBorders>
                    <w:tl2br w:val="nil"/>
                    <w:tr2bl w:val="nil"/>
                  </w:tcBorders>
                  <w:vAlign w:val="center"/>
                </w:tcPr>
                <w:p>
                  <w:pPr>
                    <w:bidi w:val="0"/>
                    <w:spacing w:line="240" w:lineRule="auto"/>
                    <w:jc w:val="center"/>
                    <w:rPr>
                      <w:rFonts w:hint="default" w:ascii="Times New Roman" w:hAnsi="Times New Roman" w:cs="Times New Roman"/>
                      <w:color w:val="auto"/>
                    </w:rPr>
                  </w:pPr>
                </w:p>
              </w:tc>
              <w:tc>
                <w:tcPr>
                  <w:tcW w:w="1375" w:type="pct"/>
                  <w:vMerge w:val="continue"/>
                  <w:tcBorders>
                    <w:tl2br w:val="nil"/>
                    <w:tr2bl w:val="nil"/>
                  </w:tcBorders>
                  <w:vAlign w:val="center"/>
                </w:tcPr>
                <w:p>
                  <w:pPr>
                    <w:bidi w:val="0"/>
                    <w:spacing w:line="240" w:lineRule="auto"/>
                    <w:jc w:val="center"/>
                    <w:rPr>
                      <w:rFonts w:hint="default" w:ascii="Times New Roman" w:hAnsi="Times New Roman" w:cs="Times New Roman"/>
                      <w:color w:val="auto"/>
                    </w:rPr>
                  </w:pPr>
                </w:p>
              </w:tc>
              <w:tc>
                <w:tcPr>
                  <w:tcW w:w="955" w:type="pct"/>
                  <w:tcBorders>
                    <w:tl2br w:val="nil"/>
                    <w:tr2bl w:val="nil"/>
                  </w:tcBorders>
                  <w:vAlign w:val="center"/>
                </w:tcPr>
                <w:p>
                  <w:pPr>
                    <w:bidi w:val="0"/>
                    <w:spacing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氨</w:t>
                  </w:r>
                </w:p>
              </w:tc>
              <w:tc>
                <w:tcPr>
                  <w:tcW w:w="808" w:type="pct"/>
                  <w:vMerge w:val="continue"/>
                  <w:tcBorders>
                    <w:tl2br w:val="nil"/>
                    <w:tr2bl w:val="nil"/>
                  </w:tcBorders>
                  <w:vAlign w:val="center"/>
                </w:tcPr>
                <w:p>
                  <w:pPr>
                    <w:bidi w:val="0"/>
                    <w:spacing w:line="240" w:lineRule="auto"/>
                    <w:jc w:val="center"/>
                    <w:rPr>
                      <w:rFonts w:hint="default" w:ascii="Times New Roman" w:hAnsi="Times New Roman" w:cs="Times New Roman"/>
                      <w:color w:val="auto"/>
                    </w:rPr>
                  </w:pPr>
                </w:p>
              </w:tc>
              <w:tc>
                <w:tcPr>
                  <w:tcW w:w="1043" w:type="pct"/>
                  <w:vMerge w:val="continue"/>
                  <w:tcBorders>
                    <w:tl2br w:val="nil"/>
                    <w:tr2bl w:val="nil"/>
                  </w:tcBorders>
                  <w:vAlign w:val="center"/>
                </w:tcPr>
                <w:p>
                  <w:pPr>
                    <w:bidi w:val="0"/>
                    <w:spacing w:line="240" w:lineRule="auto"/>
                    <w:jc w:val="center"/>
                    <w:rPr>
                      <w:rFonts w:hint="default" w:ascii="Times New Roman" w:hAnsi="Times New Roman" w:cs="Times New Roman"/>
                      <w:color w:val="auto"/>
                    </w:rPr>
                  </w:pP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cs="Times New Roman"/>
                <w:color w:val="auto"/>
              </w:rPr>
            </w:pPr>
            <w:r>
              <w:rPr>
                <w:rFonts w:hint="default" w:ascii="Times New Roman" w:hAnsi="Times New Roman" w:cs="Times New Roman"/>
                <w:b/>
                <w:bCs/>
                <w:color w:val="auto"/>
                <w:sz w:val="24"/>
                <w:szCs w:val="24"/>
                <w:lang w:eastAsia="zh-CN"/>
              </w:rPr>
              <w:t>二、</w:t>
            </w:r>
            <w:r>
              <w:rPr>
                <w:rFonts w:hint="default" w:ascii="Times New Roman" w:hAnsi="Times New Roman" w:cs="Times New Roman"/>
                <w:b/>
                <w:bCs/>
                <w:color w:val="auto"/>
                <w:sz w:val="24"/>
                <w:szCs w:val="24"/>
              </w:rPr>
              <w:t>噪声验收监测内容</w:t>
            </w:r>
            <w:bookmarkEnd w:id="29"/>
            <w:bookmarkEnd w:id="30"/>
            <w:bookmarkEnd w:id="31"/>
            <w:bookmarkEnd w:id="32"/>
            <w:bookmarkEnd w:id="33"/>
            <w:bookmarkEnd w:id="34"/>
            <w:bookmarkEnd w:id="35"/>
            <w:bookmarkEnd w:id="36"/>
            <w:bookmarkEnd w:id="37"/>
            <w:bookmarkEnd w:id="38"/>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 xml:space="preserve"> 6-2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厂界</w:t>
            </w:r>
            <w:r>
              <w:rPr>
                <w:rFonts w:hint="default" w:ascii="Times New Roman" w:hAnsi="Times New Roman" w:cs="Times New Roman"/>
                <w:color w:val="auto"/>
              </w:rPr>
              <w:t>噪声验收监测内容</w:t>
            </w:r>
          </w:p>
          <w:tbl>
            <w:tblPr>
              <w:tblStyle w:val="22"/>
              <w:tblW w:w="877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2559"/>
              <w:gridCol w:w="2251"/>
              <w:gridCol w:w="2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1" w:type="dxa"/>
                  <w:tcBorders>
                    <w:tl2br w:val="nil"/>
                    <w:tr2bl w:val="nil"/>
                  </w:tcBorders>
                  <w:vAlign w:val="center"/>
                </w:tcPr>
                <w:p>
                  <w:pPr>
                    <w:jc w:val="center"/>
                    <w:outlineLvl w:val="9"/>
                    <w:rPr>
                      <w:rFonts w:hint="default" w:ascii="Times New Roman" w:hAnsi="Times New Roman" w:cs="Times New Roman"/>
                      <w:color w:val="auto"/>
                    </w:rPr>
                  </w:pPr>
                  <w:r>
                    <w:rPr>
                      <w:rFonts w:hint="default" w:ascii="Times New Roman" w:hAnsi="Times New Roman" w:cs="Times New Roman"/>
                      <w:color w:val="auto"/>
                    </w:rPr>
                    <w:t>序号</w:t>
                  </w:r>
                </w:p>
              </w:tc>
              <w:tc>
                <w:tcPr>
                  <w:tcW w:w="2559" w:type="dxa"/>
                  <w:tcBorders>
                    <w:tl2br w:val="nil"/>
                    <w:tr2bl w:val="nil"/>
                  </w:tcBorders>
                  <w:vAlign w:val="center"/>
                </w:tcPr>
                <w:p>
                  <w:pPr>
                    <w:jc w:val="center"/>
                    <w:outlineLvl w:val="9"/>
                    <w:rPr>
                      <w:rFonts w:hint="default" w:ascii="Times New Roman" w:hAnsi="Times New Roman" w:cs="Times New Roman"/>
                      <w:color w:val="auto"/>
                    </w:rPr>
                  </w:pPr>
                  <w:r>
                    <w:rPr>
                      <w:rFonts w:hint="default" w:ascii="Times New Roman" w:hAnsi="Times New Roman" w:cs="Times New Roman"/>
                      <w:color w:val="auto"/>
                    </w:rPr>
                    <w:t>监测位置</w:t>
                  </w:r>
                </w:p>
              </w:tc>
              <w:tc>
                <w:tcPr>
                  <w:tcW w:w="2251" w:type="dxa"/>
                  <w:tcBorders>
                    <w:tl2br w:val="nil"/>
                    <w:tr2bl w:val="nil"/>
                  </w:tcBorders>
                  <w:vAlign w:val="center"/>
                </w:tcPr>
                <w:p>
                  <w:pPr>
                    <w:jc w:val="center"/>
                    <w:outlineLvl w:val="9"/>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监测项目</w:t>
                  </w:r>
                </w:p>
              </w:tc>
              <w:tc>
                <w:tcPr>
                  <w:tcW w:w="2965" w:type="dxa"/>
                  <w:tcBorders>
                    <w:tl2br w:val="nil"/>
                    <w:tr2bl w:val="nil"/>
                  </w:tcBorders>
                  <w:vAlign w:val="center"/>
                </w:tcPr>
                <w:p>
                  <w:pPr>
                    <w:jc w:val="center"/>
                    <w:outlineLvl w:val="9"/>
                    <w:rPr>
                      <w:rFonts w:hint="default" w:ascii="Times New Roman" w:hAnsi="Times New Roman" w:cs="Times New Roman"/>
                      <w:color w:val="auto"/>
                    </w:rPr>
                  </w:pPr>
                  <w:r>
                    <w:rPr>
                      <w:rFonts w:hint="default" w:ascii="Times New Roman" w:hAnsi="Times New Roman" w:cs="Times New Roman"/>
                      <w:color w:val="auto"/>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1" w:type="dxa"/>
                  <w:tcBorders>
                    <w:tl2br w:val="nil"/>
                    <w:tr2bl w:val="nil"/>
                  </w:tcBorders>
                  <w:vAlign w:val="center"/>
                </w:tcPr>
                <w:p>
                  <w:pPr>
                    <w:jc w:val="center"/>
                    <w:outlineLvl w:val="9"/>
                    <w:rPr>
                      <w:rFonts w:hint="default" w:ascii="Times New Roman" w:hAnsi="Times New Roman" w:cs="Times New Roman" w:eastAsiaTheme="minorEastAsia"/>
                      <w:color w:val="auto"/>
                      <w:lang w:val="en-US" w:eastAsia="zh-CN"/>
                    </w:rPr>
                  </w:pPr>
                  <w:r>
                    <w:rPr>
                      <w:rFonts w:hint="default" w:ascii="Times New Roman" w:hAnsi="Times New Roman" w:cs="Times New Roman"/>
                      <w:color w:val="auto"/>
                      <w:lang w:val="en-US" w:eastAsia="zh-CN"/>
                    </w:rPr>
                    <w:t>1</w:t>
                  </w:r>
                </w:p>
              </w:tc>
              <w:tc>
                <w:tcPr>
                  <w:tcW w:w="2559" w:type="dxa"/>
                  <w:tcBorders>
                    <w:tl2br w:val="nil"/>
                    <w:tr2bl w:val="nil"/>
                  </w:tcBorders>
                  <w:vAlign w:val="center"/>
                </w:tcPr>
                <w:p>
                  <w:pPr>
                    <w:jc w:val="center"/>
                    <w:outlineLvl w:val="9"/>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东侧、</w:t>
                  </w:r>
                  <w:r>
                    <w:rPr>
                      <w:rFonts w:hint="default" w:ascii="Times New Roman" w:hAnsi="Times New Roman" w:cs="Times New Roman"/>
                      <w:color w:val="auto"/>
                      <w:lang w:val="en-US" w:eastAsia="zh-CN"/>
                    </w:rPr>
                    <w:t>西侧、南侧、北侧</w:t>
                  </w:r>
                  <w:r>
                    <w:rPr>
                      <w:rFonts w:hint="default" w:ascii="Times New Roman" w:hAnsi="Times New Roman" w:cs="Times New Roman"/>
                      <w:color w:val="auto"/>
                      <w:lang w:eastAsia="zh-CN"/>
                    </w:rPr>
                    <w:t>厂界外</w:t>
                  </w:r>
                  <w:r>
                    <w:rPr>
                      <w:rFonts w:hint="default" w:ascii="Times New Roman" w:hAnsi="Times New Roman" w:cs="Times New Roman"/>
                      <w:color w:val="auto"/>
                      <w:lang w:val="en-US" w:eastAsia="zh-CN"/>
                    </w:rPr>
                    <w:t>1米</w:t>
                  </w:r>
                  <w:r>
                    <w:rPr>
                      <w:rFonts w:hint="eastAsia" w:ascii="Times New Roman" w:hAnsi="Times New Roman" w:cs="Times New Roman"/>
                      <w:color w:val="auto"/>
                      <w:lang w:val="en-US" w:eastAsia="zh-CN"/>
                    </w:rPr>
                    <w:t>共设置4个监测点</w:t>
                  </w:r>
                </w:p>
              </w:tc>
              <w:tc>
                <w:tcPr>
                  <w:tcW w:w="2251" w:type="dxa"/>
                  <w:tcBorders>
                    <w:tl2br w:val="nil"/>
                    <w:tr2bl w:val="nil"/>
                  </w:tcBorders>
                  <w:vAlign w:val="center"/>
                </w:tcPr>
                <w:p>
                  <w:pPr>
                    <w:jc w:val="center"/>
                    <w:outlineLvl w:val="9"/>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噪声</w:t>
                  </w:r>
                </w:p>
              </w:tc>
              <w:tc>
                <w:tcPr>
                  <w:tcW w:w="2965" w:type="dxa"/>
                  <w:tcBorders>
                    <w:tl2br w:val="nil"/>
                    <w:tr2bl w:val="nil"/>
                  </w:tcBorders>
                  <w:vAlign w:val="center"/>
                </w:tcPr>
                <w:p>
                  <w:pPr>
                    <w:pStyle w:val="27"/>
                    <w:jc w:val="center"/>
                    <w:outlineLvl w:val="9"/>
                    <w:rPr>
                      <w:rFonts w:hint="default" w:ascii="Times New Roman" w:hAnsi="Times New Roman" w:cs="Times New Roman"/>
                      <w:color w:val="auto"/>
                      <w:lang w:val="en-US" w:eastAsia="zh-CN"/>
                    </w:rPr>
                  </w:pPr>
                  <w:r>
                    <w:rPr>
                      <w:rFonts w:hint="default" w:ascii="Times New Roman" w:hAnsi="Times New Roman" w:cs="Times New Roman"/>
                      <w:color w:val="auto"/>
                    </w:rPr>
                    <w:t>连续2天，</w:t>
                  </w:r>
                  <w:r>
                    <w:rPr>
                      <w:rFonts w:hint="default" w:ascii="Times New Roman" w:hAnsi="Times New Roman" w:cs="Times New Roman"/>
                      <w:color w:val="auto"/>
                      <w:lang w:val="en-US" w:eastAsia="zh-CN"/>
                    </w:rPr>
                    <w:t>昼夜各一次</w:t>
                  </w:r>
                </w:p>
              </w:tc>
            </w:tr>
          </w:tbl>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jc w:val="both"/>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三、检测点位示意图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color w:val="auto"/>
                <w:highlight w:val="yellow"/>
                <w:lang w:val="en-US" w:eastAsia="zh-CN"/>
              </w:rPr>
            </w:pPr>
            <w:r>
              <w:rPr>
                <w:rFonts w:hint="default" w:ascii="Times New Roman" w:hAnsi="Times New Roman" w:cs="Times New Roman"/>
                <w:color w:val="auto"/>
                <w:sz w:val="24"/>
                <w:szCs w:val="24"/>
                <w:lang w:val="en-US" w:eastAsia="zh-CN"/>
              </w:rPr>
              <w:t>项目检测点位示意图如图6-1所示。</w:t>
            </w:r>
          </w:p>
          <w:p>
            <w:pPr>
              <w:pStyle w:val="27"/>
              <w:jc w:val="center"/>
              <w:rPr>
                <w:rFonts w:hint="default" w:ascii="Times New Roman" w:hAnsi="Times New Roman" w:cs="Times New Roman"/>
                <w:color w:val="FF0000"/>
              </w:rPr>
            </w:pPr>
            <w:r>
              <w:drawing>
                <wp:inline distT="0" distB="0" distL="114300" distR="114300">
                  <wp:extent cx="4618990" cy="3342005"/>
                  <wp:effectExtent l="0" t="0" r="1016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3"/>
                          <a:stretch>
                            <a:fillRect/>
                          </a:stretch>
                        </pic:blipFill>
                        <pic:spPr>
                          <a:xfrm>
                            <a:off x="0" y="0"/>
                            <a:ext cx="4618990" cy="3342005"/>
                          </a:xfrm>
                          <a:prstGeom prst="rect">
                            <a:avLst/>
                          </a:prstGeom>
                          <a:noFill/>
                          <a:ln>
                            <a:noFill/>
                          </a:ln>
                        </pic:spPr>
                      </pic:pic>
                    </a:graphicData>
                  </a:graphic>
                </wp:inline>
              </w:drawing>
            </w:r>
          </w:p>
          <w:p>
            <w:pPr>
              <w:jc w:val="center"/>
              <w:rPr>
                <w:rFonts w:hint="default" w:ascii="Times New Roman" w:hAnsi="Times New Roman" w:cs="Times New Roman"/>
                <w:color w:val="FF0000"/>
              </w:rPr>
            </w:pPr>
            <w:r>
              <w:rPr>
                <w:rFonts w:hint="default" w:ascii="Times New Roman" w:hAnsi="Times New Roman" w:eastAsia="黑体" w:cs="Times New Roman"/>
                <w:color w:val="auto"/>
                <w:sz w:val="24"/>
                <w:szCs w:val="24"/>
                <w:lang w:val="en-US" w:eastAsia="zh-CN"/>
              </w:rPr>
              <w:t>图6-1 项目检测点位示意图</w:t>
            </w:r>
          </w:p>
        </w:tc>
      </w:tr>
    </w:tbl>
    <w:p>
      <w:pPr>
        <w:spacing w:after="0" w:afterLines="0" w:line="360" w:lineRule="auto"/>
        <w:outlineLvl w:val="0"/>
        <w:rPr>
          <w:rFonts w:hint="eastAsia" w:ascii="仿宋" w:hAnsi="仿宋" w:eastAsia="仿宋" w:cs="仿宋"/>
          <w:b/>
          <w:color w:val="auto"/>
          <w:sz w:val="28"/>
          <w:szCs w:val="28"/>
          <w:highlight w:val="none"/>
          <w:lang w:val="en-US" w:eastAsia="zh-CN"/>
        </w:rPr>
      </w:pPr>
      <w:bookmarkStart w:id="39" w:name="_Toc13304"/>
      <w:bookmarkStart w:id="40" w:name="_Toc674"/>
      <w:r>
        <w:rPr>
          <w:rFonts w:hint="eastAsia" w:ascii="宋体" w:hAnsi="宋体" w:eastAsia="宋体" w:cs="宋体"/>
          <w:b/>
          <w:color w:val="auto"/>
          <w:sz w:val="28"/>
          <w:szCs w:val="28"/>
          <w:highlight w:val="none"/>
        </w:rPr>
        <w:t>表七</w:t>
      </w:r>
      <w:r>
        <w:rPr>
          <w:rFonts w:hint="eastAsia" w:ascii="宋体" w:hAnsi="宋体" w:eastAsia="宋体" w:cs="宋体"/>
          <w:b/>
          <w:color w:val="auto"/>
          <w:sz w:val="28"/>
          <w:szCs w:val="28"/>
          <w:highlight w:val="none"/>
          <w:lang w:val="en-US" w:eastAsia="zh-CN"/>
        </w:rPr>
        <w:t xml:space="preserve"> 验收监测结果</w:t>
      </w:r>
      <w:bookmarkEnd w:id="39"/>
      <w:bookmarkEnd w:id="40"/>
    </w:p>
    <w:tbl>
      <w:tblPr>
        <w:tblStyle w:val="22"/>
        <w:tblW w:w="8997" w:type="dxa"/>
        <w:tblInd w:w="-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8997" w:type="dxa"/>
          </w:tcPr>
          <w:p>
            <w:pPr>
              <w:spacing w:before="62" w:beforeLines="20" w:line="360" w:lineRule="auto"/>
              <w:outlineLvl w:val="9"/>
              <w:rPr>
                <w:rFonts w:hint="eastAsia" w:eastAsiaTheme="minorEastAsia"/>
                <w:b/>
                <w:bCs/>
                <w:color w:val="auto"/>
                <w:sz w:val="24"/>
                <w:szCs w:val="24"/>
                <w:highlight w:val="none"/>
                <w:lang w:eastAsia="zh-CN"/>
              </w:rPr>
            </w:pPr>
            <w:r>
              <w:rPr>
                <w:rFonts w:hint="eastAsia"/>
                <w:b/>
                <w:bCs/>
                <w:color w:val="auto"/>
                <w:sz w:val="28"/>
                <w:szCs w:val="28"/>
                <w:highlight w:val="none"/>
              </w:rPr>
              <w:t>验收监测期间生产工况记录</w:t>
            </w:r>
            <w:r>
              <w:rPr>
                <w:rFonts w:hint="eastAsia"/>
                <w:b/>
                <w:bCs/>
                <w:color w:val="auto"/>
                <w:sz w:val="28"/>
                <w:szCs w:val="28"/>
                <w:highlight w:val="none"/>
                <w:lang w:eastAsia="zh-CN"/>
              </w:rPr>
              <w:t>：</w:t>
            </w:r>
          </w:p>
          <w:p>
            <w:pPr>
              <w:pStyle w:val="27"/>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color w:val="FF0000"/>
                <w:sz w:val="24"/>
                <w:szCs w:val="24"/>
                <w:highlight w:val="none"/>
                <w:lang w:val="en-US" w:eastAsia="zh-CN"/>
              </w:rPr>
            </w:pPr>
            <w:r>
              <w:rPr>
                <w:rFonts w:hint="default" w:ascii="Times New Roman" w:hAnsi="Times New Roman" w:cs="Times New Roman"/>
                <w:color w:val="auto"/>
                <w:sz w:val="24"/>
                <w:szCs w:val="24"/>
                <w:highlight w:val="none"/>
              </w:rPr>
              <w:t>验收监测期间，本项目</w:t>
            </w:r>
            <w:r>
              <w:rPr>
                <w:rFonts w:hint="default" w:ascii="Times New Roman" w:hAnsi="Times New Roman" w:cs="Times New Roman"/>
                <w:color w:val="auto"/>
                <w:sz w:val="24"/>
                <w:szCs w:val="24"/>
                <w:highlight w:val="none"/>
                <w:lang w:val="en-US" w:eastAsia="zh-CN"/>
              </w:rPr>
              <w:t>工况稳定、环保设施运行正常</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满足建设项目竣工环境保护验收监测条件。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2" w:hRule="atLeast"/>
        </w:trPr>
        <w:tc>
          <w:tcPr>
            <w:tcW w:w="8997" w:type="dxa"/>
          </w:tcPr>
          <w:p>
            <w:pPr>
              <w:pStyle w:val="27"/>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outlineLvl w:val="9"/>
              <w:rPr>
                <w:rFonts w:hint="default"/>
                <w:b/>
                <w:bCs/>
                <w:color w:val="auto"/>
                <w:sz w:val="28"/>
                <w:szCs w:val="28"/>
                <w:highlight w:val="none"/>
                <w:lang w:val="en-US" w:eastAsia="zh-CN"/>
              </w:rPr>
            </w:pPr>
            <w:r>
              <w:rPr>
                <w:rFonts w:hint="default"/>
                <w:b/>
                <w:bCs/>
                <w:color w:val="auto"/>
                <w:sz w:val="28"/>
                <w:szCs w:val="28"/>
                <w:highlight w:val="none"/>
                <w:lang w:val="en-US" w:eastAsia="zh-CN"/>
              </w:rPr>
              <w:t>验收监测结果：</w:t>
            </w:r>
          </w:p>
          <w:p>
            <w:pPr>
              <w:pStyle w:val="27"/>
              <w:keepNext w:val="0"/>
              <w:keepLines w:val="0"/>
              <w:pageBreakBefore w:val="0"/>
              <w:widowControl w:val="0"/>
              <w:numPr>
                <w:ilvl w:val="0"/>
                <w:numId w:val="3"/>
              </w:numPr>
              <w:kinsoku/>
              <w:wordWrap/>
              <w:overflowPunct/>
              <w:topLinePunct w:val="0"/>
              <w:autoSpaceDE w:val="0"/>
              <w:autoSpaceDN w:val="0"/>
              <w:bidi w:val="0"/>
              <w:adjustRightInd w:val="0"/>
              <w:snapToGrid/>
              <w:spacing w:line="240" w:lineRule="auto"/>
              <w:ind w:left="0" w:leftChars="0" w:firstLine="0" w:firstLineChars="0"/>
              <w:jc w:val="both"/>
              <w:textAlignment w:val="auto"/>
              <w:outlineLvl w:val="9"/>
              <w:rPr>
                <w:rFonts w:hint="default"/>
                <w:b/>
                <w:bCs/>
                <w:color w:val="auto"/>
                <w:sz w:val="28"/>
                <w:szCs w:val="28"/>
                <w:highlight w:val="none"/>
                <w:lang w:eastAsia="zh-CN"/>
              </w:rPr>
            </w:pPr>
            <w:r>
              <w:rPr>
                <w:rFonts w:hint="default"/>
                <w:b/>
                <w:bCs/>
                <w:color w:val="auto"/>
                <w:sz w:val="28"/>
                <w:szCs w:val="28"/>
                <w:highlight w:val="none"/>
                <w:lang w:eastAsia="zh-CN"/>
              </w:rPr>
              <w:t>废气验收监测结果</w:t>
            </w:r>
          </w:p>
          <w:p>
            <w:pPr>
              <w:pStyle w:val="27"/>
              <w:keepNext w:val="0"/>
              <w:keepLines w:val="0"/>
              <w:pageBreakBefore w:val="0"/>
              <w:widowControl w:val="0"/>
              <w:numPr>
                <w:ilvl w:val="0"/>
                <w:numId w:val="4"/>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color w:val="auto"/>
                <w:highlight w:val="none"/>
                <w:lang w:val="en-US" w:eastAsia="zh-CN"/>
              </w:rPr>
            </w:pPr>
            <w:r>
              <w:rPr>
                <w:rFonts w:hint="default"/>
                <w:color w:val="auto"/>
                <w:highlight w:val="none"/>
                <w:lang w:val="en-US" w:eastAsia="zh-CN"/>
              </w:rPr>
              <w:t>有组织废气监测结果</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b w:val="0"/>
                <w:bCs w:val="0"/>
                <w:color w:val="auto"/>
                <w:highlight w:val="none"/>
                <w:lang w:val="en-US" w:eastAsia="zh-CN"/>
              </w:rPr>
            </w:pPr>
            <w:r>
              <w:rPr>
                <w:rFonts w:hint="eastAsia"/>
                <w:color w:val="auto"/>
                <w:sz w:val="24"/>
                <w:highlight w:val="none"/>
                <w:lang w:val="en-US" w:eastAsia="zh-CN"/>
              </w:rPr>
              <w:t>布袋除尘器处理前不具备监测条件，因此未对布袋除尘器处理前进行监测。</w:t>
            </w:r>
            <w:r>
              <w:rPr>
                <w:rFonts w:hint="default"/>
                <w:color w:val="auto"/>
                <w:highlight w:val="none"/>
                <w:lang w:val="en-US" w:eastAsia="zh-CN"/>
              </w:rPr>
              <w:t xml:space="preserve">有组织废气验收监测结果见表 </w:t>
            </w:r>
            <w:r>
              <w:rPr>
                <w:rFonts w:hint="default" w:ascii="Times New Roman" w:hAnsi="Times New Roman" w:cs="Times New Roman"/>
                <w:b w:val="0"/>
                <w:bCs w:val="0"/>
                <w:color w:val="auto"/>
                <w:highlight w:val="none"/>
                <w:lang w:val="en-US" w:eastAsia="zh-CN"/>
              </w:rPr>
              <w:t>7-</w:t>
            </w:r>
            <w:r>
              <w:rPr>
                <w:rFonts w:hint="eastAsia" w:ascii="Times New Roman" w:hAnsi="Times New Roman" w:cs="Times New Roman"/>
                <w:b w:val="0"/>
                <w:bCs w:val="0"/>
                <w:color w:val="auto"/>
                <w:highlight w:val="none"/>
                <w:lang w:val="en-US" w:eastAsia="zh-CN"/>
              </w:rPr>
              <w:t>1</w:t>
            </w:r>
            <w:r>
              <w:rPr>
                <w:rFonts w:hint="default"/>
                <w:b w:val="0"/>
                <w:bCs w:val="0"/>
                <w:color w:val="auto"/>
                <w:highlight w:val="none"/>
                <w:lang w:val="en-US" w:eastAsia="zh-CN"/>
              </w:rPr>
              <w:t xml:space="preserve"> 。</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b w:val="0"/>
                <w:bCs w:val="0"/>
                <w:color w:val="FF0000"/>
                <w:highlight w:val="none"/>
                <w:lang w:val="en-US" w:eastAsia="zh-CN"/>
              </w:rPr>
            </w:pPr>
            <w:r>
              <w:rPr>
                <w:rFonts w:hint="default"/>
                <w:b w:val="0"/>
                <w:bCs w:val="0"/>
                <w:color w:val="auto"/>
                <w:highlight w:val="none"/>
                <w:lang w:val="en-US" w:eastAsia="zh-CN"/>
              </w:rPr>
              <w:t>表</w:t>
            </w:r>
            <w:r>
              <w:rPr>
                <w:rFonts w:hint="eastAsia"/>
                <w:b w:val="0"/>
                <w:bCs w:val="0"/>
                <w:color w:val="auto"/>
                <w:highlight w:val="none"/>
                <w:lang w:val="en-US" w:eastAsia="zh-CN"/>
              </w:rPr>
              <w:t xml:space="preserve"> </w:t>
            </w:r>
            <w:r>
              <w:rPr>
                <w:rFonts w:hint="default" w:ascii="Times New Roman" w:hAnsi="Times New Roman" w:cs="Times New Roman"/>
                <w:b w:val="0"/>
                <w:bCs w:val="0"/>
                <w:color w:val="auto"/>
                <w:highlight w:val="none"/>
                <w:lang w:val="en-US" w:eastAsia="zh-CN"/>
              </w:rPr>
              <w:t>7-</w:t>
            </w:r>
            <w:r>
              <w:rPr>
                <w:rFonts w:hint="eastAsia" w:ascii="Times New Roman" w:hAnsi="Times New Roman" w:cs="Times New Roman"/>
                <w:b w:val="0"/>
                <w:bCs w:val="0"/>
                <w:color w:val="auto"/>
                <w:highlight w:val="none"/>
                <w:lang w:val="en-US" w:eastAsia="zh-CN"/>
              </w:rPr>
              <w:t>1</w:t>
            </w:r>
            <w:r>
              <w:rPr>
                <w:rFonts w:hint="default"/>
                <w:b w:val="0"/>
                <w:bCs w:val="0"/>
                <w:color w:val="auto"/>
                <w:highlight w:val="none"/>
                <w:lang w:val="en-US" w:eastAsia="zh-CN"/>
              </w:rPr>
              <w:t xml:space="preserve"> </w:t>
            </w:r>
            <w:r>
              <w:rPr>
                <w:rFonts w:hint="eastAsia"/>
                <w:b w:val="0"/>
                <w:bCs w:val="0"/>
                <w:color w:val="auto"/>
                <w:highlight w:val="none"/>
                <w:lang w:val="en-US" w:eastAsia="zh-CN"/>
              </w:rPr>
              <w:t>有组织废气</w:t>
            </w:r>
            <w:r>
              <w:rPr>
                <w:rFonts w:hint="default"/>
                <w:b w:val="0"/>
                <w:bCs w:val="0"/>
                <w:color w:val="auto"/>
                <w:highlight w:val="none"/>
                <w:lang w:val="en-US" w:eastAsia="zh-CN"/>
              </w:rPr>
              <w:t>验收监测结果</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818"/>
              <w:gridCol w:w="818"/>
              <w:gridCol w:w="838"/>
              <w:gridCol w:w="803"/>
              <w:gridCol w:w="803"/>
              <w:gridCol w:w="885"/>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color w:val="000000"/>
                      <w:kern w:val="0"/>
                      <w:sz w:val="21"/>
                      <w:szCs w:val="21"/>
                      <w:vertAlign w:val="baseline"/>
                      <w:lang w:val="en-US" w:eastAsia="zh-CN" w:bidi="ar-SA"/>
                    </w:rPr>
                    <w:t>采样日期</w:t>
                  </w:r>
                </w:p>
              </w:tc>
              <w:tc>
                <w:tcPr>
                  <w:tcW w:w="1409" w:type="pct"/>
                  <w:gridSpan w:val="3"/>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3.04.04</w:t>
                  </w:r>
                </w:p>
              </w:tc>
              <w:tc>
                <w:tcPr>
                  <w:tcW w:w="1418" w:type="pct"/>
                  <w:gridSpan w:val="3"/>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none"/>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3.04.05</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检测点位</w:t>
                  </w:r>
                </w:p>
              </w:tc>
              <w:tc>
                <w:tcPr>
                  <w:tcW w:w="2827" w:type="pct"/>
                  <w:gridSpan w:val="6"/>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eastAsia="宋体" w:cs="Times New Roman"/>
                      <w:b/>
                      <w:bCs/>
                      <w:sz w:val="21"/>
                      <w:szCs w:val="21"/>
                      <w:vertAlign w:val="baseline"/>
                      <w:lang w:val="en-US" w:eastAsia="zh-CN"/>
                    </w:rPr>
                    <w:t>锅炉</w:t>
                  </w:r>
                  <w:r>
                    <w:rPr>
                      <w:rFonts w:hint="default" w:ascii="Times New Roman" w:hAnsi="Times New Roman" w:eastAsia="宋体" w:cs="Times New Roman"/>
                      <w:b/>
                      <w:bCs/>
                      <w:sz w:val="21"/>
                      <w:szCs w:val="21"/>
                      <w:vertAlign w:val="baseline"/>
                      <w:lang w:val="en-US" w:eastAsia="zh-CN"/>
                    </w:rPr>
                    <w:t>布袋除尘器</w:t>
                  </w:r>
                  <w:r>
                    <w:rPr>
                      <w:rFonts w:hint="eastAsia" w:ascii="Times New Roman" w:eastAsia="宋体" w:cs="Times New Roman"/>
                      <w:b/>
                      <w:bCs/>
                      <w:sz w:val="21"/>
                      <w:szCs w:val="21"/>
                      <w:vertAlign w:val="baseline"/>
                      <w:lang w:val="en-US" w:eastAsia="zh-CN"/>
                    </w:rPr>
                    <w:t>后</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检测项目</w:t>
                  </w:r>
                </w:p>
              </w:tc>
              <w:tc>
                <w:tcPr>
                  <w:tcW w:w="2827" w:type="pct"/>
                  <w:gridSpan w:val="6"/>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检测结果</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b w:val="0"/>
                      <w:bCs w:val="0"/>
                      <w:color w:val="000000"/>
                      <w:sz w:val="21"/>
                      <w:szCs w:val="21"/>
                      <w:vertAlign w:val="baseline"/>
                      <w:lang w:val="en-US" w:eastAsia="zh-CN" w:bidi="ar-SA"/>
                    </w:rPr>
                  </w:pPr>
                </w:p>
              </w:tc>
              <w:tc>
                <w:tcPr>
                  <w:tcW w:w="466"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66"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475"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45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5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503"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标干风量</w:t>
                  </w:r>
                </w:p>
              </w:tc>
              <w:tc>
                <w:tcPr>
                  <w:tcW w:w="9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2265</w:t>
                  </w:r>
                </w:p>
              </w:tc>
              <w:tc>
                <w:tcPr>
                  <w:tcW w:w="9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2314</w:t>
                  </w:r>
                </w:p>
              </w:tc>
              <w:tc>
                <w:tcPr>
                  <w:tcW w:w="92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2078</w:t>
                  </w:r>
                </w:p>
              </w:tc>
              <w:tc>
                <w:tcPr>
                  <w:tcW w:w="922"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2215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bidi="ar-SA"/>
                    </w:rPr>
                    <w:t>2160</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1"/>
                      <w:highlight w:val="none"/>
                      <w:vertAlign w:val="baseline"/>
                      <w:lang w:val="en-US" w:eastAsia="zh-CN" w:bidi="ar-SA"/>
                    </w:rPr>
                    <w:t>2341</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Nm</w:t>
                  </w:r>
                  <w:r>
                    <w:rPr>
                      <w:rFonts w:hint="default" w:ascii="Times New Roman" w:hAnsi="Times New Roman" w:eastAsia="宋体" w:cs="Times New Roman"/>
                      <w:sz w:val="21"/>
                      <w:szCs w:val="21"/>
                      <w:highlight w:val="none"/>
                      <w:vertAlign w:val="superscript"/>
                      <w:lang w:val="en-US" w:eastAsia="zh-CN"/>
                    </w:rPr>
                    <w:t>3</w:t>
                  </w:r>
                  <w:r>
                    <w:rPr>
                      <w:rFonts w:hint="default" w:ascii="Times New Roman" w:hAnsi="Times New Roman" w:eastAsia="宋体" w:cs="Times New Roman"/>
                      <w:sz w:val="21"/>
                      <w:szCs w:val="21"/>
                      <w:highlight w:val="none"/>
                      <w:vertAlign w:val="baseline"/>
                      <w:lang w:val="en-US" w:eastAsia="zh-CN"/>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颗粒物实测排放浓度</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11.6</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11.1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10.7</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11.5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11.2</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10.8</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r>
                    <w:rPr>
                      <w:rFonts w:hint="eastAsia" w:ascii="Times New Roman" w:eastAsia="宋体" w:cs="Times New Roman"/>
                      <w:color w:val="auto"/>
                      <w:sz w:val="21"/>
                      <w:szCs w:val="21"/>
                      <w:highlight w:val="none"/>
                      <w:vertAlign w:val="baseline"/>
                      <w:lang w:val="en-US" w:eastAsia="zh-CN"/>
                    </w:rPr>
                    <w:t>基准氧含量</w:t>
                  </w:r>
                  <w:r>
                    <w:rPr>
                      <w:rFonts w:hint="default" w:ascii="Times New Roman" w:hAnsi="Times New Roman" w:eastAsia="宋体" w:cs="Times New Roman"/>
                      <w:color w:val="auto"/>
                      <w:sz w:val="21"/>
                      <w:szCs w:val="21"/>
                      <w:highlight w:val="none"/>
                      <w:vertAlign w:val="baseline"/>
                      <w:lang w:val="en-US" w:eastAsia="zh-CN"/>
                    </w:rPr>
                    <w:t>排放浓度</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28.4</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25.6</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29.2</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28.8</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29.2</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27.0</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color w:val="auto"/>
                      <w:sz w:val="21"/>
                      <w:szCs w:val="21"/>
                      <w:highlight w:val="none"/>
                      <w:vertAlign w:val="baseline"/>
                      <w:lang w:val="en-US" w:eastAsia="zh-CN"/>
                    </w:rPr>
                    <w:t>颗粒物排放速率</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0.026</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0.026</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0.022</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0.024</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0.025</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rPr>
                    <w:t>二氧化硫</w:t>
                  </w:r>
                  <w:r>
                    <w:rPr>
                      <w:rFonts w:hint="default" w:ascii="Times New Roman" w:hAnsi="Times New Roman" w:eastAsia="宋体" w:cs="Times New Roman"/>
                      <w:color w:val="auto"/>
                      <w:sz w:val="21"/>
                      <w:szCs w:val="21"/>
                      <w:highlight w:val="none"/>
                      <w:vertAlign w:val="baseline"/>
                      <w:lang w:val="en-US" w:eastAsia="zh-CN"/>
                    </w:rPr>
                    <w:t>实测排放浓度</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60</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67</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64</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rPr>
                    <w:t>二氧化硫基准氧含量</w:t>
                  </w:r>
                  <w:r>
                    <w:rPr>
                      <w:rFonts w:hint="default" w:ascii="Times New Roman" w:hAnsi="Times New Roman" w:eastAsia="宋体" w:cs="Times New Roman"/>
                      <w:color w:val="auto"/>
                      <w:sz w:val="21"/>
                      <w:szCs w:val="21"/>
                      <w:highlight w:val="none"/>
                      <w:vertAlign w:val="baseline"/>
                      <w:lang w:val="en-US" w:eastAsia="zh-CN"/>
                    </w:rPr>
                    <w:t>排放浓度</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159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138</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183</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152</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170</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160</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eastAsia="宋体" w:cs="Times New Roman"/>
                      <w:color w:val="auto"/>
                      <w:sz w:val="21"/>
                      <w:szCs w:val="21"/>
                      <w:highlight w:val="none"/>
                      <w:vertAlign w:val="baseline"/>
                      <w:lang w:val="en-US" w:eastAsia="zh-CN"/>
                    </w:rPr>
                    <w:t>二氧化硫</w:t>
                  </w:r>
                  <w:r>
                    <w:rPr>
                      <w:rFonts w:hint="default" w:ascii="Times New Roman" w:hAnsi="Times New Roman" w:eastAsia="宋体" w:cs="Times New Roman"/>
                      <w:color w:val="auto"/>
                      <w:sz w:val="21"/>
                      <w:szCs w:val="21"/>
                      <w:highlight w:val="none"/>
                      <w:vertAlign w:val="baseline"/>
                      <w:lang w:val="en-US" w:eastAsia="zh-CN"/>
                    </w:rPr>
                    <w:t>排放速率</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0.147</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0.139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0.139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0.135</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0.14</w:t>
                  </w:r>
                  <w:r>
                    <w:rPr>
                      <w:rFonts w:hint="eastAsia" w:ascii="Times New Roman" w:cs="Times New Roman"/>
                      <w:color w:val="auto"/>
                      <w:sz w:val="21"/>
                      <w:szCs w:val="21"/>
                      <w:highlight w:val="none"/>
                      <w:vertAlign w:val="baseline"/>
                      <w:lang w:val="en-US" w:eastAsia="zh-CN" w:bidi="ar-SA"/>
                    </w:rPr>
                    <w:t>0</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0.15</w:t>
                  </w:r>
                  <w:r>
                    <w:rPr>
                      <w:rFonts w:hint="eastAsia" w:ascii="Times New Roman" w:cs="Times New Roman"/>
                      <w:color w:val="auto"/>
                      <w:sz w:val="21"/>
                      <w:szCs w:val="21"/>
                      <w:highlight w:val="none"/>
                      <w:vertAlign w:val="baseline"/>
                      <w:lang w:val="en-US" w:eastAsia="zh-CN" w:bidi="ar-SA"/>
                    </w:rPr>
                    <w:t>0</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rPr>
                    <w:t>氮氧化物</w:t>
                  </w:r>
                  <w:r>
                    <w:rPr>
                      <w:rFonts w:hint="default" w:ascii="Times New Roman" w:hAnsi="Times New Roman" w:eastAsia="宋体" w:cs="Times New Roman"/>
                      <w:color w:val="auto"/>
                      <w:sz w:val="21"/>
                      <w:szCs w:val="21"/>
                      <w:highlight w:val="none"/>
                      <w:vertAlign w:val="baseline"/>
                      <w:lang w:val="en-US" w:eastAsia="zh-CN"/>
                    </w:rPr>
                    <w:t>实测排放浓度</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35</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30</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39</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37</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37</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40</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rPr>
                    <w:t>氮氧化物基准氧含量</w:t>
                  </w:r>
                  <w:r>
                    <w:rPr>
                      <w:rFonts w:hint="default" w:ascii="Times New Roman" w:hAnsi="Times New Roman" w:eastAsia="宋体" w:cs="Times New Roman"/>
                      <w:color w:val="auto"/>
                      <w:sz w:val="21"/>
                      <w:szCs w:val="21"/>
                      <w:highlight w:val="none"/>
                      <w:vertAlign w:val="baseline"/>
                      <w:lang w:val="en-US" w:eastAsia="zh-CN"/>
                    </w:rPr>
                    <w:t>排放浓度</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86</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69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106</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92</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96</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100</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eastAsia="宋体" w:cs="Times New Roman"/>
                      <w:color w:val="auto"/>
                      <w:sz w:val="21"/>
                      <w:szCs w:val="21"/>
                      <w:highlight w:val="none"/>
                      <w:vertAlign w:val="baseline"/>
                      <w:lang w:val="en-US" w:eastAsia="zh-CN"/>
                    </w:rPr>
                    <w:t>氮氧化物</w:t>
                  </w:r>
                  <w:r>
                    <w:rPr>
                      <w:rFonts w:hint="default" w:ascii="Times New Roman" w:hAnsi="Times New Roman" w:eastAsia="宋体" w:cs="Times New Roman"/>
                      <w:color w:val="auto"/>
                      <w:sz w:val="21"/>
                      <w:szCs w:val="21"/>
                      <w:highlight w:val="none"/>
                      <w:vertAlign w:val="baseline"/>
                      <w:lang w:val="en-US" w:eastAsia="zh-CN"/>
                    </w:rPr>
                    <w:t>排放速率</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0.079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0.069</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0.081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0.082</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0.08</w:t>
                  </w:r>
                  <w:r>
                    <w:rPr>
                      <w:rFonts w:hint="eastAsia" w:ascii="Times New Roman" w:cs="Times New Roman"/>
                      <w:color w:val="auto"/>
                      <w:sz w:val="21"/>
                      <w:szCs w:val="21"/>
                      <w:highlight w:val="none"/>
                      <w:vertAlign w:val="baseline"/>
                      <w:lang w:val="en-US" w:eastAsia="zh-CN" w:bidi="ar-SA"/>
                    </w:rPr>
                    <w:t>0</w:t>
                  </w:r>
                </w:p>
              </w:tc>
              <w:tc>
                <w:tcPr>
                  <w:tcW w:w="922" w:type="dxa"/>
                  <w:tcBorders>
                    <w:tl2br w:val="nil"/>
                    <w:tr2bl w:val="nil"/>
                  </w:tcBorders>
                  <w:vAlign w:val="center"/>
                </w:tcPr>
                <w:p>
                  <w:pPr>
                    <w:spacing w:line="240" w:lineRule="auto"/>
                    <w:jc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0.094</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汞及其化合物</w:t>
                  </w:r>
                </w:p>
                <w:p>
                  <w:pPr>
                    <w:pStyle w:val="27"/>
                    <w:spacing w:line="240" w:lineRule="auto"/>
                    <w:jc w:val="center"/>
                    <w:rPr>
                      <w:rFonts w:hint="eastAsia" w:ascii="Times New Roman" w:hAnsi="Times New Roman" w:eastAsia="宋体" w:cs="Times New Roman"/>
                      <w:color w:val="auto"/>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实测排放浓度</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0.0037</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0.003</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0.0048</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0.0045</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0.005</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0.0052</w:t>
                  </w:r>
                </w:p>
              </w:tc>
              <w:tc>
                <w:tcPr>
                  <w:tcW w:w="876" w:type="dxa"/>
                  <w:tcBorders>
                    <w:tl2br w:val="nil"/>
                    <w:tr2bl w:val="nil"/>
                  </w:tcBorders>
                  <w:vAlign w:val="center"/>
                </w:tcPr>
                <w:p>
                  <w:pPr>
                    <w:pStyle w:val="27"/>
                    <w:spacing w:line="240" w:lineRule="auto"/>
                    <w:jc w:val="center"/>
                    <w:rPr>
                      <w:rFonts w:hint="eastAsia"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eastAsia" w:asci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汞及其化合物</w:t>
                  </w:r>
                </w:p>
                <w:p>
                  <w:pPr>
                    <w:pStyle w:val="27"/>
                    <w:spacing w:line="240" w:lineRule="auto"/>
                    <w:jc w:val="center"/>
                    <w:rPr>
                      <w:rFonts w:hint="eastAsia"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rPr>
                    <w:t>基准氧含量</w:t>
                  </w:r>
                  <w:r>
                    <w:rPr>
                      <w:rFonts w:hint="default" w:ascii="Times New Roman" w:hAnsi="Times New Roman" w:eastAsia="宋体" w:cs="Times New Roman"/>
                      <w:color w:val="auto"/>
                      <w:sz w:val="21"/>
                      <w:szCs w:val="21"/>
                      <w:highlight w:val="none"/>
                      <w:vertAlign w:val="baseline"/>
                      <w:lang w:val="en-US" w:eastAsia="zh-CN"/>
                    </w:rPr>
                    <w:t>排放浓度</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0.0091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0.0069</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0.0131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0.0112</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0.013</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kern w:val="0"/>
                      <w:sz w:val="20"/>
                      <w:szCs w:val="20"/>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0.013</w:t>
                  </w:r>
                </w:p>
              </w:tc>
              <w:tc>
                <w:tcPr>
                  <w:tcW w:w="876" w:type="dxa"/>
                  <w:tcBorders>
                    <w:tl2br w:val="nil"/>
                    <w:tr2bl w:val="nil"/>
                  </w:tcBorders>
                  <w:vAlign w:val="center"/>
                </w:tcPr>
                <w:p>
                  <w:pPr>
                    <w:pStyle w:val="27"/>
                    <w:spacing w:line="240" w:lineRule="auto"/>
                    <w:jc w:val="center"/>
                    <w:rPr>
                      <w:rFonts w:hint="eastAsia"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eastAsia="宋体" w:cs="Times New Roman"/>
                      <w:color w:val="auto"/>
                      <w:sz w:val="21"/>
                      <w:szCs w:val="21"/>
                      <w:highlight w:val="none"/>
                      <w:vertAlign w:val="baseline"/>
                      <w:lang w:val="en-US" w:eastAsia="zh-CN"/>
                    </w:rPr>
                    <w:t>汞及其化合物</w:t>
                  </w:r>
                  <w:r>
                    <w:rPr>
                      <w:rFonts w:hint="default" w:ascii="Times New Roman" w:hAnsi="Times New Roman" w:eastAsia="宋体" w:cs="Times New Roman"/>
                      <w:color w:val="auto"/>
                      <w:sz w:val="21"/>
                      <w:szCs w:val="21"/>
                      <w:highlight w:val="none"/>
                      <w:vertAlign w:val="baseline"/>
                      <w:lang w:val="en-US" w:eastAsia="zh-CN"/>
                    </w:rPr>
                    <w:t>排放速率</w:t>
                  </w:r>
                </w:p>
              </w:tc>
              <w:tc>
                <w:tcPr>
                  <w:tcW w:w="922" w:type="dxa"/>
                  <w:tcBorders>
                    <w:tl2br w:val="nil"/>
                    <w:tr2bl w:val="nil"/>
                  </w:tcBorders>
                  <w:vAlign w:val="center"/>
                </w:tcPr>
                <w:p>
                  <w:pPr>
                    <w:spacing w:line="240" w:lineRule="auto"/>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922" w:type="dxa"/>
                  <w:tcBorders>
                    <w:tl2br w:val="nil"/>
                    <w:tr2bl w:val="nil"/>
                  </w:tcBorders>
                  <w:vAlign w:val="center"/>
                </w:tcPr>
                <w:p>
                  <w:pPr>
                    <w:spacing w:line="240" w:lineRule="auto"/>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＜0.001</w:t>
                  </w:r>
                </w:p>
              </w:tc>
              <w:tc>
                <w:tcPr>
                  <w:tcW w:w="876" w:type="dxa"/>
                  <w:tcBorders>
                    <w:tl2br w:val="nil"/>
                    <w:tr2bl w:val="nil"/>
                  </w:tcBorders>
                  <w:vAlign w:val="center"/>
                </w:tcPr>
                <w:p>
                  <w:pPr>
                    <w:pStyle w:val="27"/>
                    <w:spacing w:line="240" w:lineRule="auto"/>
                    <w:jc w:val="center"/>
                    <w:rPr>
                      <w:rFonts w:hint="eastAsia" w:ascii="Times New Roman" w:hAnsi="Times New Roman" w:eastAsia="宋体" w:cs="Times New Roman"/>
                      <w:color w:val="000000"/>
                      <w:sz w:val="21"/>
                      <w:szCs w:val="21"/>
                      <w:highlight w:val="none"/>
                      <w:vertAlign w:val="baseline"/>
                      <w:lang w:val="en-US" w:eastAsia="zh-CN" w:bidi="ar-SA"/>
                    </w:rPr>
                  </w:pPr>
                  <w:r>
                    <w:rPr>
                      <w:rFonts w:hint="default" w:ascii="Times New Roman" w:hAnsi="Times New Roman" w:eastAsia="宋体" w:cs="Times New Roman"/>
                      <w:sz w:val="21"/>
                      <w:szCs w:val="21"/>
                      <w:highlight w:val="none"/>
                      <w:vertAlign w:val="baseline"/>
                      <w:lang w:val="en-US" w:eastAsia="zh-CN"/>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实测氧含量</w:t>
                  </w:r>
                </w:p>
              </w:tc>
              <w:tc>
                <w:tcPr>
                  <w:tcW w:w="922" w:type="dxa"/>
                  <w:tcBorders>
                    <w:tl2br w:val="nil"/>
                    <w:tr2bl w:val="nil"/>
                  </w:tcBorders>
                  <w:vAlign w:val="center"/>
                </w:tcPr>
                <w:p>
                  <w:pPr>
                    <w:spacing w:line="240" w:lineRule="auto"/>
                    <w:jc w:val="center"/>
                    <w:rPr>
                      <w:rFonts w:hint="default" w:asci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16.1</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15.8</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16.6</w:t>
                  </w:r>
                </w:p>
              </w:tc>
              <w:tc>
                <w:tcPr>
                  <w:tcW w:w="922" w:type="dxa"/>
                  <w:tcBorders>
                    <w:tl2br w:val="nil"/>
                    <w:tr2bl w:val="nil"/>
                  </w:tcBorders>
                  <w:vAlign w:val="center"/>
                </w:tcPr>
                <w:p>
                  <w:pPr>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16.2</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16.4</w:t>
                  </w:r>
                </w:p>
              </w:tc>
              <w:tc>
                <w:tcPr>
                  <w:tcW w:w="922"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16.2</w:t>
                  </w:r>
                </w:p>
              </w:tc>
              <w:tc>
                <w:tcPr>
                  <w:tcW w:w="876" w:type="dxa"/>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eastAsia="宋体" w:cs="Times New Roman"/>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检测点位</w:t>
                  </w:r>
                </w:p>
              </w:tc>
              <w:tc>
                <w:tcPr>
                  <w:tcW w:w="2827" w:type="pct"/>
                  <w:gridSpan w:val="6"/>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eastAsia" w:ascii="Times New Roman" w:eastAsia="宋体" w:cs="Times New Roman"/>
                      <w:b/>
                      <w:bCs/>
                      <w:sz w:val="21"/>
                      <w:szCs w:val="21"/>
                      <w:vertAlign w:val="baseline"/>
                      <w:lang w:val="en-US" w:eastAsia="zh-CN"/>
                    </w:rPr>
                    <w:t>锅炉烟囱</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检测项目</w:t>
                  </w:r>
                </w:p>
              </w:tc>
              <w:tc>
                <w:tcPr>
                  <w:tcW w:w="2827" w:type="pct"/>
                  <w:gridSpan w:val="6"/>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检测结果</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b w:val="0"/>
                      <w:bCs w:val="0"/>
                      <w:color w:val="000000"/>
                      <w:sz w:val="21"/>
                      <w:szCs w:val="21"/>
                      <w:vertAlign w:val="baseline"/>
                      <w:lang w:val="en-US" w:eastAsia="zh-CN" w:bidi="ar-SA"/>
                    </w:rPr>
                  </w:pPr>
                </w:p>
              </w:tc>
              <w:tc>
                <w:tcPr>
                  <w:tcW w:w="466"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66"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475"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45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5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503"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0"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i w:val="0"/>
                      <w:color w:val="000000"/>
                      <w:kern w:val="0"/>
                      <w:sz w:val="21"/>
                      <w:szCs w:val="21"/>
                      <w:u w:val="none"/>
                      <w:lang w:val="en-US" w:eastAsia="zh-CN" w:bidi="ar"/>
                    </w:rPr>
                    <w:t>烟气黑度</w:t>
                  </w:r>
                </w:p>
              </w:tc>
              <w:tc>
                <w:tcPr>
                  <w:tcW w:w="466"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w:t>
                  </w:r>
                </w:p>
              </w:tc>
              <w:tc>
                <w:tcPr>
                  <w:tcW w:w="466"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w:t>
                  </w:r>
                </w:p>
              </w:tc>
              <w:tc>
                <w:tcPr>
                  <w:tcW w:w="475"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bidi="ar-SA"/>
                    </w:rPr>
                  </w:pPr>
                  <w:r>
                    <w:rPr>
                      <w:rFonts w:hint="eastAsia" w:ascii="Times New Roman" w:eastAsia="宋体" w:cs="Times New Roman"/>
                      <w:color w:val="auto"/>
                      <w:sz w:val="21"/>
                      <w:szCs w:val="21"/>
                      <w:highlight w:val="none"/>
                      <w:vertAlign w:val="baseline"/>
                      <w:lang w:val="en-US" w:eastAsia="zh-CN" w:bidi="ar-SA"/>
                    </w:rPr>
                    <w:t>＜1</w:t>
                  </w:r>
                </w:p>
              </w:tc>
              <w:tc>
                <w:tcPr>
                  <w:tcW w:w="4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w:t>
                  </w:r>
                </w:p>
              </w:tc>
              <w:tc>
                <w:tcPr>
                  <w:tcW w:w="457"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w:t>
                  </w:r>
                </w:p>
              </w:tc>
              <w:tc>
                <w:tcPr>
                  <w:tcW w:w="503"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bidi="ar-SA"/>
                    </w:rPr>
                    <w:t>＜1</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eastAsia" w:ascii="Times New Roman" w:eastAsia="宋体" w:cs="Times New Roman"/>
                      <w:sz w:val="21"/>
                      <w:szCs w:val="21"/>
                      <w:highlight w:val="none"/>
                      <w:vertAlign w:val="baseline"/>
                      <w:lang w:val="en-US" w:eastAsia="zh-CN"/>
                    </w:rPr>
                    <w:t>林格曼级</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1"/>
                <w:szCs w:val="21"/>
                <w:highlight w:val="none"/>
                <w:lang w:val="en-US" w:eastAsia="zh-CN"/>
              </w:rPr>
              <w:t>注：当检测结果低于方法检出限时，检测结果用“检出限L”表示。</w:t>
            </w:r>
          </w:p>
          <w:p>
            <w:pPr>
              <w:numPr>
                <w:ilvl w:val="0"/>
                <w:numId w:val="4"/>
              </w:numPr>
              <w:bidi w:val="0"/>
              <w:spacing w:line="360" w:lineRule="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无组织废气监测结果</w:t>
            </w:r>
          </w:p>
          <w:p>
            <w:pPr>
              <w:numPr>
                <w:ilvl w:val="0"/>
                <w:numId w:val="0"/>
              </w:numPr>
              <w:bidi w:val="0"/>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无组织废气验收监测结果见表 </w:t>
            </w:r>
            <w:r>
              <w:rPr>
                <w:rFonts w:hint="default" w:ascii="Times New Roman" w:hAnsi="Times New Roman" w:eastAsia="宋体" w:cs="Times New Roman"/>
                <w:b w:val="0"/>
                <w:bCs w:val="0"/>
                <w:color w:val="auto"/>
                <w:sz w:val="24"/>
                <w:szCs w:val="24"/>
                <w:highlight w:val="none"/>
                <w:lang w:val="en-US" w:eastAsia="zh-CN"/>
              </w:rPr>
              <w:t>7-</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 xml:space="preserve"> 。</w:t>
            </w:r>
          </w:p>
          <w:p>
            <w:pPr>
              <w:pStyle w:val="49"/>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b w:val="0"/>
                <w:bCs w:val="0"/>
                <w:color w:val="auto"/>
                <w:highlight w:val="none"/>
                <w:lang w:val="en-US" w:eastAsia="zh-CN"/>
              </w:rPr>
            </w:pPr>
            <w:r>
              <w:rPr>
                <w:rFonts w:hint="default"/>
                <w:b w:val="0"/>
                <w:bCs w:val="0"/>
                <w:color w:val="auto"/>
                <w:highlight w:val="none"/>
                <w:lang w:val="en-US" w:eastAsia="zh-CN"/>
              </w:rPr>
              <w:t xml:space="preserve">表 </w:t>
            </w:r>
            <w:r>
              <w:rPr>
                <w:rFonts w:hint="default" w:ascii="Times New Roman" w:hAnsi="Times New Roman" w:cs="Times New Roman"/>
                <w:b w:val="0"/>
                <w:bCs w:val="0"/>
                <w:color w:val="auto"/>
                <w:highlight w:val="none"/>
                <w:lang w:val="en-US" w:eastAsia="zh-CN"/>
              </w:rPr>
              <w:t>7-</w:t>
            </w:r>
            <w:r>
              <w:rPr>
                <w:rFonts w:hint="eastAsia" w:ascii="Times New Roman" w:hAnsi="Times New Roman" w:cs="Times New Roman"/>
                <w:b w:val="0"/>
                <w:bCs w:val="0"/>
                <w:color w:val="auto"/>
                <w:highlight w:val="none"/>
                <w:lang w:val="en-US" w:eastAsia="zh-CN"/>
              </w:rPr>
              <w:t>2</w:t>
            </w:r>
            <w:r>
              <w:rPr>
                <w:rFonts w:hint="default"/>
                <w:b w:val="0"/>
                <w:bCs w:val="0"/>
                <w:color w:val="auto"/>
                <w:highlight w:val="none"/>
                <w:lang w:val="en-US" w:eastAsia="zh-CN"/>
              </w:rPr>
              <w:t xml:space="preserve"> </w:t>
            </w:r>
            <w:r>
              <w:rPr>
                <w:rFonts w:hint="eastAsia"/>
                <w:b w:val="0"/>
                <w:bCs w:val="0"/>
                <w:color w:val="auto"/>
                <w:highlight w:val="none"/>
                <w:lang w:val="en-US" w:eastAsia="zh-CN"/>
              </w:rPr>
              <w:t>无</w:t>
            </w:r>
            <w:r>
              <w:rPr>
                <w:rFonts w:hint="default"/>
                <w:b w:val="0"/>
                <w:bCs w:val="0"/>
                <w:color w:val="auto"/>
                <w:highlight w:val="none"/>
                <w:lang w:val="en-US" w:eastAsia="zh-CN"/>
              </w:rPr>
              <w:t>组织废气验收监测结果</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063"/>
              <w:gridCol w:w="820"/>
              <w:gridCol w:w="833"/>
              <w:gridCol w:w="834"/>
              <w:gridCol w:w="816"/>
              <w:gridCol w:w="779"/>
              <w:gridCol w:w="890"/>
              <w:gridCol w:w="10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6" w:type="pct"/>
                  <w:gridSpan w:val="2"/>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采样日期</w:t>
                  </w:r>
                </w:p>
              </w:tc>
              <w:tc>
                <w:tcPr>
                  <w:tcW w:w="2487" w:type="dxa"/>
                  <w:gridSpan w:val="3"/>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yellow"/>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3.04.04</w:t>
                  </w:r>
                </w:p>
              </w:tc>
              <w:tc>
                <w:tcPr>
                  <w:tcW w:w="2485" w:type="dxa"/>
                  <w:gridSpan w:val="3"/>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yellow"/>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3.04.05</w:t>
                  </w:r>
                </w:p>
              </w:tc>
              <w:tc>
                <w:tcPr>
                  <w:tcW w:w="581"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检测点位</w:t>
                  </w:r>
                </w:p>
              </w:tc>
              <w:tc>
                <w:tcPr>
                  <w:tcW w:w="605"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检测项目</w:t>
                  </w:r>
                </w:p>
              </w:tc>
              <w:tc>
                <w:tcPr>
                  <w:tcW w:w="2832" w:type="pct"/>
                  <w:gridSpan w:val="6"/>
                  <w:tcBorders>
                    <w:tl2br w:val="nil"/>
                    <w:tr2bl w:val="nil"/>
                  </w:tcBorders>
                  <w:vAlign w:val="center"/>
                </w:tcPr>
                <w:p>
                  <w:pPr>
                    <w:pStyle w:val="27"/>
                    <w:spacing w:line="240" w:lineRule="auto"/>
                    <w:jc w:val="center"/>
                    <w:rPr>
                      <w:rFonts w:hint="default" w:ascii="Times New Roman" w:hAnsi="Times New Roman" w:eastAsia="宋体" w:cs="Times New Roman"/>
                      <w:b w:val="0"/>
                      <w:bCs w:val="0"/>
                      <w:color w:val="000000"/>
                      <w:sz w:val="21"/>
                      <w:szCs w:val="21"/>
                      <w:vertAlign w:val="baseline"/>
                      <w:lang w:val="en-US" w:eastAsia="zh-CN" w:bidi="ar-SA"/>
                    </w:rPr>
                  </w:pPr>
                  <w:r>
                    <w:rPr>
                      <w:rFonts w:hint="default" w:ascii="Times New Roman" w:hAnsi="Times New Roman" w:eastAsia="宋体" w:cs="Times New Roman"/>
                      <w:b/>
                      <w:bCs/>
                      <w:sz w:val="21"/>
                      <w:szCs w:val="21"/>
                      <w:vertAlign w:val="baseline"/>
                      <w:lang w:val="en-US" w:eastAsia="zh-CN"/>
                    </w:rPr>
                    <w:t>检测结果</w:t>
                  </w:r>
                </w:p>
              </w:tc>
              <w:tc>
                <w:tcPr>
                  <w:tcW w:w="581"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b w:val="0"/>
                      <w:bCs w:val="0"/>
                      <w:color w:val="000000"/>
                      <w:sz w:val="21"/>
                      <w:szCs w:val="21"/>
                      <w:vertAlign w:val="baseli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605"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74"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475"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464"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第1次</w:t>
                  </w:r>
                </w:p>
              </w:tc>
              <w:tc>
                <w:tcPr>
                  <w:tcW w:w="443"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第2次</w:t>
                  </w:r>
                </w:p>
              </w:tc>
              <w:tc>
                <w:tcPr>
                  <w:tcW w:w="507"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vertAlign w:val="baseline"/>
                      <w:lang w:val="en-US" w:eastAsia="zh-CN" w:bidi="ar-SA"/>
                    </w:rPr>
                  </w:pPr>
                  <w:r>
                    <w:rPr>
                      <w:rFonts w:hint="default" w:ascii="Times New Roman" w:hAnsi="Times New Roman" w:eastAsia="宋体" w:cs="Times New Roman"/>
                      <w:b/>
                      <w:bCs/>
                      <w:color w:val="000000"/>
                      <w:sz w:val="21"/>
                      <w:szCs w:val="21"/>
                      <w:vertAlign w:val="baseline"/>
                      <w:lang w:val="en-US" w:eastAsia="zh-CN" w:bidi="ar-SA"/>
                    </w:rPr>
                    <w:t>第3次</w:t>
                  </w:r>
                </w:p>
              </w:tc>
              <w:tc>
                <w:tcPr>
                  <w:tcW w:w="581"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厂界上风向1</w:t>
                  </w:r>
                </w:p>
              </w:tc>
              <w:tc>
                <w:tcPr>
                  <w:tcW w:w="605"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4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0.179</w:t>
                  </w:r>
                </w:p>
              </w:tc>
              <w:tc>
                <w:tcPr>
                  <w:tcW w:w="4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0.184</w:t>
                  </w:r>
                </w:p>
              </w:tc>
              <w:tc>
                <w:tcPr>
                  <w:tcW w:w="47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0.191</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0.166</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0.159</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0.174</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厂界下风向2</w:t>
                  </w:r>
                </w:p>
              </w:tc>
              <w:tc>
                <w:tcPr>
                  <w:tcW w:w="605"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0.277</w:t>
                  </w:r>
                </w:p>
              </w:tc>
              <w:tc>
                <w:tcPr>
                  <w:tcW w:w="4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0.265</w:t>
                  </w:r>
                </w:p>
              </w:tc>
              <w:tc>
                <w:tcPr>
                  <w:tcW w:w="47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0.280</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0.268</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0.254</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0.243</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厂界下风向3</w:t>
                  </w:r>
                </w:p>
              </w:tc>
              <w:tc>
                <w:tcPr>
                  <w:tcW w:w="605"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0.262</w:t>
                  </w:r>
                </w:p>
              </w:tc>
              <w:tc>
                <w:tcPr>
                  <w:tcW w:w="4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0.256</w:t>
                  </w:r>
                </w:p>
              </w:tc>
              <w:tc>
                <w:tcPr>
                  <w:tcW w:w="47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0.290</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0.275</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0.283</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0.271</w:t>
                  </w:r>
                </w:p>
              </w:tc>
              <w:tc>
                <w:tcPr>
                  <w:tcW w:w="581" w:type="pc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厂界下风向4</w:t>
                  </w:r>
                </w:p>
              </w:tc>
              <w:tc>
                <w:tcPr>
                  <w:tcW w:w="605"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0.248</w:t>
                  </w:r>
                </w:p>
              </w:tc>
              <w:tc>
                <w:tcPr>
                  <w:tcW w:w="4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0.264</w:t>
                  </w:r>
                </w:p>
              </w:tc>
              <w:tc>
                <w:tcPr>
                  <w:tcW w:w="47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0.280</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0.280</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0.249</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color w:val="000000" w:themeColor="text1"/>
                      <w:kern w:val="0"/>
                      <w:sz w:val="21"/>
                      <w:szCs w:val="21"/>
                      <w:highlight w:val="none"/>
                      <w:vertAlign w:val="baseline"/>
                      <w:lang w:val="en-US" w:eastAsia="zh-CN" w:bidi="ar-SA"/>
                      <w14:textFill>
                        <w14:solidFill>
                          <w14:schemeClr w14:val="tx1"/>
                        </w14:solidFill>
                      </w14:textFill>
                    </w:rPr>
                    <w:t>0.266</w:t>
                  </w:r>
                </w:p>
              </w:tc>
              <w:tc>
                <w:tcPr>
                  <w:tcW w:w="581" w:type="pc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厂界上风向1</w:t>
                  </w:r>
                </w:p>
              </w:tc>
              <w:tc>
                <w:tcPr>
                  <w:tcW w:w="605"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氨</w:t>
                  </w:r>
                </w:p>
              </w:tc>
              <w:tc>
                <w:tcPr>
                  <w:tcW w:w="46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0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厂界下风向2</w:t>
                  </w:r>
                </w:p>
              </w:tc>
              <w:tc>
                <w:tcPr>
                  <w:tcW w:w="605" w:type="pct"/>
                  <w:vMerge w:val="continue"/>
                  <w:tcBorders>
                    <w:tl2br w:val="nil"/>
                    <w:tr2bl w:val="nil"/>
                  </w:tcBorders>
                  <w:vAlign w:val="top"/>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5"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6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43"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0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81" w:type="pc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厂界下风向3</w:t>
                  </w:r>
                </w:p>
              </w:tc>
              <w:tc>
                <w:tcPr>
                  <w:tcW w:w="605" w:type="pct"/>
                  <w:vMerge w:val="continue"/>
                  <w:tcBorders>
                    <w:tl2br w:val="nil"/>
                    <w:tr2bl w:val="nil"/>
                  </w:tcBorders>
                  <w:vAlign w:val="top"/>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5"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6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43"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0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81" w:type="pc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厂界下风向4</w:t>
                  </w:r>
                </w:p>
              </w:tc>
              <w:tc>
                <w:tcPr>
                  <w:tcW w:w="605" w:type="pct"/>
                  <w:vMerge w:val="continue"/>
                  <w:tcBorders>
                    <w:tl2br w:val="nil"/>
                    <w:tr2bl w:val="nil"/>
                  </w:tcBorders>
                  <w:vAlign w:val="top"/>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p>
              </w:tc>
              <w:tc>
                <w:tcPr>
                  <w:tcW w:w="46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75"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64"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443"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07" w:type="pct"/>
                  <w:tcBorders>
                    <w:tl2br w:val="nil"/>
                    <w:tr2bl w:val="nil"/>
                  </w:tcBorders>
                  <w:shd w:val="clear" w:color="auto" w:fill="auto"/>
                  <w:vAlign w:val="top"/>
                </w:tcPr>
                <w:p>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vertAlign w:val="baseline"/>
                      <w:lang w:val="en-US" w:eastAsia="zh-CN" w:bidi="ar-SA"/>
                    </w:rPr>
                  </w:pPr>
                  <w:r>
                    <w:rPr>
                      <w:rFonts w:hint="eastAsia" w:ascii="Times New Roman" w:hAnsi="Times New Roman" w:cs="Times New Roman"/>
                      <w:color w:val="auto"/>
                      <w:kern w:val="0"/>
                      <w:sz w:val="21"/>
                      <w:szCs w:val="21"/>
                      <w:highlight w:val="none"/>
                      <w:vertAlign w:val="baseline"/>
                      <w:lang w:val="en-US" w:eastAsia="zh-CN" w:bidi="ar-SA"/>
                    </w:rPr>
                    <w:t>0.01L</w:t>
                  </w:r>
                </w:p>
              </w:tc>
              <w:tc>
                <w:tcPr>
                  <w:tcW w:w="581" w:type="pc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mg/m</w:t>
                  </w:r>
                  <w:r>
                    <w:rPr>
                      <w:rFonts w:hint="default" w:ascii="Times New Roman" w:hAnsi="Times New Roman" w:eastAsia="宋体" w:cs="Times New Roman"/>
                      <w:sz w:val="21"/>
                      <w:szCs w:val="21"/>
                      <w:highlight w:val="none"/>
                      <w:vertAlign w:val="superscript"/>
                      <w:lang w:val="en-US" w:eastAsia="zh-CN"/>
                    </w:rPr>
                    <w:t>3</w:t>
                  </w:r>
                </w:p>
              </w:tc>
            </w:tr>
          </w:tbl>
          <w:p>
            <w:pPr>
              <w:bidi w:val="0"/>
              <w:spacing w:line="360" w:lineRule="auto"/>
              <w:ind w:firstLine="480" w:firstLineChars="200"/>
              <w:rPr>
                <w:rFonts w:hint="eastAsia"/>
                <w:color w:val="FF0000"/>
                <w:sz w:val="24"/>
                <w:szCs w:val="24"/>
                <w:highlight w:val="none"/>
                <w:lang w:val="en-US" w:eastAsia="zh-CN"/>
              </w:rPr>
            </w:pPr>
            <w:r>
              <w:rPr>
                <w:rFonts w:hint="default" w:ascii="Times New Roman" w:hAnsi="Times New Roman" w:cs="Times New Roman"/>
                <w:color w:val="auto"/>
                <w:sz w:val="24"/>
                <w:szCs w:val="24"/>
                <w:highlight w:val="none"/>
                <w:lang w:val="en-US" w:eastAsia="zh-CN"/>
              </w:rPr>
              <w:t>由表7-</w:t>
            </w:r>
            <w:r>
              <w:rPr>
                <w:rFonts w:hint="eastAsia"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可知，验收监测期间</w:t>
            </w:r>
            <w:r>
              <w:rPr>
                <w:rFonts w:hint="eastAsia" w:ascii="Times New Roman" w:hAnsi="Times New Roman" w:cs="Times New Roman"/>
                <w:color w:val="auto"/>
                <w:sz w:val="24"/>
                <w:szCs w:val="24"/>
                <w:highlight w:val="none"/>
                <w:lang w:val="en-US" w:eastAsia="zh-CN"/>
              </w:rPr>
              <w:t>锅炉烟囱（DA001）</w:t>
            </w:r>
            <w:r>
              <w:rPr>
                <w:rFonts w:hint="default" w:ascii="Times New Roman" w:hAnsi="Times New Roman" w:cs="Times New Roman"/>
                <w:color w:val="auto"/>
                <w:sz w:val="24"/>
                <w:szCs w:val="24"/>
                <w:highlight w:val="none"/>
                <w:lang w:val="en-US" w:eastAsia="zh-CN"/>
              </w:rPr>
              <w:t>有组织废气</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10.7-11.6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，排放速率0.022-0.026kg/h</w:t>
            </w:r>
            <w:r>
              <w:rPr>
                <w:rFonts w:hint="default" w:ascii="Times New Roman" w:hAnsi="Times New Roman" w:cs="Times New Roman"/>
                <w:color w:val="auto"/>
                <w:sz w:val="24"/>
                <w:szCs w:val="24"/>
                <w:highlight w:val="none"/>
                <w:lang w:val="en-US" w:eastAsia="zh-CN"/>
              </w:rPr>
              <w:t>；有组织废气</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60-67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排放速率0.135-0.147kg/h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NOx</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30-40</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排放速率0.069-0.082kg/h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汞及其化合物排放浓度为0.003-0.0052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排放速率＜0.001kg/h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烟气黑度小于1级；</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、颗粒物、汞及其化合物的排放浓度及烟气黑度满足《锅炉大气污染物排放标准》（GB13271-2014）表3排放限值。</w:t>
            </w:r>
            <w:r>
              <w:rPr>
                <w:rFonts w:hint="default" w:ascii="Times New Roman" w:hAnsi="Times New Roman" w:cs="Times New Roman"/>
                <w:color w:val="auto"/>
                <w:sz w:val="24"/>
                <w:szCs w:val="24"/>
                <w:highlight w:val="none"/>
                <w:lang w:val="en-US" w:eastAsia="zh-CN"/>
              </w:rPr>
              <w:t>厂界无组织颗粒物排放浓度</w:t>
            </w:r>
            <w:r>
              <w:rPr>
                <w:rFonts w:hint="eastAsia" w:ascii="Times New Roman" w:hAnsi="Times New Roman" w:cs="Times New Roman"/>
                <w:color w:val="auto"/>
                <w:sz w:val="24"/>
                <w:szCs w:val="24"/>
                <w:highlight w:val="none"/>
                <w:lang w:val="en-US" w:eastAsia="zh-CN"/>
              </w:rPr>
              <w:t>0.159-0.290</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排放浓度满足《大气污染物综合排放标准》（GB16297-1996）表2中颗粒物无组织排放监控浓度限值</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厂界无组织</w:t>
            </w:r>
            <w:r>
              <w:rPr>
                <w:rFonts w:hint="eastAsia" w:ascii="Times New Roman" w:hAnsi="Times New Roman" w:cs="Times New Roman"/>
                <w:color w:val="auto"/>
                <w:sz w:val="24"/>
                <w:szCs w:val="24"/>
                <w:highlight w:val="none"/>
                <w:lang w:val="en-US" w:eastAsia="zh-CN"/>
              </w:rPr>
              <w:t>氨</w:t>
            </w:r>
            <w:r>
              <w:rPr>
                <w:rFonts w:hint="default" w:ascii="Times New Roman" w:hAnsi="Times New Roman" w:cs="Times New Roman"/>
                <w:color w:val="auto"/>
                <w:sz w:val="24"/>
                <w:szCs w:val="24"/>
                <w:highlight w:val="none"/>
                <w:lang w:val="en-US" w:eastAsia="zh-CN"/>
              </w:rPr>
              <w:t>排放浓度</w:t>
            </w:r>
            <w:r>
              <w:rPr>
                <w:rFonts w:hint="eastAsia" w:ascii="Times New Roman" w:hAnsi="Times New Roman" w:cs="Times New Roman"/>
                <w:color w:val="auto"/>
                <w:sz w:val="24"/>
                <w:szCs w:val="24"/>
                <w:highlight w:val="none"/>
                <w:lang w:val="en-US" w:eastAsia="zh-CN"/>
              </w:rPr>
              <w:t>未检出，</w:t>
            </w:r>
            <w:r>
              <w:rPr>
                <w:rFonts w:hint="default" w:ascii="Times New Roman" w:hAnsi="Times New Roman" w:cs="Times New Roman"/>
                <w:color w:val="auto"/>
                <w:sz w:val="24"/>
                <w:szCs w:val="24"/>
                <w:highlight w:val="none"/>
                <w:lang w:val="en-US" w:eastAsia="zh-CN"/>
              </w:rPr>
              <w:t>排放浓度满足《恶臭污染物排放标准》（GB14554-93）</w:t>
            </w:r>
            <w:r>
              <w:rPr>
                <w:rFonts w:hint="eastAsia" w:ascii="Times New Roman" w:hAnsi="Times New Roman" w:cs="Times New Roman"/>
                <w:color w:val="auto"/>
                <w:sz w:val="24"/>
                <w:szCs w:val="24"/>
                <w:highlight w:val="none"/>
                <w:lang w:val="en-US" w:eastAsia="zh-CN"/>
              </w:rPr>
              <w:t>表1二级标准</w:t>
            </w:r>
            <w:r>
              <w:rPr>
                <w:rFonts w:hint="default" w:ascii="Times New Roman" w:hAnsi="Times New Roman" w:cs="Times New Roman"/>
                <w:color w:val="auto"/>
                <w:sz w:val="24"/>
                <w:szCs w:val="24"/>
                <w:highlight w:val="none"/>
                <w:lang w:val="en-US" w:eastAsia="zh-CN"/>
              </w:rPr>
              <w:t>限值要求。</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b/>
                <w:bCs/>
                <w:color w:val="auto"/>
                <w:sz w:val="28"/>
                <w:szCs w:val="28"/>
                <w:highlight w:val="none"/>
                <w:lang w:val="en-US" w:eastAsia="zh-CN"/>
              </w:rPr>
            </w:pPr>
            <w:r>
              <w:rPr>
                <w:rFonts w:hint="eastAsia"/>
                <w:b/>
                <w:bCs/>
                <w:color w:val="auto"/>
                <w:sz w:val="28"/>
                <w:szCs w:val="28"/>
                <w:highlight w:val="none"/>
                <w:lang w:val="en-US" w:eastAsia="zh-CN"/>
              </w:rPr>
              <w:t>二、噪声验收</w:t>
            </w:r>
            <w:r>
              <w:rPr>
                <w:rFonts w:hint="default"/>
                <w:b/>
                <w:bCs/>
                <w:color w:val="auto"/>
                <w:sz w:val="28"/>
                <w:szCs w:val="28"/>
                <w:highlight w:val="none"/>
                <w:lang w:val="en-US" w:eastAsia="zh-CN"/>
              </w:rPr>
              <w:t>监测结果</w:t>
            </w:r>
          </w:p>
          <w:p>
            <w:pPr>
              <w:spacing w:line="360" w:lineRule="auto"/>
              <w:ind w:firstLine="480" w:firstLineChars="200"/>
              <w:jc w:val="left"/>
              <w:rPr>
                <w:rFonts w:hint="default"/>
                <w:b w:val="0"/>
                <w:bCs w:val="0"/>
                <w:color w:val="auto"/>
                <w:sz w:val="24"/>
                <w:szCs w:val="24"/>
                <w:highlight w:val="none"/>
                <w:lang w:val="en-US" w:eastAsia="zh-CN"/>
              </w:rPr>
            </w:pPr>
            <w:r>
              <w:rPr>
                <w:rFonts w:hint="eastAsia"/>
                <w:color w:val="auto"/>
                <w:sz w:val="24"/>
                <w:szCs w:val="24"/>
                <w:highlight w:val="none"/>
                <w:lang w:val="en-US" w:eastAsia="zh-CN"/>
              </w:rPr>
              <w:t>噪声</w:t>
            </w:r>
            <w:r>
              <w:rPr>
                <w:rFonts w:hint="default"/>
                <w:color w:val="auto"/>
                <w:sz w:val="24"/>
                <w:szCs w:val="24"/>
                <w:highlight w:val="none"/>
                <w:lang w:val="en-US" w:eastAsia="zh-CN"/>
              </w:rPr>
              <w:t xml:space="preserve">验收监测结果见表 </w:t>
            </w:r>
            <w:r>
              <w:rPr>
                <w:rFonts w:hint="default" w:ascii="Times New Roman" w:hAnsi="Times New Roman" w:cs="Times New Roman"/>
                <w:b w:val="0"/>
                <w:bCs w:val="0"/>
                <w:color w:val="auto"/>
                <w:sz w:val="24"/>
                <w:szCs w:val="24"/>
                <w:highlight w:val="none"/>
                <w:lang w:val="en-US" w:eastAsia="zh-CN"/>
              </w:rPr>
              <w:t>7-</w:t>
            </w:r>
            <w:r>
              <w:rPr>
                <w:rFonts w:hint="eastAsia" w:ascii="Times New Roman" w:hAnsi="Times New Roman" w:cs="Times New Roman"/>
                <w:b w:val="0"/>
                <w:bCs w:val="0"/>
                <w:color w:val="auto"/>
                <w:sz w:val="24"/>
                <w:szCs w:val="24"/>
                <w:highlight w:val="none"/>
                <w:lang w:val="en-US" w:eastAsia="zh-CN"/>
              </w:rPr>
              <w:t>3</w:t>
            </w:r>
            <w:r>
              <w:rPr>
                <w:rFonts w:hint="default"/>
                <w:b w:val="0"/>
                <w:bCs w:val="0"/>
                <w:color w:val="auto"/>
                <w:sz w:val="24"/>
                <w:szCs w:val="24"/>
                <w:highlight w:val="none"/>
                <w:lang w:val="en-US" w:eastAsia="zh-CN"/>
              </w:rPr>
              <w:t xml:space="preserve"> 。</w:t>
            </w:r>
          </w:p>
          <w:p>
            <w:pPr>
              <w:pStyle w:val="49"/>
              <w:keepNext w:val="0"/>
              <w:keepLines w:val="0"/>
              <w:pageBreakBefore w:val="0"/>
              <w:widowControl w:val="0"/>
              <w:kinsoku/>
              <w:wordWrap/>
              <w:overflowPunct/>
              <w:topLinePunct w:val="0"/>
              <w:autoSpaceDE w:val="0"/>
              <w:autoSpaceDN w:val="0"/>
              <w:bidi w:val="0"/>
              <w:adjustRightInd/>
              <w:snapToGrid/>
              <w:spacing w:line="240" w:lineRule="auto"/>
              <w:textAlignment w:val="auto"/>
              <w:rPr>
                <w:b w:val="0"/>
                <w:bCs w:val="0"/>
                <w:color w:val="auto"/>
                <w:highlight w:val="none"/>
              </w:rPr>
            </w:pPr>
            <w:r>
              <w:rPr>
                <w:rFonts w:hint="eastAsia"/>
                <w:b w:val="0"/>
                <w:bCs w:val="0"/>
                <w:color w:val="auto"/>
                <w:highlight w:val="none"/>
                <w:lang w:val="en-US" w:eastAsia="zh-CN"/>
              </w:rPr>
              <w:t xml:space="preserve">表 </w:t>
            </w:r>
            <w:r>
              <w:rPr>
                <w:rFonts w:hint="default" w:ascii="Times New Roman" w:hAnsi="Times New Roman" w:cs="Times New Roman"/>
                <w:b w:val="0"/>
                <w:bCs w:val="0"/>
                <w:color w:val="auto"/>
                <w:highlight w:val="none"/>
                <w:lang w:val="en-US" w:eastAsia="zh-CN"/>
              </w:rPr>
              <w:t>7-</w:t>
            </w:r>
            <w:r>
              <w:rPr>
                <w:rFonts w:hint="eastAsia" w:ascii="Times New Roman" w:hAnsi="Times New Roman" w:cs="Times New Roman"/>
                <w:b w:val="0"/>
                <w:bCs w:val="0"/>
                <w:color w:val="auto"/>
                <w:highlight w:val="none"/>
                <w:lang w:val="en-US" w:eastAsia="zh-CN"/>
              </w:rPr>
              <w:t>3</w:t>
            </w:r>
            <w:r>
              <w:rPr>
                <w:rFonts w:hint="eastAsia"/>
                <w:b w:val="0"/>
                <w:bCs w:val="0"/>
                <w:color w:val="auto"/>
                <w:highlight w:val="none"/>
                <w:lang w:val="en-US" w:eastAsia="zh-CN"/>
              </w:rPr>
              <w:t xml:space="preserve"> 噪声</w:t>
            </w:r>
            <w:r>
              <w:rPr>
                <w:rFonts w:hint="default"/>
                <w:b w:val="0"/>
                <w:bCs w:val="0"/>
                <w:color w:val="auto"/>
                <w:highlight w:val="none"/>
                <w:lang w:val="en-US" w:eastAsia="zh-CN"/>
              </w:rPr>
              <w:t>验收监测结果</w:t>
            </w:r>
            <w:r>
              <w:rPr>
                <w:rFonts w:hint="eastAsia"/>
                <w:b w:val="0"/>
                <w:bCs w:val="0"/>
                <w:color w:val="auto"/>
                <w:highlight w:val="none"/>
                <w:lang w:val="en-US" w:eastAsia="zh-CN"/>
              </w:rPr>
              <w:t xml:space="preserve">  </w:t>
            </w:r>
            <w:r>
              <w:rPr>
                <w:b w:val="0"/>
                <w:bCs w:val="0"/>
                <w:color w:val="auto"/>
                <w:highlight w:val="none"/>
              </w:rPr>
              <w:t>单位：</w:t>
            </w:r>
            <w:r>
              <w:rPr>
                <w:rFonts w:hint="default" w:ascii="Times New Roman" w:hAnsi="Times New Roman" w:cs="Times New Roman"/>
                <w:b w:val="0"/>
                <w:bCs w:val="0"/>
                <w:color w:val="auto"/>
                <w:highlight w:val="none"/>
              </w:rPr>
              <w:t>dB(A)</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840"/>
              <w:gridCol w:w="1368"/>
              <w:gridCol w:w="1365"/>
              <w:gridCol w:w="4"/>
              <w:gridCol w:w="1368"/>
              <w:gridCol w:w="1372"/>
              <w:gridCol w:w="8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08" w:type="pct"/>
                  <w:gridSpan w:val="2"/>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监测日期</w:t>
                  </w:r>
                </w:p>
              </w:tc>
              <w:tc>
                <w:tcPr>
                  <w:tcW w:w="2733" w:type="dxa"/>
                  <w:gridSpan w:val="2"/>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yellow"/>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3.04.04</w:t>
                  </w:r>
                </w:p>
              </w:tc>
              <w:tc>
                <w:tcPr>
                  <w:tcW w:w="2744" w:type="dxa"/>
                  <w:gridSpan w:val="3"/>
                  <w:tcBorders>
                    <w:tl2br w:val="nil"/>
                    <w:tr2bl w:val="nil"/>
                  </w:tcBorders>
                  <w:vAlign w:val="center"/>
                </w:tcPr>
                <w:p>
                  <w:pPr>
                    <w:pStyle w:val="27"/>
                    <w:spacing w:line="240" w:lineRule="auto"/>
                    <w:jc w:val="center"/>
                    <w:rPr>
                      <w:rFonts w:hint="default" w:ascii="Times New Roman" w:hAnsi="Times New Roman" w:eastAsia="宋体" w:cs="Times New Roman"/>
                      <w:b/>
                      <w:bCs/>
                      <w:color w:val="000000"/>
                      <w:sz w:val="21"/>
                      <w:szCs w:val="21"/>
                      <w:highlight w:val="yellow"/>
                      <w:vertAlign w:val="baseline"/>
                      <w:lang w:val="en-US" w:eastAsia="zh-CN" w:bidi="ar-SA"/>
                    </w:rPr>
                  </w:pPr>
                  <w:r>
                    <w:rPr>
                      <w:rFonts w:hint="default" w:ascii="Times New Roman" w:hAnsi="Times New Roman" w:eastAsia="宋体" w:cs="Times New Roman"/>
                      <w:b/>
                      <w:bCs/>
                      <w:sz w:val="21"/>
                      <w:szCs w:val="21"/>
                      <w:highlight w:val="none"/>
                      <w:vertAlign w:val="baseline"/>
                      <w:lang w:val="en-US" w:eastAsia="zh-CN"/>
                    </w:rPr>
                    <w:t>202</w:t>
                  </w:r>
                  <w:r>
                    <w:rPr>
                      <w:rFonts w:hint="eastAsia" w:ascii="Times New Roman" w:eastAsia="宋体" w:cs="Times New Roman"/>
                      <w:b/>
                      <w:bCs/>
                      <w:sz w:val="21"/>
                      <w:szCs w:val="21"/>
                      <w:highlight w:val="none"/>
                      <w:vertAlign w:val="baseline"/>
                      <w:lang w:val="en-US" w:eastAsia="zh-CN"/>
                    </w:rPr>
                    <w:t>3.04.05</w:t>
                  </w:r>
                </w:p>
              </w:tc>
              <w:tc>
                <w:tcPr>
                  <w:tcW w:w="473" w:type="pct"/>
                  <w:vMerge w:val="restart"/>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047" w:type="pct"/>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监测点位</w:t>
                  </w:r>
                </w:p>
              </w:tc>
              <w:tc>
                <w:tcPr>
                  <w:tcW w:w="779"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昼间</w:t>
                  </w:r>
                </w:p>
              </w:tc>
              <w:tc>
                <w:tcPr>
                  <w:tcW w:w="779" w:type="pct"/>
                  <w:gridSpan w:val="2"/>
                  <w:tcBorders>
                    <w:tl2br w:val="nil"/>
                    <w:tr2bl w:val="nil"/>
                  </w:tcBorders>
                  <w:vAlign w:val="center"/>
                </w:tcPr>
                <w:p>
                  <w:pPr>
                    <w:pStyle w:val="27"/>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夜间</w:t>
                  </w:r>
                </w:p>
              </w:tc>
              <w:tc>
                <w:tcPr>
                  <w:tcW w:w="779"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auto"/>
                      <w:sz w:val="21"/>
                      <w:szCs w:val="21"/>
                      <w:highlight w:val="none"/>
                      <w:vertAlign w:val="baseline"/>
                      <w:lang w:val="en-US" w:eastAsia="zh-CN" w:bidi="ar-SA"/>
                    </w:rPr>
                  </w:pPr>
                  <w:r>
                    <w:rPr>
                      <w:rFonts w:hint="default" w:ascii="Times New Roman" w:hAnsi="Times New Roman" w:eastAsia="宋体" w:cs="Times New Roman"/>
                      <w:b/>
                      <w:bCs/>
                      <w:color w:val="auto"/>
                      <w:sz w:val="21"/>
                      <w:szCs w:val="21"/>
                      <w:highlight w:val="none"/>
                      <w:vertAlign w:val="baseline"/>
                      <w:lang w:val="en-US" w:eastAsia="zh-CN"/>
                    </w:rPr>
                    <w:t>昼间</w:t>
                  </w:r>
                </w:p>
              </w:tc>
              <w:tc>
                <w:tcPr>
                  <w:tcW w:w="780" w:type="pct"/>
                  <w:tcBorders>
                    <w:tl2br w:val="nil"/>
                    <w:tr2bl w:val="nil"/>
                  </w:tcBorders>
                  <w:vAlign w:val="center"/>
                </w:tcPr>
                <w:p>
                  <w:pPr>
                    <w:pStyle w:val="27"/>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夜间</w:t>
                  </w:r>
                </w:p>
              </w:tc>
              <w:tc>
                <w:tcPr>
                  <w:tcW w:w="473" w:type="pct"/>
                  <w:vMerge w:val="continue"/>
                  <w:tcBorders>
                    <w:tl2br w:val="nil"/>
                    <w:tr2bl w:val="nil"/>
                  </w:tcBorders>
                  <w:vAlign w:val="center"/>
                </w:tcPr>
                <w:p>
                  <w:pPr>
                    <w:pStyle w:val="27"/>
                    <w:spacing w:line="240" w:lineRule="auto"/>
                    <w:jc w:val="center"/>
                    <w:rPr>
                      <w:rFonts w:hint="default" w:ascii="Times New Roman" w:hAnsi="Times New Roman" w:eastAsia="宋体" w:cs="Times New Roman"/>
                      <w:b/>
                      <w:bCs/>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 w:type="pct"/>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047" w:type="pct"/>
                  <w:tcBorders>
                    <w:tl2br w:val="nil"/>
                    <w:tr2bl w:val="nil"/>
                  </w:tcBorders>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000000"/>
                      <w:szCs w:val="21"/>
                      <w:lang w:eastAsia="zh-CN"/>
                    </w:rPr>
                    <w:t>厂界东侧外</w:t>
                  </w:r>
                  <w:r>
                    <w:rPr>
                      <w:rFonts w:hint="default" w:ascii="Times New Roman" w:hAnsi="Times New Roman" w:eastAsia="宋体" w:cs="Times New Roman"/>
                      <w:color w:val="000000"/>
                      <w:szCs w:val="21"/>
                      <w:lang w:val="en-US" w:eastAsia="zh-CN"/>
                    </w:rPr>
                    <w:t>1m</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53</w:t>
                  </w:r>
                </w:p>
              </w:tc>
              <w:tc>
                <w:tcPr>
                  <w:tcW w:w="1369" w:type="dxa"/>
                  <w:gridSpan w:val="2"/>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39</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51</w:t>
                  </w:r>
                </w:p>
              </w:tc>
              <w:tc>
                <w:tcPr>
                  <w:tcW w:w="1372"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38</w:t>
                  </w:r>
                </w:p>
              </w:tc>
              <w:tc>
                <w:tcPr>
                  <w:tcW w:w="473" w:type="pct"/>
                  <w:vMerge w:val="restart"/>
                  <w:tcBorders>
                    <w:tl2br w:val="nil"/>
                    <w:tr2bl w:val="nil"/>
                  </w:tcBorders>
                  <w:vAlign w:val="center"/>
                </w:tcPr>
                <w:p>
                  <w:pPr>
                    <w:pStyle w:val="27"/>
                    <w:spacing w:line="240" w:lineRule="auto"/>
                    <w:jc w:val="center"/>
                    <w:rPr>
                      <w:rFonts w:hint="default" w:ascii="Times New Roman" w:hAnsi="Times New Roman" w:eastAsia="宋体" w:cs="Times New Roman"/>
                      <w:sz w:val="21"/>
                      <w:szCs w:val="21"/>
                      <w:highlight w:val="none"/>
                      <w:vertAlign w:val="baseline"/>
                      <w:lang w:val="en-US" w:eastAsia="zh-CN"/>
                    </w:rPr>
                  </w:pPr>
                  <w:r>
                    <w:rPr>
                      <w:rFonts w:hint="default" w:ascii="Times New Roman" w:hAnsi="Times New Roman" w:eastAsia="宋体" w:cs="Times New Roman"/>
                      <w:sz w:val="21"/>
                      <w:szCs w:val="21"/>
                      <w:highlight w:val="none"/>
                      <w:vertAlign w:val="baseline"/>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047" w:type="pct"/>
                  <w:tcBorders>
                    <w:tl2br w:val="nil"/>
                    <w:tr2bl w:val="nil"/>
                  </w:tcBorders>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000000"/>
                      <w:szCs w:val="21"/>
                      <w:lang w:eastAsia="zh-CN"/>
                    </w:rPr>
                    <w:t>厂界南侧外</w:t>
                  </w:r>
                  <w:r>
                    <w:rPr>
                      <w:rFonts w:hint="default" w:ascii="Times New Roman" w:hAnsi="Times New Roman" w:eastAsia="宋体" w:cs="Times New Roman"/>
                      <w:color w:val="000000"/>
                      <w:szCs w:val="21"/>
                      <w:lang w:val="en-US" w:eastAsia="zh-CN"/>
                    </w:rPr>
                    <w:t>1m</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56</w:t>
                  </w:r>
                </w:p>
              </w:tc>
              <w:tc>
                <w:tcPr>
                  <w:tcW w:w="1369" w:type="dxa"/>
                  <w:gridSpan w:val="2"/>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39</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55</w:t>
                  </w:r>
                </w:p>
              </w:tc>
              <w:tc>
                <w:tcPr>
                  <w:tcW w:w="1372"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38</w:t>
                  </w:r>
                </w:p>
              </w:tc>
              <w:tc>
                <w:tcPr>
                  <w:tcW w:w="473"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047" w:type="pct"/>
                  <w:tcBorders>
                    <w:tl2br w:val="nil"/>
                    <w:tr2bl w:val="nil"/>
                  </w:tcBorders>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000000"/>
                      <w:szCs w:val="21"/>
                      <w:lang w:eastAsia="zh-CN"/>
                    </w:rPr>
                    <w:t>厂界</w:t>
                  </w:r>
                  <w:r>
                    <w:rPr>
                      <w:rFonts w:hint="default" w:ascii="Times New Roman" w:hAnsi="Times New Roman" w:eastAsia="宋体" w:cs="Times New Roman"/>
                      <w:color w:val="000000"/>
                      <w:szCs w:val="21"/>
                      <w:lang w:val="en-US" w:eastAsia="zh-CN"/>
                    </w:rPr>
                    <w:t>西</w:t>
                  </w:r>
                  <w:r>
                    <w:rPr>
                      <w:rFonts w:hint="default" w:ascii="Times New Roman" w:hAnsi="Times New Roman" w:eastAsia="宋体" w:cs="Times New Roman"/>
                      <w:color w:val="000000"/>
                      <w:szCs w:val="21"/>
                      <w:lang w:eastAsia="zh-CN"/>
                    </w:rPr>
                    <w:t>侧外</w:t>
                  </w:r>
                  <w:r>
                    <w:rPr>
                      <w:rFonts w:hint="default" w:ascii="Times New Roman" w:hAnsi="Times New Roman" w:eastAsia="宋体" w:cs="Times New Roman"/>
                      <w:color w:val="000000"/>
                      <w:szCs w:val="21"/>
                      <w:lang w:val="en-US" w:eastAsia="zh-CN"/>
                    </w:rPr>
                    <w:t>1m</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56</w:t>
                  </w:r>
                </w:p>
              </w:tc>
              <w:tc>
                <w:tcPr>
                  <w:tcW w:w="1369" w:type="dxa"/>
                  <w:gridSpan w:val="2"/>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38</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55</w:t>
                  </w:r>
                </w:p>
              </w:tc>
              <w:tc>
                <w:tcPr>
                  <w:tcW w:w="1372" w:type="dxa"/>
                  <w:tcBorders>
                    <w:tl2br w:val="nil"/>
                    <w:tr2bl w:val="nil"/>
                  </w:tcBorders>
                  <w:vAlign w:val="center"/>
                </w:tcPr>
                <w:p>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39</w:t>
                  </w:r>
                </w:p>
              </w:tc>
              <w:tc>
                <w:tcPr>
                  <w:tcW w:w="473"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 w:type="pct"/>
                  <w:tcBorders>
                    <w:tl2br w:val="nil"/>
                    <w:tr2bl w:val="nil"/>
                  </w:tcBorders>
                  <w:vAlign w:val="center"/>
                </w:tcPr>
                <w:p>
                  <w:pPr>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047" w:type="pct"/>
                  <w:tcBorders>
                    <w:tl2br w:val="nil"/>
                    <w:tr2bl w:val="nil"/>
                  </w:tcBorders>
                  <w:vAlign w:val="center"/>
                </w:tcPr>
                <w:p>
                  <w:pPr>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color w:val="000000"/>
                      <w:szCs w:val="21"/>
                      <w:lang w:eastAsia="zh-CN"/>
                    </w:rPr>
                    <w:t>厂界</w:t>
                  </w:r>
                  <w:r>
                    <w:rPr>
                      <w:rFonts w:hint="default" w:ascii="Times New Roman" w:hAnsi="Times New Roman" w:eastAsia="宋体" w:cs="Times New Roman"/>
                      <w:color w:val="000000"/>
                      <w:szCs w:val="21"/>
                      <w:lang w:val="en-US" w:eastAsia="zh-CN"/>
                    </w:rPr>
                    <w:t>北</w:t>
                  </w:r>
                  <w:r>
                    <w:rPr>
                      <w:rFonts w:hint="default" w:ascii="Times New Roman" w:hAnsi="Times New Roman" w:eastAsia="宋体" w:cs="Times New Roman"/>
                      <w:color w:val="000000"/>
                      <w:szCs w:val="21"/>
                      <w:lang w:eastAsia="zh-CN"/>
                    </w:rPr>
                    <w:t>侧外</w:t>
                  </w:r>
                  <w:r>
                    <w:rPr>
                      <w:rFonts w:hint="default" w:ascii="Times New Roman" w:hAnsi="Times New Roman" w:eastAsia="宋体" w:cs="Times New Roman"/>
                      <w:color w:val="000000"/>
                      <w:szCs w:val="21"/>
                      <w:lang w:val="en-US" w:eastAsia="zh-CN"/>
                    </w:rPr>
                    <w:t>1m</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51</w:t>
                  </w:r>
                </w:p>
              </w:tc>
              <w:tc>
                <w:tcPr>
                  <w:tcW w:w="1369" w:type="dxa"/>
                  <w:gridSpan w:val="2"/>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40</w:t>
                  </w:r>
                </w:p>
              </w:tc>
              <w:tc>
                <w:tcPr>
                  <w:tcW w:w="1368" w:type="dxa"/>
                  <w:tcBorders>
                    <w:tl2br w:val="nil"/>
                    <w:tr2bl w:val="nil"/>
                  </w:tcBorders>
                  <w:vAlign w:val="center"/>
                </w:tcPr>
                <w:p>
                  <w:pPr>
                    <w:pStyle w:val="27"/>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53</w:t>
                  </w:r>
                </w:p>
              </w:tc>
              <w:tc>
                <w:tcPr>
                  <w:tcW w:w="1372" w:type="dxa"/>
                  <w:tcBorders>
                    <w:tl2br w:val="nil"/>
                    <w:tr2bl w:val="nil"/>
                  </w:tcBorders>
                  <w:vAlign w:val="center"/>
                </w:tcPr>
                <w:p>
                  <w:pPr>
                    <w:pStyle w:val="27"/>
                    <w:spacing w:line="240" w:lineRule="auto"/>
                    <w:ind w:left="0" w:leftChars="0"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eastAsia="宋体" w:cs="Times New Roman"/>
                      <w:color w:val="auto"/>
                      <w:sz w:val="21"/>
                      <w:szCs w:val="21"/>
                      <w:highlight w:val="none"/>
                      <w:vertAlign w:val="baseline"/>
                      <w:lang w:val="en-US" w:eastAsia="zh-CN"/>
                    </w:rPr>
                    <w:t>37</w:t>
                  </w:r>
                </w:p>
              </w:tc>
              <w:tc>
                <w:tcPr>
                  <w:tcW w:w="473" w:type="pct"/>
                  <w:vMerge w:val="continue"/>
                  <w:tcBorders>
                    <w:tl2br w:val="nil"/>
                    <w:tr2bl w:val="nil"/>
                  </w:tcBorders>
                  <w:vAlign w:val="center"/>
                </w:tcPr>
                <w:p>
                  <w:pPr>
                    <w:spacing w:line="240" w:lineRule="auto"/>
                    <w:jc w:val="center"/>
                    <w:rPr>
                      <w:rFonts w:hint="default" w:ascii="Times New Roman" w:hAnsi="Times New Roman" w:eastAsia="宋体" w:cs="Times New Roman"/>
                      <w:sz w:val="21"/>
                      <w:szCs w:val="21"/>
                      <w:highlight w:val="none"/>
                      <w:vertAlign w:val="baseline"/>
                      <w:lang w:val="en-US" w:eastAsia="zh-CN"/>
                    </w:rPr>
                  </w:pPr>
                </w:p>
              </w:tc>
            </w:tr>
          </w:tbl>
          <w:p>
            <w:pPr>
              <w:bidi w:val="0"/>
              <w:spacing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w:t>
            </w:r>
            <w:r>
              <w:rPr>
                <w:rFonts w:hint="eastAsia"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lang w:val="en-US" w:eastAsia="zh-CN"/>
              </w:rPr>
              <w:t>7-</w:t>
            </w:r>
            <w:r>
              <w:rPr>
                <w:rFonts w:hint="eastAsia" w:ascii="Times New Roman" w:hAnsi="Times New Roman" w:eastAsia="宋体" w:cs="Times New Roman"/>
                <w:b w:val="0"/>
                <w:bCs w:val="0"/>
                <w:color w:val="auto"/>
                <w:sz w:val="24"/>
                <w:szCs w:val="24"/>
                <w:highlight w:val="none"/>
                <w:lang w:val="en-US" w:eastAsia="zh-CN"/>
              </w:rPr>
              <w:t xml:space="preserve">3 </w:t>
            </w:r>
            <w:r>
              <w:rPr>
                <w:rFonts w:hint="default" w:ascii="Times New Roman" w:hAnsi="Times New Roman" w:eastAsia="宋体" w:cs="Times New Roman"/>
                <w:b w:val="0"/>
                <w:bCs w:val="0"/>
                <w:color w:val="auto"/>
                <w:sz w:val="24"/>
                <w:szCs w:val="24"/>
                <w:highlight w:val="none"/>
                <w:lang w:val="en-US" w:eastAsia="zh-CN"/>
              </w:rPr>
              <w:t>可知，</w:t>
            </w:r>
            <w:r>
              <w:rPr>
                <w:rFonts w:hint="default" w:ascii="Times New Roman" w:hAnsi="Times New Roman" w:eastAsia="宋体" w:cs="Times New Roman"/>
                <w:color w:val="auto"/>
                <w:sz w:val="24"/>
                <w:szCs w:val="24"/>
                <w:highlight w:val="none"/>
                <w:lang w:val="en-US" w:eastAsia="zh-CN"/>
              </w:rPr>
              <w:t>验收监测期间厂界噪声昼间监测最大值为</w:t>
            </w:r>
            <w:r>
              <w:rPr>
                <w:rFonts w:hint="eastAsia" w:ascii="Times New Roman" w:hAnsi="Times New Roman" w:eastAsia="宋体" w:cs="Times New Roman"/>
                <w:color w:val="auto"/>
                <w:sz w:val="24"/>
                <w:szCs w:val="24"/>
                <w:highlight w:val="none"/>
                <w:lang w:val="en-US" w:eastAsia="zh-CN"/>
              </w:rPr>
              <w:t>56</w:t>
            </w:r>
            <w:r>
              <w:rPr>
                <w:rFonts w:hint="default" w:ascii="Times New Roman" w:hAnsi="Times New Roman" w:eastAsia="宋体" w:cs="Times New Roman"/>
                <w:color w:val="auto"/>
                <w:sz w:val="24"/>
                <w:szCs w:val="24"/>
                <w:highlight w:val="none"/>
                <w:lang w:val="en-US" w:eastAsia="zh-CN"/>
              </w:rPr>
              <w:t>dB(A)、夜间监测最大值为</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dB(A)，均符合《工业企业厂界环境噪声排放标准》（GB12348-2008）中的</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类标准</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昼间≤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0dB(A)，夜间≤5</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dB(A)</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w:t>
            </w: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default" w:ascii="Times New Roman" w:hAnsi="Times New Roman" w:eastAsia="宋体" w:cs="Times New Roman"/>
                <w:color w:val="auto"/>
                <w:sz w:val="24"/>
                <w:szCs w:val="24"/>
                <w:highlight w:val="none"/>
                <w:lang w:val="en-US" w:eastAsia="zh-CN"/>
              </w:rPr>
            </w:pPr>
          </w:p>
          <w:p>
            <w:pPr>
              <w:pStyle w:val="27"/>
              <w:jc w:val="both"/>
              <w:rPr>
                <w:rFonts w:hint="eastAsia" w:ascii="Times New Roman" w:hAnsi="Times New Roman" w:eastAsia="宋体" w:cs="Times New Roman"/>
                <w:color w:val="auto"/>
                <w:sz w:val="24"/>
                <w:szCs w:val="24"/>
                <w:highlight w:val="none"/>
                <w:lang w:val="en-US" w:eastAsia="zh-CN"/>
              </w:rPr>
            </w:pPr>
          </w:p>
        </w:tc>
      </w:tr>
    </w:tbl>
    <w:p>
      <w:pPr>
        <w:rPr>
          <w:color w:val="FF0000"/>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lang w:eastAsia="zh-CN"/>
        </w:rPr>
      </w:pPr>
      <w:bookmarkStart w:id="41" w:name="_Toc29595"/>
      <w:bookmarkStart w:id="42" w:name="_Toc15181"/>
      <w:r>
        <w:rPr>
          <w:rFonts w:hint="default" w:ascii="Times New Roman" w:hAnsi="Times New Roman" w:eastAsia="宋体" w:cs="Times New Roman"/>
          <w:sz w:val="28"/>
          <w:szCs w:val="28"/>
          <w:lang w:val="en-US" w:eastAsia="zh-CN"/>
        </w:rPr>
        <w:t xml:space="preserve">表八 </w:t>
      </w:r>
      <w:bookmarkEnd w:id="41"/>
      <w:bookmarkStart w:id="43" w:name="_Toc26267"/>
      <w:r>
        <w:rPr>
          <w:rFonts w:hint="default" w:ascii="Times New Roman" w:hAnsi="Times New Roman" w:eastAsia="宋体" w:cs="Times New Roman"/>
          <w:sz w:val="28"/>
          <w:szCs w:val="28"/>
          <w:lang w:eastAsia="zh-CN"/>
        </w:rPr>
        <w:t>验收监测结论</w:t>
      </w:r>
      <w:bookmarkEnd w:id="42"/>
      <w:bookmarkEnd w:id="43"/>
    </w:p>
    <w:tbl>
      <w:tblPr>
        <w:tblStyle w:val="22"/>
        <w:tblW w:w="9011" w:type="dxa"/>
        <w:tblInd w:w="-2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7" w:hRule="atLeast"/>
        </w:trPr>
        <w:tc>
          <w:tcPr>
            <w:tcW w:w="9011" w:type="dxa"/>
          </w:tcPr>
          <w:p>
            <w:pPr>
              <w:bidi w:val="0"/>
              <w:spacing w:line="360" w:lineRule="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一、结论</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lang w:eastAsia="zh-CN"/>
              </w:rPr>
              <w:t>长兴供热锅炉设施建设项目</w:t>
            </w:r>
            <w:r>
              <w:rPr>
                <w:rFonts w:hint="default" w:ascii="Times New Roman" w:hAnsi="Times New Roman" w:eastAsia="宋体" w:cs="Times New Roman"/>
                <w:color w:val="auto"/>
                <w:sz w:val="24"/>
                <w:szCs w:val="24"/>
                <w:highlight w:val="none"/>
              </w:rPr>
              <w:t>按照《中华人民共和国环境保护法》、《建设项目环境保护管理条例》等有关法律、法规的要求进行了项目前期的环境影响评价，审批手续齐全，完整。项目竣工后，按照要求和规定提出了竣工验收申请。</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、验收监测期间的工况</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验收监测期间，主体工程工况稳定、环境保护设施运行正常，满足验收监测对工况的要求，监测数据有效。</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、验收监测期间，各项污染物排放情况如下：</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（1）废水</w:t>
            </w:r>
          </w:p>
          <w:p>
            <w:pPr>
              <w:bidi w:val="0"/>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eastAsia="zh-CN"/>
              </w:rPr>
              <w:t>运营期</w:t>
            </w:r>
            <w:r>
              <w:rPr>
                <w:rFonts w:hint="default" w:ascii="Times New Roman" w:hAnsi="Times New Roman" w:eastAsia="宋体" w:cs="Times New Roman"/>
                <w:color w:val="auto"/>
                <w:sz w:val="24"/>
                <w:szCs w:val="24"/>
                <w:highlight w:val="none"/>
              </w:rPr>
              <w:t>锅炉排污水及软化处理废水用于燃煤锅除渣、除灰</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不外排</w:t>
            </w:r>
            <w:r>
              <w:rPr>
                <w:rFonts w:hint="eastAsia" w:ascii="Times New Roman" w:hAnsi="Times New Roman" w:eastAsia="宋体" w:cs="Times New Roman"/>
                <w:color w:val="auto"/>
                <w:sz w:val="24"/>
                <w:szCs w:val="24"/>
                <w:highlight w:val="none"/>
                <w:lang w:eastAsia="zh-CN"/>
              </w:rPr>
              <w:t>。</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（2）噪声</w:t>
            </w:r>
          </w:p>
          <w:p>
            <w:pPr>
              <w:bidi w:val="0"/>
              <w:spacing w:line="360" w:lineRule="auto"/>
              <w:ind w:firstLine="480" w:firstLineChars="200"/>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验收监测期间厂界噪声昼间监测最大值为</w:t>
            </w:r>
            <w:r>
              <w:rPr>
                <w:rFonts w:hint="eastAsia" w:ascii="Times New Roman" w:hAnsi="Times New Roman" w:eastAsia="宋体" w:cs="Times New Roman"/>
                <w:color w:val="auto"/>
                <w:sz w:val="24"/>
                <w:szCs w:val="24"/>
                <w:highlight w:val="none"/>
                <w:lang w:val="en-US" w:eastAsia="zh-CN"/>
              </w:rPr>
              <w:t>56</w:t>
            </w:r>
            <w:r>
              <w:rPr>
                <w:rFonts w:hint="default" w:ascii="Times New Roman" w:hAnsi="Times New Roman" w:eastAsia="宋体" w:cs="Times New Roman"/>
                <w:color w:val="auto"/>
                <w:sz w:val="24"/>
                <w:szCs w:val="24"/>
                <w:highlight w:val="none"/>
                <w:lang w:val="en-US" w:eastAsia="zh-CN"/>
              </w:rPr>
              <w:t>dB(A)、夜间监测最大值为</w:t>
            </w:r>
            <w:r>
              <w:rPr>
                <w:rFonts w:hint="eastAsia"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 xml:space="preserve">dB(A)，均符合《工业企业厂界环境噪声排放标准》（GB12348-2008）中的 </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 类标准（昼间≤</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0dB(A)，夜间≤5</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dB(A)）</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auto"/>
                <w:sz w:val="24"/>
                <w:szCs w:val="24"/>
                <w:highlight w:val="none"/>
              </w:rPr>
              <w:t>（3）废气</w:t>
            </w:r>
          </w:p>
          <w:p>
            <w:pPr>
              <w:bidi w:val="0"/>
              <w:spacing w:line="360" w:lineRule="auto"/>
              <w:ind w:firstLine="480" w:firstLineChars="200"/>
              <w:rPr>
                <w:rFonts w:hint="eastAsia"/>
                <w:color w:val="FF0000"/>
                <w:sz w:val="24"/>
                <w:szCs w:val="24"/>
                <w:highlight w:val="none"/>
                <w:lang w:val="en-US" w:eastAsia="zh-CN"/>
              </w:rPr>
            </w:pPr>
            <w:r>
              <w:rPr>
                <w:rFonts w:hint="default" w:ascii="Times New Roman" w:hAnsi="Times New Roman" w:cs="Times New Roman"/>
                <w:color w:val="auto"/>
                <w:sz w:val="24"/>
                <w:szCs w:val="24"/>
                <w:highlight w:val="none"/>
                <w:lang w:val="en-US" w:eastAsia="zh-CN"/>
              </w:rPr>
              <w:t>验收监测期间</w:t>
            </w:r>
            <w:r>
              <w:rPr>
                <w:rFonts w:hint="eastAsia" w:ascii="Times New Roman" w:hAnsi="Times New Roman" w:cs="Times New Roman"/>
                <w:color w:val="auto"/>
                <w:sz w:val="24"/>
                <w:szCs w:val="24"/>
                <w:highlight w:val="none"/>
                <w:lang w:val="en-US" w:eastAsia="zh-CN"/>
              </w:rPr>
              <w:t>锅炉烟囱（DA001）</w:t>
            </w:r>
            <w:r>
              <w:rPr>
                <w:rFonts w:hint="default" w:ascii="Times New Roman" w:hAnsi="Times New Roman" w:cs="Times New Roman"/>
                <w:color w:val="auto"/>
                <w:sz w:val="24"/>
                <w:szCs w:val="24"/>
                <w:highlight w:val="none"/>
                <w:lang w:val="en-US" w:eastAsia="zh-CN"/>
              </w:rPr>
              <w:t>有组织废气</w:t>
            </w:r>
            <w:r>
              <w:rPr>
                <w:rFonts w:hint="eastAsia" w:ascii="Times New Roman" w:hAnsi="Times New Roman"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10.7-11.6</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b w:val="0"/>
                <w:bCs w:val="0"/>
                <w:color w:val="auto"/>
                <w:sz w:val="24"/>
                <w:szCs w:val="24"/>
                <w:highlight w:val="none"/>
                <w:vertAlign w:val="superscript"/>
                <w:lang w:val="en-US" w:eastAsia="zh-CN"/>
              </w:rPr>
              <w:t>3</w:t>
            </w:r>
            <w:r>
              <w:rPr>
                <w:rFonts w:hint="eastAsia" w:ascii="Times New Roman" w:hAnsi="Times New Roman" w:cs="Times New Roman"/>
                <w:b w:val="0"/>
                <w:bCs w:val="0"/>
                <w:color w:val="auto"/>
                <w:sz w:val="24"/>
                <w:szCs w:val="24"/>
                <w:highlight w:val="none"/>
                <w:vertAlign w:val="baseline"/>
                <w:lang w:val="en-US" w:eastAsia="zh-CN"/>
              </w:rPr>
              <w:t>，排放速率0.022-0.026kg/h</w:t>
            </w:r>
            <w:r>
              <w:rPr>
                <w:rFonts w:hint="default" w:ascii="Times New Roman" w:hAnsi="Times New Roman" w:cs="Times New Roman"/>
                <w:color w:val="auto"/>
                <w:sz w:val="24"/>
                <w:szCs w:val="24"/>
                <w:highlight w:val="none"/>
                <w:lang w:val="en-US" w:eastAsia="zh-CN"/>
              </w:rPr>
              <w:t>；有组织废气</w:t>
            </w:r>
            <w:r>
              <w:rPr>
                <w:rFonts w:hint="eastAsia" w:ascii="Times New Roman" w:hAnsi="Times New Roman" w:cs="Times New Roman"/>
                <w:color w:val="auto"/>
                <w:sz w:val="24"/>
                <w:szCs w:val="24"/>
                <w:highlight w:val="none"/>
                <w:lang w:val="en-US" w:eastAsia="zh-CN"/>
              </w:rPr>
              <w:t>SO</w:t>
            </w:r>
            <w:r>
              <w:rPr>
                <w:rFonts w:hint="eastAsia" w:ascii="Times New Roman" w:hAnsi="Times New Roman" w:cs="Times New Roman"/>
                <w:color w:val="auto"/>
                <w:sz w:val="24"/>
                <w:szCs w:val="24"/>
                <w:highlight w:val="none"/>
                <w:vertAlign w:val="subscript"/>
                <w:lang w:val="en-US" w:eastAsia="zh-CN"/>
              </w:rPr>
              <w:t>2</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60-67</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排放速率0.135-0.147kg/h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NOx</w:t>
            </w:r>
            <w:r>
              <w:rPr>
                <w:rFonts w:hint="default" w:ascii="Times New Roman" w:hAnsi="Times New Roman" w:cs="Times New Roman"/>
                <w:color w:val="auto"/>
                <w:sz w:val="24"/>
                <w:szCs w:val="24"/>
                <w:highlight w:val="none"/>
                <w:lang w:val="en-US" w:eastAsia="zh-CN"/>
              </w:rPr>
              <w:t>排放浓度为</w:t>
            </w:r>
            <w:r>
              <w:rPr>
                <w:rFonts w:hint="eastAsia" w:ascii="Times New Roman" w:hAnsi="Times New Roman" w:cs="Times New Roman"/>
                <w:color w:val="auto"/>
                <w:sz w:val="24"/>
                <w:szCs w:val="24"/>
                <w:highlight w:val="none"/>
                <w:lang w:val="en-US" w:eastAsia="zh-CN"/>
              </w:rPr>
              <w:t>30-40</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排放速率0.069-0.082kg/h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汞及其化合物排放浓度为0.003-0.0052</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vertAlign w:val="baseline"/>
                <w:lang w:val="en-US" w:eastAsia="zh-CN"/>
              </w:rPr>
              <w:t>，</w:t>
            </w:r>
            <w:r>
              <w:rPr>
                <w:rFonts w:hint="eastAsia" w:ascii="Times New Roman" w:hAnsi="Times New Roman" w:cs="Times New Roman"/>
                <w:b w:val="0"/>
                <w:bCs w:val="0"/>
                <w:color w:val="auto"/>
                <w:sz w:val="24"/>
                <w:szCs w:val="24"/>
                <w:highlight w:val="none"/>
                <w:vertAlign w:val="baseline"/>
                <w:lang w:val="en-US" w:eastAsia="zh-CN"/>
              </w:rPr>
              <w:t>排放速率＜0.001kg/h</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烟气黑度小于1级；</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、颗粒物、汞及其化合物的排放浓度及烟气黑度满足《锅炉大气污染物排放标准》（GB13271-2014）表3排放限值。</w:t>
            </w:r>
            <w:r>
              <w:rPr>
                <w:rFonts w:hint="default" w:ascii="Times New Roman" w:hAnsi="Times New Roman" w:cs="Times New Roman"/>
                <w:color w:val="auto"/>
                <w:sz w:val="24"/>
                <w:szCs w:val="24"/>
                <w:highlight w:val="none"/>
                <w:lang w:val="en-US" w:eastAsia="zh-CN"/>
              </w:rPr>
              <w:t>厂界无组织颗粒物排放浓度</w:t>
            </w:r>
            <w:r>
              <w:rPr>
                <w:rFonts w:hint="eastAsia" w:ascii="Times New Roman" w:hAnsi="Times New Roman" w:cs="Times New Roman"/>
                <w:color w:val="auto"/>
                <w:sz w:val="24"/>
                <w:szCs w:val="24"/>
                <w:highlight w:val="none"/>
                <w:lang w:val="en-US" w:eastAsia="zh-CN"/>
              </w:rPr>
              <w:t>0.159-0.290</w:t>
            </w:r>
            <w:r>
              <w:rPr>
                <w:rFonts w:hint="default" w:ascii="Times New Roman" w:hAnsi="Times New Roman" w:cs="Times New Roman"/>
                <w:color w:val="auto"/>
                <w:sz w:val="24"/>
                <w:szCs w:val="24"/>
                <w:highlight w:val="no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排放浓度满足《大气污染物综合排放标准》（GB16297-1996）表2中颗粒物无组织排放监控浓度限值</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厂界无组织</w:t>
            </w:r>
            <w:r>
              <w:rPr>
                <w:rFonts w:hint="eastAsia" w:ascii="Times New Roman" w:hAnsi="Times New Roman" w:cs="Times New Roman"/>
                <w:color w:val="auto"/>
                <w:sz w:val="24"/>
                <w:szCs w:val="24"/>
                <w:highlight w:val="none"/>
                <w:lang w:val="en-US" w:eastAsia="zh-CN"/>
              </w:rPr>
              <w:t>氨</w:t>
            </w:r>
            <w:r>
              <w:rPr>
                <w:rFonts w:hint="default" w:ascii="Times New Roman" w:hAnsi="Times New Roman" w:cs="Times New Roman"/>
                <w:color w:val="auto"/>
                <w:sz w:val="24"/>
                <w:szCs w:val="24"/>
                <w:highlight w:val="none"/>
                <w:lang w:val="en-US" w:eastAsia="zh-CN"/>
              </w:rPr>
              <w:t>排放浓度</w:t>
            </w:r>
            <w:r>
              <w:rPr>
                <w:rFonts w:hint="eastAsia" w:ascii="Times New Roman" w:hAnsi="Times New Roman" w:cs="Times New Roman"/>
                <w:color w:val="auto"/>
                <w:sz w:val="24"/>
                <w:szCs w:val="24"/>
                <w:highlight w:val="none"/>
                <w:lang w:val="en-US" w:eastAsia="zh-CN"/>
              </w:rPr>
              <w:t>未检出，</w:t>
            </w:r>
            <w:r>
              <w:rPr>
                <w:rFonts w:hint="default" w:ascii="Times New Roman" w:hAnsi="Times New Roman" w:cs="Times New Roman"/>
                <w:color w:val="auto"/>
                <w:sz w:val="24"/>
                <w:szCs w:val="24"/>
                <w:highlight w:val="none"/>
                <w:lang w:val="en-US" w:eastAsia="zh-CN"/>
              </w:rPr>
              <w:t>排放浓度满足《恶臭污染物排放标准》（GB14554-93）</w:t>
            </w:r>
            <w:r>
              <w:rPr>
                <w:rFonts w:hint="eastAsia" w:ascii="Times New Roman" w:hAnsi="Times New Roman" w:cs="Times New Roman"/>
                <w:color w:val="auto"/>
                <w:sz w:val="24"/>
                <w:szCs w:val="24"/>
                <w:highlight w:val="none"/>
                <w:lang w:val="en-US" w:eastAsia="zh-CN"/>
              </w:rPr>
              <w:t>表1二级</w:t>
            </w:r>
            <w:r>
              <w:rPr>
                <w:rFonts w:hint="default" w:ascii="Times New Roman" w:hAnsi="Times New Roman" w:cs="Times New Roman"/>
                <w:color w:val="auto"/>
                <w:sz w:val="24"/>
                <w:szCs w:val="24"/>
                <w:highlight w:val="none"/>
                <w:lang w:val="en-US" w:eastAsia="zh-CN"/>
              </w:rPr>
              <w:t>限值要求。</w:t>
            </w:r>
          </w:p>
          <w:p>
            <w:pPr>
              <w:bidi w:val="0"/>
              <w:spacing w:line="360" w:lineRule="auto"/>
              <w:ind w:firstLine="720" w:firstLineChars="3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（4）固体废物</w:t>
            </w:r>
          </w:p>
          <w:p>
            <w:pPr>
              <w:bidi w:val="0"/>
              <w:spacing w:line="360" w:lineRule="auto"/>
              <w:ind w:firstLine="480" w:firstLineChars="200"/>
              <w:rPr>
                <w:rFonts w:hint="default" w:ascii="Times New Roman" w:hAnsi="Times New Roman" w:eastAsia="宋体" w:cs="Times New Roman"/>
                <w:color w:val="FF0000"/>
                <w:sz w:val="24"/>
                <w:szCs w:val="24"/>
                <w:highlight w:val="none"/>
              </w:rPr>
            </w:pPr>
            <w:r>
              <w:rPr>
                <w:rFonts w:hint="eastAsia" w:ascii="宋体" w:hAnsi="宋体" w:eastAsia="宋体" w:cs="宋体"/>
                <w:color w:val="auto"/>
                <w:sz w:val="24"/>
                <w:szCs w:val="24"/>
                <w:highlight w:val="none"/>
                <w:lang w:val="en-US" w:eastAsia="zh-CN"/>
              </w:rPr>
              <w:t>验收监测期间</w:t>
            </w:r>
            <w:r>
              <w:rPr>
                <w:rFonts w:hint="default" w:ascii="Times New Roman" w:hAnsi="Times New Roman" w:eastAsia="宋体" w:cs="Times New Roman"/>
                <w:sz w:val="24"/>
                <w:szCs w:val="24"/>
              </w:rPr>
              <w:t>废离子交换树脂由市政部门统一清运进行卫生填埋，除尘器收尘、炉渣、脱硫副产物统一收集暂存于封闭式渣场储存间，定期拉运出厂，定期外售综合利用。</w:t>
            </w:r>
          </w:p>
          <w:p>
            <w:pPr>
              <w:bidi w:val="0"/>
              <w:spacing w:line="360" w:lineRule="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sz w:val="28"/>
                <w:szCs w:val="28"/>
                <w:highlight w:val="none"/>
                <w:lang w:val="en-US" w:eastAsia="zh-CN"/>
              </w:rPr>
              <w:t>二</w:t>
            </w:r>
            <w:r>
              <w:rPr>
                <w:rFonts w:hint="eastAsia" w:ascii="Times New Roman" w:hAnsi="Times New Roman" w:eastAsia="宋体" w:cs="Times New Roman"/>
                <w:b/>
                <w:bCs/>
                <w:color w:val="auto"/>
                <w:sz w:val="28"/>
                <w:szCs w:val="28"/>
                <w:highlight w:val="none"/>
                <w:lang w:eastAsia="zh-CN"/>
              </w:rPr>
              <w:t>、</w:t>
            </w:r>
            <w:r>
              <w:rPr>
                <w:rFonts w:hint="default" w:ascii="Times New Roman" w:hAnsi="Times New Roman" w:eastAsia="宋体" w:cs="Times New Roman"/>
                <w:b/>
                <w:bCs/>
                <w:color w:val="auto"/>
                <w:sz w:val="28"/>
                <w:szCs w:val="28"/>
                <w:highlight w:val="none"/>
              </w:rPr>
              <w:t>建议</w:t>
            </w:r>
            <w:r>
              <w:rPr>
                <w:rFonts w:hint="default" w:ascii="Times New Roman" w:hAnsi="Times New Roman" w:eastAsia="宋体" w:cs="Times New Roman"/>
                <w:color w:val="auto"/>
                <w:sz w:val="24"/>
                <w:szCs w:val="24"/>
                <w:highlight w:val="none"/>
              </w:rPr>
              <w:t>：</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加强污染治理设施的管理与维护，保证处理效率；</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加强环保宣传教育工作，提高全体员工的环保意识；</w:t>
            </w:r>
          </w:p>
          <w:p>
            <w:pPr>
              <w:pStyle w:val="27"/>
              <w:ind w:firstLine="480" w:firstLineChars="200"/>
              <w:jc w:val="both"/>
              <w:rPr>
                <w:rFonts w:hint="default"/>
                <w:color w:val="FF0000"/>
                <w:lang w:val="en-US" w:eastAsia="zh-CN"/>
              </w:rPr>
            </w:pP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aps w:val="0"/>
                <w:color w:val="auto"/>
                <w:sz w:val="24"/>
                <w:highlight w:val="none"/>
                <w:lang w:val="en-US" w:eastAsia="zh-CN"/>
              </w:rPr>
              <w:t>制定日常环境管理制度。</w:t>
            </w:r>
          </w:p>
          <w:p>
            <w:pPr>
              <w:pStyle w:val="2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b w:val="0"/>
                <w:bCs w:val="0"/>
                <w:color w:val="FF0000"/>
                <w:sz w:val="24"/>
                <w:szCs w:val="24"/>
                <w:highlight w:val="none"/>
                <w:lang w:val="en-US" w:eastAsia="zh-CN"/>
              </w:rPr>
            </w:pPr>
          </w:p>
        </w:tc>
      </w:tr>
    </w:tbl>
    <w:p>
      <w:pPr>
        <w:pStyle w:val="27"/>
        <w:rPr>
          <w:rFonts w:hint="eastAsia"/>
          <w:color w:val="FF0000"/>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spacing w:line="300" w:lineRule="exact"/>
        <w:jc w:val="center"/>
        <w:outlineLvl w:val="0"/>
        <w:rPr>
          <w:rFonts w:hint="default" w:ascii="Times New Roman" w:hAnsi="Times New Roman" w:cs="Times New Roman"/>
          <w:b/>
          <w:color w:val="auto"/>
          <w:szCs w:val="21"/>
          <w:highlight w:val="none"/>
        </w:rPr>
      </w:pPr>
      <w:bookmarkStart w:id="44" w:name="_Toc21954_WPSOffice_Level1"/>
      <w:bookmarkStart w:id="45" w:name="_Toc9175_WPSOffice_Level1"/>
      <w:bookmarkStart w:id="46" w:name="_Toc29574"/>
      <w:bookmarkStart w:id="47" w:name="_Toc29244"/>
      <w:bookmarkStart w:id="48" w:name="_Toc10574"/>
      <w:bookmarkStart w:id="49" w:name="_Toc16216"/>
      <w:bookmarkStart w:id="50" w:name="_Toc4040"/>
      <w:bookmarkStart w:id="51" w:name="_Toc25822"/>
      <w:bookmarkStart w:id="52" w:name="_Toc22581_WPSOffice_Level1"/>
      <w:bookmarkStart w:id="53" w:name="_Toc2612"/>
      <w:bookmarkStart w:id="54" w:name="_Toc20115"/>
      <w:bookmarkStart w:id="55" w:name="_Toc26682"/>
      <w:bookmarkStart w:id="56" w:name="_Toc28843"/>
      <w:bookmarkStart w:id="57" w:name="_Toc12740"/>
      <w:bookmarkStart w:id="58" w:name="_Toc25955_WPSOffice_Level1"/>
      <w:bookmarkStart w:id="59" w:name="_Toc8082"/>
      <w:bookmarkStart w:id="60" w:name="_Toc23842_WPSOffice_Level1"/>
      <w:bookmarkStart w:id="61" w:name="_Toc23018"/>
      <w:bookmarkStart w:id="62" w:name="_Toc12426"/>
      <w:bookmarkStart w:id="63" w:name="_Toc143657506"/>
      <w:bookmarkStart w:id="64" w:name="_Toc116952712"/>
      <w:bookmarkStart w:id="65" w:name="_Toc113674657"/>
      <w:bookmarkStart w:id="66" w:name="_Toc117141411"/>
      <w:bookmarkStart w:id="67" w:name="_Toc114640586"/>
      <w:bookmarkStart w:id="68" w:name="_Toc113675814"/>
      <w:r>
        <w:rPr>
          <w:rFonts w:hint="default" w:ascii="Times New Roman" w:hAnsi="Times New Roman" w:cs="Times New Roman"/>
          <w:b/>
          <w:color w:val="auto"/>
          <w:szCs w:val="21"/>
          <w:highlight w:val="none"/>
        </w:rPr>
        <w:t>建设项目工程竣工环境保护“三同时”验收登记表</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pPr>
        <w:outlineLvl w:val="9"/>
        <w:rPr>
          <w:b/>
          <w:color w:val="auto"/>
          <w:szCs w:val="21"/>
          <w:highlight w:val="none"/>
        </w:rPr>
      </w:pPr>
      <w:bookmarkStart w:id="69" w:name="_Toc24005_WPSOffice_Level1"/>
      <w:bookmarkStart w:id="70" w:name="_Toc21520_WPSOffice_Level1"/>
      <w:bookmarkStart w:id="71" w:name="_Toc21811_WPSOffice_Level1"/>
      <w:bookmarkStart w:id="72" w:name="_Toc23879_WPSOffice_Level1"/>
      <w:bookmarkStart w:id="73" w:name="_Toc10028_WPSOffice_Level1"/>
      <w:bookmarkStart w:id="74" w:name="_Toc31081_WPSOffice_Level1"/>
      <w:bookmarkStart w:id="75" w:name="_Toc27500"/>
      <w:bookmarkStart w:id="76" w:name="_Toc29094_WPSOffice_Level1"/>
      <w:bookmarkStart w:id="77" w:name="_Toc6636_WPSOffice_Level1"/>
      <w:bookmarkStart w:id="78" w:name="_Toc28072_WPSOffice_Level1"/>
      <w:bookmarkStart w:id="79" w:name="_Toc22002_WPSOffice_Level1"/>
      <w:bookmarkStart w:id="80" w:name="_Toc32442_WPSOffice_Level1"/>
      <w:r>
        <w:rPr>
          <w:b/>
          <w:color w:val="auto"/>
          <w:szCs w:val="21"/>
          <w:highlight w:val="none"/>
        </w:rPr>
        <w:t>填表单位（盖章）：                                        填表人（签字）：                              项目经办人（签字）：</w:t>
      </w:r>
      <w:bookmarkEnd w:id="69"/>
      <w:bookmarkEnd w:id="70"/>
      <w:bookmarkEnd w:id="71"/>
      <w:bookmarkEnd w:id="72"/>
      <w:bookmarkEnd w:id="73"/>
      <w:bookmarkEnd w:id="74"/>
      <w:bookmarkEnd w:id="75"/>
      <w:bookmarkEnd w:id="76"/>
      <w:bookmarkEnd w:id="77"/>
      <w:bookmarkEnd w:id="78"/>
      <w:bookmarkEnd w:id="79"/>
      <w:bookmarkEnd w:id="80"/>
    </w:p>
    <w:tbl>
      <w:tblPr>
        <w:tblStyle w:val="21"/>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220"/>
        <w:gridCol w:w="960"/>
        <w:gridCol w:w="1236"/>
        <w:gridCol w:w="996"/>
        <w:gridCol w:w="1969"/>
        <w:gridCol w:w="852"/>
        <w:gridCol w:w="980"/>
        <w:gridCol w:w="488"/>
        <w:gridCol w:w="944"/>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44" w:hRule="atLeast"/>
          <w:jc w:val="center"/>
        </w:trPr>
        <w:tc>
          <w:tcPr>
            <w:tcW w:w="440" w:type="dxa"/>
            <w:vMerge w:val="restart"/>
            <w:textDirection w:val="tbRlV"/>
            <w:vAlign w:val="center"/>
          </w:tcPr>
          <w:p>
            <w:pPr>
              <w:ind w:left="113" w:right="113"/>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建设项目</w:t>
            </w:r>
          </w:p>
        </w:tc>
        <w:tc>
          <w:tcPr>
            <w:tcW w:w="2018" w:type="dxa"/>
            <w:gridSpan w:val="3"/>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项目名称</w:t>
            </w:r>
          </w:p>
        </w:tc>
        <w:tc>
          <w:tcPr>
            <w:tcW w:w="5575" w:type="dxa"/>
            <w:gridSpan w:val="5"/>
            <w:vAlign w:val="center"/>
          </w:tcPr>
          <w:p>
            <w:pPr>
              <w:jc w:val="center"/>
              <w:rPr>
                <w:rFonts w:hint="eastAsia" w:ascii="Times New Roman" w:hAnsi="Times New Roman" w:cs="Times New Roman" w:eastAsiaTheme="minorEastAsia"/>
                <w:b/>
                <w:color w:val="auto"/>
                <w:sz w:val="15"/>
                <w:szCs w:val="15"/>
                <w:highlight w:val="none"/>
                <w:lang w:eastAsia="zh-CN"/>
              </w:rPr>
            </w:pPr>
            <w:r>
              <w:rPr>
                <w:rFonts w:hint="eastAsia" w:ascii="Times New Roman" w:hAnsi="Times New Roman" w:cs="Times New Roman"/>
                <w:b/>
                <w:color w:val="auto"/>
                <w:sz w:val="15"/>
                <w:szCs w:val="15"/>
                <w:highlight w:val="none"/>
                <w:lang w:eastAsia="zh-CN"/>
              </w:rPr>
              <w:t>长兴供热锅炉设施建设项目</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项目代码</w:t>
            </w:r>
          </w:p>
        </w:tc>
        <w:tc>
          <w:tcPr>
            <w:tcW w:w="1969" w:type="dxa"/>
            <w:vAlign w:val="center"/>
          </w:tcPr>
          <w:p>
            <w:pPr>
              <w:jc w:val="center"/>
              <w:rPr>
                <w:rFonts w:hint="eastAsia"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建设地点</w:t>
            </w:r>
          </w:p>
        </w:tc>
        <w:tc>
          <w:tcPr>
            <w:tcW w:w="2245" w:type="dxa"/>
            <w:gridSpan w:val="3"/>
            <w:vAlign w:val="center"/>
          </w:tcPr>
          <w:p>
            <w:pPr>
              <w:jc w:val="center"/>
              <w:rPr>
                <w:rFonts w:hint="eastAsia"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rPr>
              <w:t>黑龙江省哈尔滨市尚志市东浦新区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行业类别（分类管理名录）</w:t>
            </w:r>
          </w:p>
        </w:tc>
        <w:tc>
          <w:tcPr>
            <w:tcW w:w="5575" w:type="dxa"/>
            <w:gridSpan w:val="5"/>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default" w:ascii="Times New Roman" w:hAnsi="Times New Roman" w:cs="Times New Roman" w:eastAsiaTheme="minorEastAsia"/>
                <w:b/>
                <w:color w:val="auto"/>
                <w:sz w:val="15"/>
                <w:szCs w:val="15"/>
                <w:highlight w:val="none"/>
                <w:lang w:val="en-US" w:eastAsia="zh-CN"/>
              </w:rPr>
              <w:t>四十一、电力、热力生产和供应业</w:t>
            </w:r>
          </w:p>
        </w:tc>
        <w:tc>
          <w:tcPr>
            <w:tcW w:w="2232" w:type="dxa"/>
            <w:gridSpan w:val="2"/>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default" w:ascii="Times New Roman" w:hAnsi="Times New Roman" w:cs="Times New Roman" w:eastAsiaTheme="minorEastAsia"/>
                <w:b/>
                <w:color w:val="auto"/>
                <w:sz w:val="15"/>
                <w:szCs w:val="15"/>
                <w:highlight w:val="none"/>
                <w:lang w:val="en-US" w:eastAsia="zh-CN"/>
              </w:rPr>
              <w:t>建设性质</w:t>
            </w:r>
          </w:p>
        </w:tc>
        <w:tc>
          <w:tcPr>
            <w:tcW w:w="6046" w:type="dxa"/>
            <w:gridSpan w:val="6"/>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sym w:font="Wingdings 2" w:char="00A3"/>
            </w:r>
            <w:r>
              <w:rPr>
                <w:rFonts w:hint="default" w:ascii="Times New Roman" w:hAnsi="Times New Roman" w:cs="Times New Roman"/>
                <w:b/>
                <w:color w:val="auto"/>
                <w:sz w:val="15"/>
                <w:szCs w:val="15"/>
                <w:highlight w:val="none"/>
              </w:rPr>
              <w:t xml:space="preserve">新建  </w:t>
            </w:r>
            <w:r>
              <w:rPr>
                <w:rFonts w:hint="default" w:ascii="Times New Roman" w:hAnsi="Times New Roman" w:cs="Times New Roman"/>
                <w:b/>
                <w:color w:val="auto"/>
                <w:sz w:val="15"/>
                <w:szCs w:val="15"/>
                <w:highlight w:val="none"/>
              </w:rPr>
              <w:sym w:font="Wingdings 2" w:char="0052"/>
            </w:r>
            <w:r>
              <w:rPr>
                <w:rFonts w:hint="default" w:ascii="Times New Roman" w:hAnsi="Times New Roman" w:cs="Times New Roman"/>
                <w:b/>
                <w:color w:val="auto"/>
                <w:sz w:val="15"/>
                <w:szCs w:val="15"/>
                <w:highlight w:val="none"/>
              </w:rPr>
              <w:t>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设计生产能力</w:t>
            </w:r>
          </w:p>
        </w:tc>
        <w:tc>
          <w:tcPr>
            <w:tcW w:w="5575" w:type="dxa"/>
            <w:gridSpan w:val="5"/>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default" w:ascii="Times New Roman" w:hAnsi="Times New Roman" w:cs="Times New Roman" w:eastAsiaTheme="minorEastAsia"/>
                <w:b/>
                <w:color w:val="auto"/>
                <w:sz w:val="15"/>
                <w:szCs w:val="15"/>
                <w:highlight w:val="none"/>
                <w:lang w:val="en-US" w:eastAsia="zh-CN"/>
              </w:rPr>
              <w:t>新增1台29MW热水锅炉、新增33万m</w:t>
            </w:r>
            <w:r>
              <w:rPr>
                <w:rFonts w:hint="default" w:ascii="Times New Roman" w:hAnsi="Times New Roman" w:cs="Times New Roman" w:eastAsiaTheme="minorEastAsia"/>
                <w:b/>
                <w:color w:val="auto"/>
                <w:sz w:val="15"/>
                <w:szCs w:val="15"/>
                <w:highlight w:val="none"/>
                <w:vertAlign w:val="superscript"/>
                <w:lang w:val="en-US" w:eastAsia="zh-CN"/>
              </w:rPr>
              <w:t>2</w:t>
            </w:r>
            <w:r>
              <w:rPr>
                <w:rFonts w:hint="default" w:ascii="Times New Roman" w:hAnsi="Times New Roman" w:cs="Times New Roman" w:eastAsiaTheme="minorEastAsia"/>
                <w:b/>
                <w:color w:val="auto"/>
                <w:sz w:val="15"/>
                <w:szCs w:val="15"/>
                <w:highlight w:val="none"/>
                <w:lang w:val="en-US" w:eastAsia="zh-CN"/>
              </w:rPr>
              <w:t>的供热面积</w:t>
            </w:r>
          </w:p>
        </w:tc>
        <w:tc>
          <w:tcPr>
            <w:tcW w:w="2232" w:type="dxa"/>
            <w:gridSpan w:val="2"/>
            <w:vAlign w:val="center"/>
          </w:tcPr>
          <w:p>
            <w:pPr>
              <w:jc w:val="center"/>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实际生产能力</w:t>
            </w:r>
          </w:p>
        </w:tc>
        <w:tc>
          <w:tcPr>
            <w:tcW w:w="1969" w:type="dxa"/>
            <w:vAlign w:val="center"/>
          </w:tcPr>
          <w:p>
            <w:pPr>
              <w:jc w:val="center"/>
              <w:rPr>
                <w:rFonts w:hint="eastAsia"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eastAsiaTheme="minorEastAsia"/>
                <w:b/>
                <w:color w:val="auto"/>
                <w:sz w:val="15"/>
                <w:szCs w:val="15"/>
                <w:highlight w:val="none"/>
                <w:lang w:val="en-US" w:eastAsia="zh-CN"/>
              </w:rPr>
              <w:t>新增1台29MW热水锅炉、新增33万m</w:t>
            </w:r>
            <w:r>
              <w:rPr>
                <w:rFonts w:hint="eastAsia" w:ascii="Times New Roman" w:hAnsi="Times New Roman" w:cs="Times New Roman" w:eastAsiaTheme="minorEastAsia"/>
                <w:b/>
                <w:color w:val="auto"/>
                <w:sz w:val="15"/>
                <w:szCs w:val="15"/>
                <w:highlight w:val="none"/>
                <w:vertAlign w:val="superscript"/>
                <w:lang w:val="en-US" w:eastAsia="zh-CN"/>
              </w:rPr>
              <w:t>2</w:t>
            </w:r>
            <w:r>
              <w:rPr>
                <w:rFonts w:hint="eastAsia" w:ascii="Times New Roman" w:hAnsi="Times New Roman" w:cs="Times New Roman" w:eastAsiaTheme="minorEastAsia"/>
                <w:b/>
                <w:color w:val="auto"/>
                <w:sz w:val="15"/>
                <w:szCs w:val="15"/>
                <w:highlight w:val="none"/>
                <w:lang w:val="en-US" w:eastAsia="zh-CN"/>
              </w:rPr>
              <w:t>的供热面积</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环评单位</w:t>
            </w:r>
          </w:p>
        </w:tc>
        <w:tc>
          <w:tcPr>
            <w:tcW w:w="2245" w:type="dxa"/>
            <w:gridSpan w:val="3"/>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黑龙江辰瀚环境保护有限公司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环评文件审批机关</w:t>
            </w:r>
          </w:p>
        </w:tc>
        <w:tc>
          <w:tcPr>
            <w:tcW w:w="5575" w:type="dxa"/>
            <w:gridSpan w:val="5"/>
            <w:vAlign w:val="center"/>
          </w:tcPr>
          <w:p>
            <w:pPr>
              <w:pStyle w:val="27"/>
              <w:keepNext w:val="0"/>
              <w:keepLines w:val="0"/>
              <w:pageBreakBefore w:val="0"/>
              <w:widowControl w:val="0"/>
              <w:kinsoku/>
              <w:wordWrap/>
              <w:overflowPunct/>
              <w:topLinePunct w:val="0"/>
              <w:autoSpaceDE w:val="0"/>
              <w:autoSpaceDN w:val="0"/>
              <w:bidi w:val="0"/>
              <w:adjustRightInd w:val="0"/>
              <w:snapToGrid/>
              <w:spacing w:line="240" w:lineRule="auto"/>
              <w:ind w:leftChars="0" w:firstLine="0" w:firstLineChars="0"/>
              <w:jc w:val="center"/>
              <w:textAlignment w:val="auto"/>
              <w:outlineLvl w:val="9"/>
              <w:rPr>
                <w:rFonts w:hint="default" w:ascii="Times New Roman" w:hAnsi="Times New Roman" w:cs="Times New Roman"/>
                <w:b/>
                <w:color w:val="auto"/>
                <w:sz w:val="15"/>
                <w:szCs w:val="15"/>
                <w:highlight w:val="none"/>
              </w:rPr>
            </w:pPr>
            <w:r>
              <w:rPr>
                <w:rFonts w:hint="eastAsia" w:ascii="Times New Roman" w:hAnsi="Times New Roman" w:cs="Times New Roman"/>
                <w:b/>
                <w:color w:val="auto"/>
                <w:kern w:val="2"/>
                <w:sz w:val="15"/>
                <w:szCs w:val="15"/>
                <w:highlight w:val="none"/>
                <w:lang w:val="en-US" w:eastAsia="zh-CN" w:bidi="ar-SA"/>
              </w:rPr>
              <w:t>哈尔滨市尚志生态环境局</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审批文号</w:t>
            </w:r>
          </w:p>
        </w:tc>
        <w:tc>
          <w:tcPr>
            <w:tcW w:w="1969" w:type="dxa"/>
            <w:vAlign w:val="center"/>
          </w:tcPr>
          <w:p>
            <w:pPr>
              <w:jc w:val="center"/>
              <w:rPr>
                <w:rFonts w:hint="eastAsia"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尚环审表</w:t>
            </w:r>
            <w:r>
              <w:rPr>
                <w:rFonts w:hint="eastAsia" w:ascii="Times New Roman" w:hAnsi="Times New Roman" w:cs="Times New Roman" w:eastAsiaTheme="minorEastAsia"/>
                <w:b/>
                <w:color w:val="auto"/>
                <w:sz w:val="15"/>
                <w:szCs w:val="15"/>
                <w:highlight w:val="none"/>
                <w:lang w:val="en-US" w:eastAsia="zh-CN"/>
              </w:rPr>
              <w:t xml:space="preserve"> [2022]</w:t>
            </w:r>
            <w:r>
              <w:rPr>
                <w:rFonts w:hint="eastAsia" w:ascii="Times New Roman" w:hAnsi="Times New Roman" w:cs="Times New Roman"/>
                <w:b/>
                <w:color w:val="auto"/>
                <w:sz w:val="15"/>
                <w:szCs w:val="15"/>
                <w:highlight w:val="none"/>
                <w:lang w:val="en-US" w:eastAsia="zh-CN"/>
              </w:rPr>
              <w:t>43</w:t>
            </w:r>
            <w:r>
              <w:rPr>
                <w:rFonts w:hint="eastAsia" w:ascii="Times New Roman" w:hAnsi="Times New Roman" w:cs="Times New Roman" w:eastAsiaTheme="minorEastAsia"/>
                <w:b/>
                <w:color w:val="auto"/>
                <w:sz w:val="15"/>
                <w:szCs w:val="15"/>
                <w:highlight w:val="none"/>
                <w:lang w:val="en-US" w:eastAsia="zh-CN"/>
              </w:rPr>
              <w:t>号</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环评文件类型</w:t>
            </w:r>
          </w:p>
        </w:tc>
        <w:tc>
          <w:tcPr>
            <w:tcW w:w="2245" w:type="dxa"/>
            <w:gridSpan w:val="3"/>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开工日期</w:t>
            </w:r>
          </w:p>
        </w:tc>
        <w:tc>
          <w:tcPr>
            <w:tcW w:w="5575" w:type="dxa"/>
            <w:gridSpan w:val="5"/>
            <w:vAlign w:val="center"/>
          </w:tcPr>
          <w:p>
            <w:pPr>
              <w:jc w:val="cente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2022.09</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竣工日期</w:t>
            </w:r>
          </w:p>
        </w:tc>
        <w:tc>
          <w:tcPr>
            <w:tcW w:w="1969"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2022.10</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排污许可证申领时间</w:t>
            </w:r>
          </w:p>
        </w:tc>
        <w:tc>
          <w:tcPr>
            <w:tcW w:w="2245" w:type="dxa"/>
            <w:gridSpan w:val="3"/>
            <w:vAlign w:val="center"/>
          </w:tcPr>
          <w:p>
            <w:pPr>
              <w:jc w:val="cente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2023.03.03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环保设施设计单位</w:t>
            </w:r>
          </w:p>
        </w:tc>
        <w:tc>
          <w:tcPr>
            <w:tcW w:w="5575" w:type="dxa"/>
            <w:gridSpan w:val="5"/>
            <w:vAlign w:val="center"/>
          </w:tcPr>
          <w:p>
            <w:pPr>
              <w:jc w:val="cente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环保设施施工单位</w:t>
            </w:r>
          </w:p>
        </w:tc>
        <w:tc>
          <w:tcPr>
            <w:tcW w:w="1969"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本工程排污许可证编号</w:t>
            </w:r>
          </w:p>
        </w:tc>
        <w:tc>
          <w:tcPr>
            <w:tcW w:w="2245" w:type="dxa"/>
            <w:gridSpan w:val="3"/>
            <w:vAlign w:val="center"/>
          </w:tcPr>
          <w:p>
            <w:pPr>
              <w:jc w:val="cente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912301837875158677001Q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验收单位</w:t>
            </w:r>
          </w:p>
        </w:tc>
        <w:tc>
          <w:tcPr>
            <w:tcW w:w="5575" w:type="dxa"/>
            <w:gridSpan w:val="5"/>
            <w:vAlign w:val="center"/>
          </w:tcPr>
          <w:p>
            <w:pPr>
              <w:jc w:val="center"/>
              <w:rPr>
                <w:rFonts w:hint="default" w:ascii="Times New Roman" w:hAnsi="Times New Roman" w:cs="Times New Roman"/>
                <w:b/>
                <w:color w:val="auto"/>
                <w:sz w:val="15"/>
                <w:szCs w:val="15"/>
                <w:highlight w:val="none"/>
                <w:lang w:val="en-US" w:eastAsia="zh-CN"/>
              </w:rPr>
            </w:pPr>
            <w:r>
              <w:rPr>
                <w:rFonts w:hint="eastAsia" w:ascii="Times New Roman" w:hAnsi="Times New Roman" w:cs="Times New Roman"/>
                <w:b/>
                <w:color w:val="auto"/>
                <w:sz w:val="15"/>
                <w:szCs w:val="15"/>
                <w:highlight w:val="none"/>
                <w:lang w:eastAsia="zh-CN"/>
              </w:rPr>
              <w:t>黑龙江辰瀚环境保护有限公司</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环保设施监测单位</w:t>
            </w:r>
          </w:p>
        </w:tc>
        <w:tc>
          <w:tcPr>
            <w:tcW w:w="1969" w:type="dxa"/>
            <w:vAlign w:val="center"/>
          </w:tcPr>
          <w:p>
            <w:pPr>
              <w:jc w:val="center"/>
              <w:rPr>
                <w:rFonts w:hint="eastAsia" w:ascii="Times New Roman" w:hAnsi="Times New Roman" w:cs="Times New Roman" w:eastAsiaTheme="minorEastAsia"/>
                <w:b/>
                <w:color w:val="auto"/>
                <w:sz w:val="15"/>
                <w:szCs w:val="15"/>
                <w:highlight w:val="none"/>
                <w:lang w:eastAsia="zh-CN"/>
              </w:rPr>
            </w:pPr>
            <w:r>
              <w:rPr>
                <w:rFonts w:hint="eastAsia" w:ascii="Times New Roman" w:hAnsi="Times New Roman" w:cs="Times New Roman"/>
                <w:b/>
                <w:color w:val="auto"/>
                <w:sz w:val="15"/>
                <w:szCs w:val="15"/>
                <w:highlight w:val="none"/>
                <w:lang w:val="en-US" w:eastAsia="zh-CN"/>
              </w:rPr>
              <w:t>黑龙江克巽检测技术有限公司</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验收监测时工况</w:t>
            </w:r>
          </w:p>
        </w:tc>
        <w:tc>
          <w:tcPr>
            <w:tcW w:w="2245" w:type="dxa"/>
            <w:gridSpan w:val="3"/>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投资总概算（万元）</w:t>
            </w:r>
          </w:p>
        </w:tc>
        <w:tc>
          <w:tcPr>
            <w:tcW w:w="5575" w:type="dxa"/>
            <w:gridSpan w:val="5"/>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220</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环保投资总概算（万元）</w:t>
            </w:r>
          </w:p>
        </w:tc>
        <w:tc>
          <w:tcPr>
            <w:tcW w:w="1969"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119</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2245" w:type="dxa"/>
            <w:gridSpan w:val="3"/>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实际总投资</w:t>
            </w:r>
          </w:p>
        </w:tc>
        <w:tc>
          <w:tcPr>
            <w:tcW w:w="5575" w:type="dxa"/>
            <w:gridSpan w:val="5"/>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220</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实际环保投资（万元）</w:t>
            </w:r>
          </w:p>
        </w:tc>
        <w:tc>
          <w:tcPr>
            <w:tcW w:w="1969"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119</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2245" w:type="dxa"/>
            <w:gridSpan w:val="3"/>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废水治理（万元）</w:t>
            </w:r>
          </w:p>
        </w:tc>
        <w:tc>
          <w:tcPr>
            <w:tcW w:w="850"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0</w:t>
            </w:r>
          </w:p>
        </w:tc>
        <w:tc>
          <w:tcPr>
            <w:tcW w:w="1418"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废气治理（万元）</w:t>
            </w:r>
          </w:p>
        </w:tc>
        <w:tc>
          <w:tcPr>
            <w:tcW w:w="1127"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115</w:t>
            </w:r>
          </w:p>
        </w:tc>
        <w:tc>
          <w:tcPr>
            <w:tcW w:w="1220"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噪声治理（万元）</w:t>
            </w:r>
          </w:p>
        </w:tc>
        <w:tc>
          <w:tcPr>
            <w:tcW w:w="960"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w:t>
            </w:r>
          </w:p>
        </w:tc>
        <w:tc>
          <w:tcPr>
            <w:tcW w:w="22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固体废物治理（万元）</w:t>
            </w:r>
          </w:p>
        </w:tc>
        <w:tc>
          <w:tcPr>
            <w:tcW w:w="1969"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1</w:t>
            </w:r>
          </w:p>
        </w:tc>
        <w:tc>
          <w:tcPr>
            <w:tcW w:w="1832"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绿化及生态（万元）</w:t>
            </w:r>
          </w:p>
        </w:tc>
        <w:tc>
          <w:tcPr>
            <w:tcW w:w="488" w:type="dxa"/>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w:t>
            </w:r>
          </w:p>
        </w:tc>
        <w:tc>
          <w:tcPr>
            <w:tcW w:w="944"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其他（万元）</w:t>
            </w:r>
          </w:p>
        </w:tc>
        <w:tc>
          <w:tcPr>
            <w:tcW w:w="813"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0" w:type="dxa"/>
            <w:vMerge w:val="continue"/>
            <w:vAlign w:val="center"/>
          </w:tcPr>
          <w:p>
            <w:pPr>
              <w:jc w:val="center"/>
              <w:rPr>
                <w:rFonts w:hint="default" w:ascii="Times New Roman" w:hAnsi="Times New Roman" w:cs="Times New Roman"/>
                <w:color w:val="FF0000"/>
                <w:sz w:val="15"/>
                <w:szCs w:val="15"/>
                <w:highlight w:val="none"/>
              </w:rPr>
            </w:pPr>
          </w:p>
        </w:tc>
        <w:tc>
          <w:tcPr>
            <w:tcW w:w="2018" w:type="dxa"/>
            <w:gridSpan w:val="3"/>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新增废水处理设施能力</w:t>
            </w:r>
          </w:p>
        </w:tc>
        <w:tc>
          <w:tcPr>
            <w:tcW w:w="5575" w:type="dxa"/>
            <w:gridSpan w:val="5"/>
            <w:vAlign w:val="center"/>
          </w:tcPr>
          <w:p>
            <w:pPr>
              <w:jc w:val="center"/>
              <w:rPr>
                <w:rFonts w:hint="eastAsia" w:ascii="Times New Roman" w:hAnsi="Times New Roman" w:cs="Times New Roman" w:eastAsiaTheme="minorEastAsia"/>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w:t>
            </w:r>
          </w:p>
        </w:tc>
        <w:tc>
          <w:tcPr>
            <w:tcW w:w="2232" w:type="dxa"/>
            <w:gridSpan w:val="2"/>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新增废气处理设施能力</w:t>
            </w:r>
          </w:p>
        </w:tc>
        <w:tc>
          <w:tcPr>
            <w:tcW w:w="1969" w:type="dxa"/>
            <w:vAlign w:val="center"/>
          </w:tcPr>
          <w:p>
            <w:pPr>
              <w:jc w:val="center"/>
              <w:rPr>
                <w:rFonts w:hint="eastAsia" w:ascii="Times New Roman" w:hAnsi="Times New Roman" w:cs="Times New Roman" w:eastAsiaTheme="minorEastAsia"/>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w:t>
            </w:r>
          </w:p>
        </w:tc>
        <w:tc>
          <w:tcPr>
            <w:tcW w:w="1832" w:type="dxa"/>
            <w:gridSpan w:val="2"/>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年平均工作时</w:t>
            </w:r>
          </w:p>
        </w:tc>
        <w:tc>
          <w:tcPr>
            <w:tcW w:w="2245" w:type="dxa"/>
            <w:gridSpan w:val="3"/>
            <w:vAlign w:val="center"/>
          </w:tcPr>
          <w:p>
            <w:pPr>
              <w:jc w:val="center"/>
              <w:rPr>
                <w:rFonts w:hint="default" w:ascii="Times New Roman" w:hAnsi="Times New Roman" w:cs="Times New Roman" w:eastAsiaTheme="minorEastAsia"/>
                <w:color w:val="auto"/>
                <w:sz w:val="15"/>
                <w:szCs w:val="15"/>
                <w:highlight w:val="none"/>
                <w:lang w:val="en-US" w:eastAsia="zh-CN"/>
              </w:rPr>
            </w:pPr>
            <w:r>
              <w:rPr>
                <w:rFonts w:hint="eastAsia" w:ascii="Times New Roman" w:hAnsi="Times New Roman" w:cs="Times New Roman"/>
                <w:color w:val="auto"/>
                <w:sz w:val="15"/>
                <w:szCs w:val="15"/>
                <w:highlight w:val="none"/>
                <w:lang w:val="en-US" w:eastAsia="zh-CN"/>
              </w:rPr>
              <w:t>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2458" w:type="dxa"/>
            <w:gridSpan w:val="4"/>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w:t>
            </w:r>
          </w:p>
        </w:tc>
        <w:tc>
          <w:tcPr>
            <w:tcW w:w="4615" w:type="dxa"/>
            <w:gridSpan w:val="4"/>
            <w:vAlign w:val="center"/>
          </w:tcPr>
          <w:p>
            <w:pPr>
              <w:jc w:val="center"/>
              <w:rPr>
                <w:rFonts w:hint="eastAsia" w:ascii="Times New Roman" w:hAnsi="Times New Roman" w:cs="Times New Roman" w:eastAsiaTheme="minorEastAsia"/>
                <w:color w:val="auto"/>
                <w:sz w:val="15"/>
                <w:szCs w:val="15"/>
                <w:highlight w:val="none"/>
                <w:lang w:val="en-US" w:eastAsia="zh-CN"/>
              </w:rPr>
            </w:pPr>
            <w:r>
              <w:rPr>
                <w:rFonts w:hint="eastAsia" w:ascii="Times New Roman" w:hAnsi="Times New Roman" w:cs="Times New Roman"/>
                <w:b/>
                <w:color w:val="auto"/>
                <w:sz w:val="15"/>
                <w:szCs w:val="15"/>
                <w:highlight w:val="none"/>
                <w:lang w:eastAsia="zh-CN"/>
              </w:rPr>
              <w:t>尚志市长兴供热服务有限责任公司</w:t>
            </w:r>
          </w:p>
        </w:tc>
        <w:tc>
          <w:tcPr>
            <w:tcW w:w="3192" w:type="dxa"/>
            <w:gridSpan w:val="3"/>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运营单位社会统一信用代码</w:t>
            </w:r>
          </w:p>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（或组织机构代码）</w:t>
            </w:r>
          </w:p>
        </w:tc>
        <w:tc>
          <w:tcPr>
            <w:tcW w:w="1969" w:type="dxa"/>
            <w:vAlign w:val="center"/>
          </w:tcPr>
          <w:p>
            <w:pPr>
              <w:jc w:val="center"/>
              <w:rPr>
                <w:rFonts w:hint="default" w:ascii="Times New Roman" w:hAnsi="Times New Roman" w:cs="Times New Roman"/>
                <w:b/>
                <w:color w:val="FF0000"/>
                <w:sz w:val="15"/>
                <w:szCs w:val="15"/>
                <w:highlight w:val="none"/>
                <w:lang w:val="en-US"/>
              </w:rPr>
            </w:pPr>
            <w:r>
              <w:rPr>
                <w:rFonts w:hint="default" w:ascii="Times New Roman" w:hAnsi="Times New Roman" w:cs="Times New Roman" w:eastAsiaTheme="minorEastAsia"/>
                <w:b/>
                <w:color w:val="auto"/>
                <w:sz w:val="15"/>
                <w:szCs w:val="15"/>
                <w:highlight w:val="none"/>
                <w:lang w:val="en-US" w:eastAsia="zh-CN"/>
              </w:rPr>
              <w:t>912301837875158677</w:t>
            </w:r>
          </w:p>
        </w:tc>
        <w:tc>
          <w:tcPr>
            <w:tcW w:w="1832" w:type="dxa"/>
            <w:gridSpan w:val="2"/>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default" w:ascii="Times New Roman" w:hAnsi="Times New Roman" w:cs="Times New Roman" w:eastAsiaTheme="minorEastAsia"/>
                <w:b/>
                <w:color w:val="auto"/>
                <w:sz w:val="15"/>
                <w:szCs w:val="15"/>
                <w:highlight w:val="none"/>
                <w:lang w:val="en-US" w:eastAsia="zh-CN"/>
              </w:rPr>
              <w:t>验收时间</w:t>
            </w:r>
          </w:p>
        </w:tc>
        <w:tc>
          <w:tcPr>
            <w:tcW w:w="2245" w:type="dxa"/>
            <w:gridSpan w:val="3"/>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default" w:ascii="Times New Roman" w:hAnsi="Times New Roman" w:cs="Times New Roman" w:eastAsiaTheme="minorEastAsia"/>
                <w:b/>
                <w:color w:val="auto"/>
                <w:sz w:val="15"/>
                <w:szCs w:val="15"/>
                <w:highlight w:val="none"/>
                <w:lang w:val="en-US" w:eastAsia="zh-CN"/>
              </w:rPr>
              <w:t>202</w:t>
            </w:r>
            <w:r>
              <w:rPr>
                <w:rFonts w:hint="eastAsia" w:ascii="Times New Roman" w:hAnsi="Times New Roman" w:cs="Times New Roman" w:eastAsiaTheme="minorEastAsia"/>
                <w:b/>
                <w:color w:val="auto"/>
                <w:sz w:val="15"/>
                <w:szCs w:val="15"/>
                <w:highlight w:val="none"/>
                <w:lang w:val="en-US" w:eastAsia="zh-CN"/>
              </w:rPr>
              <w:t>3</w:t>
            </w:r>
            <w:r>
              <w:rPr>
                <w:rFonts w:hint="default" w:ascii="Times New Roman" w:hAnsi="Times New Roman" w:cs="Times New Roman" w:eastAsiaTheme="minorEastAsia"/>
                <w:b/>
                <w:color w:val="auto"/>
                <w:sz w:val="15"/>
                <w:szCs w:val="15"/>
                <w:highlight w:val="none"/>
                <w:lang w:val="en-US" w:eastAsia="zh-CN"/>
              </w:rPr>
              <w:t>.</w:t>
            </w:r>
            <w:r>
              <w:rPr>
                <w:rFonts w:hint="eastAsia" w:ascii="Times New Roman" w:hAnsi="Times New Roman" w:cs="Times New Roman" w:eastAsiaTheme="minorEastAsia"/>
                <w:b/>
                <w:color w:val="auto"/>
                <w:sz w:val="15"/>
                <w:szCs w:val="15"/>
                <w:highlight w:val="none"/>
                <w:lang w:val="en-US" w:eastAsia="zh-CN"/>
              </w:rPr>
              <w:t>04</w:t>
            </w:r>
            <w:r>
              <w:rPr>
                <w:rFonts w:hint="default" w:ascii="Times New Roman" w:hAnsi="Times New Roman" w:cs="Times New Roman" w:eastAsiaTheme="minorEastAsia"/>
                <w:b/>
                <w:color w:val="auto"/>
                <w:sz w:val="15"/>
                <w:szCs w:val="15"/>
                <w:highlight w:val="none"/>
                <w:lang w:val="en-US" w:eastAsia="zh-CN"/>
              </w:rPr>
              <w:t>.</w:t>
            </w:r>
            <w:r>
              <w:rPr>
                <w:rFonts w:hint="eastAsia" w:ascii="Times New Roman" w:hAnsi="Times New Roman" w:cs="Times New Roman" w:eastAsiaTheme="minorEastAsia"/>
                <w:b/>
                <w:color w:val="auto"/>
                <w:sz w:val="15"/>
                <w:szCs w:val="15"/>
                <w:highlight w:val="none"/>
                <w:lang w:val="en-US" w:eastAsia="zh-CN"/>
              </w:rPr>
              <w:t>04</w:t>
            </w:r>
            <w:r>
              <w:rPr>
                <w:rFonts w:hint="default" w:ascii="Times New Roman" w:hAnsi="Times New Roman" w:cs="Times New Roman" w:eastAsiaTheme="minorEastAsia"/>
                <w:b/>
                <w:color w:val="auto"/>
                <w:sz w:val="15"/>
                <w:szCs w:val="15"/>
                <w:highlight w:val="none"/>
                <w:lang w:val="en-US" w:eastAsia="zh-CN"/>
              </w:rPr>
              <w:t>~202</w:t>
            </w:r>
            <w:r>
              <w:rPr>
                <w:rFonts w:hint="eastAsia" w:ascii="Times New Roman" w:hAnsi="Times New Roman" w:cs="Times New Roman" w:eastAsiaTheme="minorEastAsia"/>
                <w:b/>
                <w:color w:val="auto"/>
                <w:sz w:val="15"/>
                <w:szCs w:val="15"/>
                <w:highlight w:val="none"/>
                <w:lang w:val="en-US" w:eastAsia="zh-CN"/>
              </w:rPr>
              <w:t>3</w:t>
            </w:r>
            <w:r>
              <w:rPr>
                <w:rFonts w:hint="default" w:ascii="Times New Roman" w:hAnsi="Times New Roman" w:cs="Times New Roman" w:eastAsiaTheme="minorEastAsia"/>
                <w:b/>
                <w:color w:val="auto"/>
                <w:sz w:val="15"/>
                <w:szCs w:val="15"/>
                <w:highlight w:val="none"/>
                <w:lang w:val="en-US" w:eastAsia="zh-CN"/>
              </w:rPr>
              <w:t>.</w:t>
            </w:r>
            <w:r>
              <w:rPr>
                <w:rFonts w:hint="eastAsia" w:ascii="Times New Roman" w:hAnsi="Times New Roman" w:cs="Times New Roman" w:eastAsiaTheme="minorEastAsia"/>
                <w:b/>
                <w:color w:val="auto"/>
                <w:sz w:val="15"/>
                <w:szCs w:val="15"/>
                <w:highlight w:val="none"/>
                <w:lang w:val="en-US" w:eastAsia="zh-CN"/>
              </w:rPr>
              <w:t>04.05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restart"/>
            <w:vAlign w:val="center"/>
          </w:tcPr>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污染</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物排</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放达</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标与</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总量</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控制（工</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业建</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设项</w:t>
            </w:r>
          </w:p>
          <w:p>
            <w:pPr>
              <w:jc w:val="center"/>
              <w:rPr>
                <w:rFonts w:hint="default" w:ascii="Times New Roman" w:hAnsi="Times New Roman" w:cs="Times New Roman"/>
                <w:b/>
                <w:color w:val="auto"/>
                <w:spacing w:val="20"/>
                <w:sz w:val="15"/>
                <w:szCs w:val="15"/>
                <w:highlight w:val="none"/>
              </w:rPr>
            </w:pPr>
            <w:r>
              <w:rPr>
                <w:rFonts w:hint="default" w:ascii="Times New Roman" w:hAnsi="Times New Roman" w:cs="Times New Roman"/>
                <w:b/>
                <w:color w:val="auto"/>
                <w:spacing w:val="20"/>
                <w:sz w:val="15"/>
                <w:szCs w:val="15"/>
                <w:highlight w:val="none"/>
              </w:rPr>
              <w:t>目详填）</w:t>
            </w:r>
          </w:p>
        </w:tc>
        <w:tc>
          <w:tcPr>
            <w:tcW w:w="1844" w:type="dxa"/>
            <w:gridSpan w:val="2"/>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污染物</w:t>
            </w:r>
          </w:p>
        </w:tc>
        <w:tc>
          <w:tcPr>
            <w:tcW w:w="850"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原有排</w:t>
            </w:r>
          </w:p>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放量(1)</w:t>
            </w:r>
          </w:p>
        </w:tc>
        <w:tc>
          <w:tcPr>
            <w:tcW w:w="1418"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本期工程实际排放浓度(2)</w:t>
            </w:r>
          </w:p>
        </w:tc>
        <w:tc>
          <w:tcPr>
            <w:tcW w:w="1127"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本期工程允许排放浓度(3)</w:t>
            </w:r>
          </w:p>
        </w:tc>
        <w:tc>
          <w:tcPr>
            <w:tcW w:w="1220"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本期工程产生量(4)</w:t>
            </w:r>
          </w:p>
        </w:tc>
        <w:tc>
          <w:tcPr>
            <w:tcW w:w="960"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本期工程自身削减量(5)</w:t>
            </w:r>
          </w:p>
        </w:tc>
        <w:tc>
          <w:tcPr>
            <w:tcW w:w="1236"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本期工程实际排放量(6)</w:t>
            </w:r>
          </w:p>
        </w:tc>
        <w:tc>
          <w:tcPr>
            <w:tcW w:w="996"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本期工程核定排放总量(7)</w:t>
            </w:r>
          </w:p>
        </w:tc>
        <w:tc>
          <w:tcPr>
            <w:tcW w:w="1969"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本期工程“以新带老”削减量(8)</w:t>
            </w:r>
          </w:p>
        </w:tc>
        <w:tc>
          <w:tcPr>
            <w:tcW w:w="852"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全厂实际排放总量(9)</w:t>
            </w:r>
          </w:p>
        </w:tc>
        <w:tc>
          <w:tcPr>
            <w:tcW w:w="1468"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全厂核定排放总量(10)</w:t>
            </w:r>
          </w:p>
        </w:tc>
        <w:tc>
          <w:tcPr>
            <w:tcW w:w="944"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区域平衡替代削减量(11)</w:t>
            </w:r>
          </w:p>
        </w:tc>
        <w:tc>
          <w:tcPr>
            <w:tcW w:w="813" w:type="dxa"/>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废水</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eastAsia" w:ascii="Times New Roman" w:hAnsi="Times New Roman" w:cs="Times New Roman" w:eastAsiaTheme="minorEastAsia"/>
                <w:b/>
                <w:bCs/>
                <w:color w:val="auto"/>
                <w:sz w:val="15"/>
                <w:szCs w:val="15"/>
                <w:highlight w:val="yellow"/>
                <w:lang w:val="en-US" w:eastAsia="zh-CN"/>
              </w:rPr>
            </w:pPr>
          </w:p>
        </w:tc>
        <w:tc>
          <w:tcPr>
            <w:tcW w:w="1127" w:type="dxa"/>
            <w:vAlign w:val="center"/>
          </w:tcPr>
          <w:p>
            <w:pPr>
              <w:jc w:val="center"/>
              <w:rPr>
                <w:rFonts w:hint="eastAsia" w:ascii="Times New Roman" w:hAnsi="Times New Roman" w:cs="Times New Roman" w:eastAsiaTheme="minorEastAsia"/>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b/>
                <w:bCs/>
                <w:color w:val="FF0000"/>
                <w:sz w:val="15"/>
                <w:szCs w:val="15"/>
                <w:highlight w:val="none"/>
              </w:rPr>
            </w:pPr>
          </w:p>
        </w:tc>
        <w:tc>
          <w:tcPr>
            <w:tcW w:w="960" w:type="dxa"/>
            <w:vAlign w:val="center"/>
          </w:tcPr>
          <w:p>
            <w:pPr>
              <w:jc w:val="center"/>
              <w:rPr>
                <w:rFonts w:hint="default" w:ascii="Times New Roman" w:hAnsi="Times New Roman" w:cs="Times New Roman"/>
                <w:b/>
                <w:bCs/>
                <w:color w:val="FF0000"/>
                <w:sz w:val="15"/>
                <w:szCs w:val="15"/>
                <w:highlight w:val="none"/>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color w:val="FF0000"/>
                <w:sz w:val="15"/>
                <w:szCs w:val="15"/>
                <w:highlight w:val="none"/>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化学需氧量</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969" w:type="dxa"/>
            <w:vAlign w:val="center"/>
          </w:tcPr>
          <w:p>
            <w:pPr>
              <w:bidi w:val="0"/>
              <w:spacing w:line="360" w:lineRule="auto"/>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氨氮</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969" w:type="dxa"/>
            <w:vAlign w:val="center"/>
          </w:tcPr>
          <w:p>
            <w:pPr>
              <w:bidi w:val="0"/>
              <w:spacing w:line="360" w:lineRule="auto"/>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石油类</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b/>
                <w:bCs/>
                <w:color w:val="auto"/>
                <w:sz w:val="15"/>
                <w:szCs w:val="15"/>
                <w:highlight w:val="yellow"/>
              </w:rPr>
            </w:pPr>
          </w:p>
        </w:tc>
        <w:tc>
          <w:tcPr>
            <w:tcW w:w="1127" w:type="dxa"/>
            <w:vAlign w:val="center"/>
          </w:tcPr>
          <w:p>
            <w:pPr>
              <w:jc w:val="center"/>
              <w:rPr>
                <w:rFonts w:hint="default" w:ascii="Times New Roman" w:hAnsi="Times New Roman" w:cs="Times New Roman"/>
                <w:b/>
                <w:bCs/>
                <w:color w:val="auto"/>
                <w:sz w:val="15"/>
                <w:szCs w:val="15"/>
                <w:highlight w:val="yellow"/>
              </w:rPr>
            </w:pPr>
          </w:p>
        </w:tc>
        <w:tc>
          <w:tcPr>
            <w:tcW w:w="1220" w:type="dxa"/>
            <w:vAlign w:val="center"/>
          </w:tcPr>
          <w:p>
            <w:pPr>
              <w:jc w:val="center"/>
              <w:rPr>
                <w:rFonts w:hint="default" w:ascii="Times New Roman" w:hAnsi="Times New Roman" w:cs="Times New Roman"/>
                <w:b/>
                <w:bCs/>
                <w:color w:val="FF0000"/>
                <w:sz w:val="15"/>
                <w:szCs w:val="15"/>
                <w:highlight w:val="none"/>
              </w:rPr>
            </w:pPr>
          </w:p>
        </w:tc>
        <w:tc>
          <w:tcPr>
            <w:tcW w:w="960" w:type="dxa"/>
            <w:vAlign w:val="center"/>
          </w:tcPr>
          <w:p>
            <w:pPr>
              <w:jc w:val="center"/>
              <w:rPr>
                <w:rFonts w:hint="default" w:ascii="Times New Roman" w:hAnsi="Times New Roman" w:cs="Times New Roman"/>
                <w:b/>
                <w:bCs/>
                <w:color w:val="FF0000"/>
                <w:sz w:val="15"/>
                <w:szCs w:val="15"/>
                <w:highlight w:val="none"/>
              </w:rPr>
            </w:pPr>
          </w:p>
        </w:tc>
        <w:tc>
          <w:tcPr>
            <w:tcW w:w="1236" w:type="dxa"/>
            <w:vAlign w:val="center"/>
          </w:tcPr>
          <w:p>
            <w:pPr>
              <w:jc w:val="center"/>
              <w:rPr>
                <w:rFonts w:hint="default" w:ascii="Times New Roman" w:hAnsi="Times New Roman" w:cs="Times New Roman"/>
                <w:b/>
                <w:bCs/>
                <w:color w:val="FF0000"/>
                <w:sz w:val="15"/>
                <w:szCs w:val="15"/>
                <w:highlight w:val="none"/>
              </w:rPr>
            </w:pPr>
          </w:p>
        </w:tc>
        <w:tc>
          <w:tcPr>
            <w:tcW w:w="996" w:type="dxa"/>
            <w:vAlign w:val="center"/>
          </w:tcPr>
          <w:p>
            <w:pPr>
              <w:jc w:val="center"/>
              <w:rPr>
                <w:rFonts w:hint="default" w:ascii="Times New Roman" w:hAnsi="Times New Roman" w:cs="Times New Roman"/>
                <w:b/>
                <w:bCs/>
                <w:color w:val="FF0000"/>
                <w:sz w:val="15"/>
                <w:szCs w:val="15"/>
                <w:highlight w:val="none"/>
              </w:rPr>
            </w:pPr>
          </w:p>
        </w:tc>
        <w:tc>
          <w:tcPr>
            <w:tcW w:w="1969" w:type="dxa"/>
            <w:vAlign w:val="center"/>
          </w:tcPr>
          <w:p>
            <w:pPr>
              <w:bidi w:val="0"/>
              <w:spacing w:line="360" w:lineRule="auto"/>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废气</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b/>
                <w:bCs/>
                <w:color w:val="auto"/>
                <w:sz w:val="15"/>
                <w:szCs w:val="15"/>
                <w:highlight w:val="yellow"/>
              </w:rPr>
            </w:pPr>
          </w:p>
        </w:tc>
        <w:tc>
          <w:tcPr>
            <w:tcW w:w="1127" w:type="dxa"/>
            <w:vAlign w:val="center"/>
          </w:tcPr>
          <w:p>
            <w:pPr>
              <w:jc w:val="center"/>
              <w:rPr>
                <w:rFonts w:hint="default" w:ascii="Times New Roman" w:hAnsi="Times New Roman" w:cs="Times New Roman"/>
                <w:b/>
                <w:bCs/>
                <w:color w:val="auto"/>
                <w:sz w:val="15"/>
                <w:szCs w:val="15"/>
                <w:highlight w:val="yellow"/>
              </w:rPr>
            </w:pPr>
          </w:p>
        </w:tc>
        <w:tc>
          <w:tcPr>
            <w:tcW w:w="1220" w:type="dxa"/>
            <w:vAlign w:val="center"/>
          </w:tcPr>
          <w:p>
            <w:pPr>
              <w:jc w:val="center"/>
              <w:rPr>
                <w:rFonts w:hint="default" w:ascii="Times New Roman" w:hAnsi="Times New Roman" w:cs="Times New Roman"/>
                <w:b/>
                <w:bCs/>
                <w:color w:val="FF0000"/>
                <w:sz w:val="15"/>
                <w:szCs w:val="15"/>
                <w:highlight w:val="none"/>
              </w:rPr>
            </w:pPr>
          </w:p>
        </w:tc>
        <w:tc>
          <w:tcPr>
            <w:tcW w:w="960" w:type="dxa"/>
            <w:vAlign w:val="center"/>
          </w:tcPr>
          <w:p>
            <w:pPr>
              <w:jc w:val="center"/>
              <w:rPr>
                <w:rFonts w:hint="default" w:ascii="Times New Roman" w:hAnsi="Times New Roman" w:cs="Times New Roman"/>
                <w:b/>
                <w:bCs/>
                <w:color w:val="FF0000"/>
                <w:sz w:val="15"/>
                <w:szCs w:val="15"/>
                <w:highlight w:val="none"/>
              </w:rPr>
            </w:pPr>
          </w:p>
        </w:tc>
        <w:tc>
          <w:tcPr>
            <w:tcW w:w="1236" w:type="dxa"/>
            <w:vAlign w:val="center"/>
          </w:tcPr>
          <w:p>
            <w:pPr>
              <w:jc w:val="center"/>
              <w:rPr>
                <w:rFonts w:hint="default" w:ascii="Times New Roman" w:hAnsi="Times New Roman" w:cs="Times New Roman"/>
                <w:b/>
                <w:bCs/>
                <w:color w:val="FF0000"/>
                <w:sz w:val="15"/>
                <w:szCs w:val="15"/>
                <w:highlight w:val="none"/>
              </w:rPr>
            </w:pPr>
          </w:p>
        </w:tc>
        <w:tc>
          <w:tcPr>
            <w:tcW w:w="996" w:type="dxa"/>
            <w:vAlign w:val="center"/>
          </w:tcPr>
          <w:p>
            <w:pPr>
              <w:jc w:val="center"/>
              <w:rPr>
                <w:rFonts w:hint="default" w:ascii="Times New Roman" w:hAnsi="Times New Roman" w:cs="Times New Roman"/>
                <w:b/>
                <w:bCs/>
                <w:color w:val="FF0000"/>
                <w:sz w:val="15"/>
                <w:szCs w:val="15"/>
                <w:highlight w:val="none"/>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二氧化硫</w:t>
            </w:r>
          </w:p>
        </w:tc>
        <w:tc>
          <w:tcPr>
            <w:tcW w:w="850" w:type="dxa"/>
            <w:vAlign w:val="center"/>
          </w:tcPr>
          <w:p>
            <w:pPr>
              <w:jc w:val="center"/>
              <w:rPr>
                <w:rFonts w:hint="eastAsia" w:ascii="Times New Roman" w:hAnsi="Times New Roman" w:cs="Times New Roman" w:eastAsiaTheme="minorEastAsia"/>
                <w:color w:val="auto"/>
                <w:sz w:val="15"/>
                <w:szCs w:val="15"/>
                <w:highlight w:val="yellow"/>
                <w:lang w:val="en-US" w:eastAsia="zh-CN"/>
              </w:rPr>
            </w:pPr>
          </w:p>
        </w:tc>
        <w:tc>
          <w:tcPr>
            <w:tcW w:w="1418"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67</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127"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200</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220"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0.61t/a</w:t>
            </w:r>
          </w:p>
        </w:tc>
        <w:tc>
          <w:tcPr>
            <w:tcW w:w="996"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19.39t/a</w:t>
            </w: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42.42t/a</w:t>
            </w:r>
          </w:p>
        </w:tc>
        <w:tc>
          <w:tcPr>
            <w:tcW w:w="944" w:type="dxa"/>
            <w:vAlign w:val="center"/>
          </w:tcPr>
          <w:p>
            <w:pPr>
              <w:jc w:val="center"/>
              <w:textAlignment w:val="center"/>
              <w:rPr>
                <w:rFonts w:hint="default" w:ascii="Times New Roman" w:hAnsi="Times New Roman" w:cs="Times New Roman"/>
                <w:color w:val="FF0000"/>
                <w:sz w:val="15"/>
                <w:szCs w:val="15"/>
                <w:highlight w:val="none"/>
              </w:rPr>
            </w:pPr>
          </w:p>
        </w:tc>
        <w:tc>
          <w:tcPr>
            <w:tcW w:w="813" w:type="dxa"/>
            <w:vAlign w:val="center"/>
          </w:tcPr>
          <w:p>
            <w:pPr>
              <w:jc w:val="center"/>
              <w:textAlignment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eastAsia" w:ascii="Times New Roman" w:hAnsi="Times New Roman" w:cs="Times New Roman" w:eastAsiaTheme="minorEastAsia"/>
                <w:b/>
                <w:color w:val="000000" w:themeColor="text1"/>
                <w:sz w:val="15"/>
                <w:szCs w:val="15"/>
                <w:highlight w:val="none"/>
                <w:lang w:eastAsia="zh-CN"/>
                <w14:textFill>
                  <w14:solidFill>
                    <w14:schemeClr w14:val="tx1"/>
                  </w14:solidFill>
                </w14:textFill>
              </w:rPr>
            </w:pPr>
            <w:r>
              <w:rPr>
                <w:rFonts w:hint="eastAsia" w:ascii="Times New Roman" w:hAnsi="Times New Roman" w:cs="Times New Roman"/>
                <w:b/>
                <w:color w:val="000000" w:themeColor="text1"/>
                <w:sz w:val="15"/>
                <w:szCs w:val="15"/>
                <w:highlight w:val="none"/>
                <w:lang w:val="en-US" w:eastAsia="zh-CN"/>
                <w14:textFill>
                  <w14:solidFill>
                    <w14:schemeClr w14:val="tx1"/>
                  </w14:solidFill>
                </w14:textFill>
              </w:rPr>
              <w:t>颗粒物</w:t>
            </w:r>
          </w:p>
        </w:tc>
        <w:tc>
          <w:tcPr>
            <w:tcW w:w="850" w:type="dxa"/>
            <w:vAlign w:val="center"/>
          </w:tcPr>
          <w:p>
            <w:pPr>
              <w:jc w:val="center"/>
              <w:rPr>
                <w:rFonts w:hint="eastAsia" w:ascii="Times New Roman" w:hAnsi="Times New Roman" w:cs="Times New Roman" w:eastAsiaTheme="minorEastAsia"/>
                <w:color w:val="auto"/>
                <w:sz w:val="15"/>
                <w:szCs w:val="15"/>
                <w:highlight w:val="yellow"/>
                <w:lang w:val="en-US" w:eastAsia="zh-CN"/>
              </w:rPr>
            </w:pPr>
          </w:p>
        </w:tc>
        <w:tc>
          <w:tcPr>
            <w:tcW w:w="1418"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11.6</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127"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30</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0.27t/a</w:t>
            </w:r>
          </w:p>
        </w:tc>
        <w:tc>
          <w:tcPr>
            <w:tcW w:w="996"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5.49t/a</w:t>
            </w: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6.44t/a</w:t>
            </w:r>
          </w:p>
        </w:tc>
        <w:tc>
          <w:tcPr>
            <w:tcW w:w="944" w:type="dxa"/>
            <w:vAlign w:val="center"/>
          </w:tcPr>
          <w:p>
            <w:pPr>
              <w:jc w:val="center"/>
              <w:textAlignment w:val="center"/>
              <w:rPr>
                <w:rFonts w:hint="default" w:ascii="Times New Roman" w:hAnsi="Times New Roman" w:cs="Times New Roman"/>
                <w:color w:val="FF0000"/>
                <w:sz w:val="15"/>
                <w:szCs w:val="15"/>
                <w:highlight w:val="none"/>
              </w:rPr>
            </w:pPr>
          </w:p>
        </w:tc>
        <w:tc>
          <w:tcPr>
            <w:tcW w:w="813" w:type="dxa"/>
            <w:vAlign w:val="center"/>
          </w:tcPr>
          <w:p>
            <w:pPr>
              <w:jc w:val="center"/>
              <w:textAlignment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auto"/>
                <w:sz w:val="15"/>
                <w:szCs w:val="15"/>
                <w:highlight w:val="none"/>
              </w:rPr>
            </w:pPr>
          </w:p>
        </w:tc>
        <w:tc>
          <w:tcPr>
            <w:tcW w:w="1844" w:type="dxa"/>
            <w:gridSpan w:val="2"/>
            <w:vAlign w:val="center"/>
          </w:tcPr>
          <w:p>
            <w:pPr>
              <w:jc w:val="center"/>
              <w:rPr>
                <w:rFonts w:hint="default" w:ascii="Times New Roman" w:hAnsi="Times New Roman" w:cs="Times New Roman"/>
                <w:b/>
                <w:color w:val="000000" w:themeColor="text1"/>
                <w:sz w:val="15"/>
                <w:szCs w:val="15"/>
                <w:highlight w:val="none"/>
                <w14:textFill>
                  <w14:solidFill>
                    <w14:schemeClr w14:val="tx1"/>
                  </w14:solidFill>
                </w14:textFill>
              </w:rPr>
            </w:pPr>
            <w:r>
              <w:rPr>
                <w:rFonts w:hint="default" w:ascii="Times New Roman" w:hAnsi="Times New Roman" w:cs="Times New Roman"/>
                <w:b/>
                <w:color w:val="000000" w:themeColor="text1"/>
                <w:sz w:val="15"/>
                <w:szCs w:val="15"/>
                <w:highlight w:val="none"/>
                <w14:textFill>
                  <w14:solidFill>
                    <w14:schemeClr w14:val="tx1"/>
                  </w14:solidFill>
                </w14:textFill>
              </w:rPr>
              <w:t>氮氧化物</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40</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127"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200</w:t>
            </w:r>
            <w:r>
              <w:rPr>
                <w:rFonts w:hint="default" w:ascii="Times New Roman" w:hAnsi="Times New Roman" w:eastAsia="宋体" w:cs="Times New Roman"/>
                <w:sz w:val="15"/>
                <w:szCs w:val="15"/>
                <w:highlight w:val="none"/>
                <w:vertAlign w:val="baseline"/>
                <w:lang w:val="en-US" w:eastAsia="zh-CN"/>
              </w:rPr>
              <w:t>mg/m</w:t>
            </w:r>
            <w:r>
              <w:rPr>
                <w:rFonts w:hint="default" w:ascii="Times New Roman" w:hAnsi="Times New Roman" w:eastAsia="宋体" w:cs="Times New Roman"/>
                <w:sz w:val="15"/>
                <w:szCs w:val="15"/>
                <w:highlight w:val="none"/>
                <w:vertAlign w:val="superscript"/>
                <w:lang w:val="en-US" w:eastAsia="zh-CN"/>
              </w:rPr>
              <w:t>3</w:t>
            </w: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000000" w:themeColor="text1"/>
                <w:sz w:val="15"/>
                <w:szCs w:val="15"/>
                <w:highlight w:val="none"/>
                <w:lang w:val="en-US" w:eastAsia="zh-CN"/>
                <w14:textFill>
                  <w14:solidFill>
                    <w14:schemeClr w14:val="tx1"/>
                  </w14:solidFill>
                </w14:textFill>
              </w:rPr>
            </w:pPr>
            <w:r>
              <w:rPr>
                <w:rFonts w:hint="eastAsia" w:ascii="Times New Roman" w:hAnsi="Times New Roman" w:cs="Times New Roman"/>
                <w:b/>
                <w:bCs/>
                <w:color w:val="000000" w:themeColor="text1"/>
                <w:sz w:val="15"/>
                <w:szCs w:val="15"/>
                <w:highlight w:val="none"/>
                <w:lang w:val="en-US" w:eastAsia="zh-CN"/>
                <w14:textFill>
                  <w14:solidFill>
                    <w14:schemeClr w14:val="tx1"/>
                  </w14:solidFill>
                </w14:textFill>
              </w:rPr>
              <w:t>0.89t/a</w:t>
            </w:r>
          </w:p>
        </w:tc>
        <w:tc>
          <w:tcPr>
            <w:tcW w:w="996" w:type="dxa"/>
            <w:vAlign w:val="center"/>
          </w:tcPr>
          <w:p>
            <w:pPr>
              <w:jc w:val="center"/>
              <w:rPr>
                <w:rFonts w:hint="default" w:ascii="Times New Roman" w:hAnsi="Times New Roman" w:cs="Times New Roman" w:eastAsiaTheme="minorEastAsia"/>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47.72t/a</w:t>
            </w: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b/>
                <w:bCs/>
                <w:color w:val="auto"/>
                <w:sz w:val="15"/>
                <w:szCs w:val="15"/>
                <w:highlight w:val="none"/>
                <w:lang w:val="en-US" w:eastAsia="zh-CN"/>
              </w:rPr>
            </w:pPr>
            <w:r>
              <w:rPr>
                <w:rFonts w:hint="eastAsia" w:ascii="Times New Roman" w:hAnsi="Times New Roman" w:cs="Times New Roman"/>
                <w:b/>
                <w:bCs/>
                <w:color w:val="auto"/>
                <w:sz w:val="15"/>
                <w:szCs w:val="15"/>
                <w:highlight w:val="none"/>
                <w:lang w:val="en-US" w:eastAsia="zh-CN"/>
              </w:rPr>
              <w:t>53.02t/a</w:t>
            </w: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844" w:type="dxa"/>
            <w:gridSpan w:val="2"/>
            <w:vAlign w:val="center"/>
          </w:tcPr>
          <w:p>
            <w:pPr>
              <w:jc w:val="center"/>
              <w:rPr>
                <w:rFonts w:hint="default" w:ascii="Times New Roman" w:hAnsi="Times New Roman" w:cs="Times New Roman" w:eastAsiaTheme="minorEastAsia"/>
                <w:b/>
                <w:color w:val="auto"/>
                <w:sz w:val="15"/>
                <w:szCs w:val="15"/>
                <w:highlight w:val="none"/>
                <w:lang w:val="en-US" w:eastAsia="zh-CN"/>
              </w:rPr>
            </w:pPr>
            <w:r>
              <w:rPr>
                <w:rFonts w:hint="eastAsia" w:ascii="Times New Roman" w:hAnsi="Times New Roman" w:cs="Times New Roman"/>
                <w:b/>
                <w:color w:val="auto"/>
                <w:sz w:val="15"/>
                <w:szCs w:val="15"/>
                <w:highlight w:val="none"/>
                <w:lang w:val="en-US" w:eastAsia="zh-CN"/>
              </w:rPr>
              <w:t>汞及其化合物</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工业粉尘</w:t>
            </w:r>
          </w:p>
        </w:tc>
        <w:tc>
          <w:tcPr>
            <w:tcW w:w="850" w:type="dxa"/>
            <w:vAlign w:val="center"/>
          </w:tcPr>
          <w:p>
            <w:pPr>
              <w:jc w:val="center"/>
              <w:rPr>
                <w:rFonts w:hint="eastAsia" w:ascii="Times New Roman" w:hAnsi="Times New Roman" w:cs="Times New Roman" w:eastAsiaTheme="minorEastAsia"/>
                <w:color w:val="auto"/>
                <w:sz w:val="15"/>
                <w:szCs w:val="15"/>
                <w:highlight w:val="yellow"/>
                <w:lang w:val="en-US" w:eastAsia="zh-CN"/>
              </w:rPr>
            </w:pPr>
          </w:p>
        </w:tc>
        <w:tc>
          <w:tcPr>
            <w:tcW w:w="1418"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eastAsiaTheme="minorEastAsia"/>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60"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textAlignment w:val="center"/>
              <w:rPr>
                <w:rFonts w:hint="default" w:ascii="Times New Roman" w:hAnsi="Times New Roman" w:cs="Times New Roman"/>
                <w:color w:val="FF0000"/>
                <w:sz w:val="15"/>
                <w:szCs w:val="15"/>
                <w:highlight w:val="none"/>
              </w:rPr>
            </w:pPr>
          </w:p>
        </w:tc>
        <w:tc>
          <w:tcPr>
            <w:tcW w:w="813" w:type="dxa"/>
            <w:vAlign w:val="center"/>
          </w:tcPr>
          <w:p>
            <w:pPr>
              <w:jc w:val="center"/>
              <w:textAlignment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844" w:type="dxa"/>
            <w:gridSpan w:val="2"/>
            <w:vAlign w:val="center"/>
          </w:tcPr>
          <w:p>
            <w:pPr>
              <w:jc w:val="center"/>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工业固体废物</w:t>
            </w: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color w:val="auto"/>
                <w:sz w:val="15"/>
                <w:szCs w:val="15"/>
                <w:highlight w:val="yellow"/>
              </w:rPr>
            </w:pPr>
          </w:p>
        </w:tc>
        <w:tc>
          <w:tcPr>
            <w:tcW w:w="1127" w:type="dxa"/>
            <w:vAlign w:val="center"/>
          </w:tcPr>
          <w:p>
            <w:pPr>
              <w:jc w:val="center"/>
              <w:rPr>
                <w:rFonts w:hint="default" w:ascii="Times New Roman" w:hAnsi="Times New Roman" w:cs="Times New Roman"/>
                <w:color w:val="auto"/>
                <w:sz w:val="15"/>
                <w:szCs w:val="15"/>
                <w:highlight w:val="yellow"/>
              </w:rPr>
            </w:pPr>
          </w:p>
        </w:tc>
        <w:tc>
          <w:tcPr>
            <w:tcW w:w="1220" w:type="dxa"/>
            <w:vAlign w:val="center"/>
          </w:tcPr>
          <w:p>
            <w:pPr>
              <w:jc w:val="center"/>
              <w:rPr>
                <w:rFonts w:hint="default" w:ascii="Times New Roman" w:hAnsi="Times New Roman" w:cs="Times New Roman"/>
                <w:color w:val="FF0000"/>
                <w:sz w:val="15"/>
                <w:szCs w:val="15"/>
                <w:highlight w:val="none"/>
              </w:rPr>
            </w:pPr>
          </w:p>
        </w:tc>
        <w:tc>
          <w:tcPr>
            <w:tcW w:w="960" w:type="dxa"/>
            <w:vAlign w:val="center"/>
          </w:tcPr>
          <w:p>
            <w:pPr>
              <w:jc w:val="center"/>
              <w:rPr>
                <w:rFonts w:hint="eastAsia" w:ascii="Times New Roman" w:hAnsi="Times New Roman" w:cs="Times New Roman" w:eastAsiaTheme="minorEastAsia"/>
                <w:color w:val="FF0000"/>
                <w:sz w:val="15"/>
                <w:szCs w:val="15"/>
                <w:highlight w:val="none"/>
                <w:lang w:val="en-US" w:eastAsia="zh-CN"/>
              </w:rPr>
            </w:pPr>
          </w:p>
        </w:tc>
        <w:tc>
          <w:tcPr>
            <w:tcW w:w="1236" w:type="dxa"/>
            <w:vAlign w:val="center"/>
          </w:tcPr>
          <w:p>
            <w:pPr>
              <w:jc w:val="center"/>
              <w:rPr>
                <w:rFonts w:hint="default" w:ascii="Times New Roman" w:hAnsi="Times New Roman" w:cs="Times New Roman" w:eastAsiaTheme="minorEastAsia"/>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color w:val="FF0000"/>
                <w:sz w:val="15"/>
                <w:szCs w:val="15"/>
                <w:highlight w:val="none"/>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129" w:type="dxa"/>
            <w:vMerge w:val="restart"/>
            <w:vAlign w:val="center"/>
          </w:tcPr>
          <w:p>
            <w:pPr>
              <w:jc w:val="center"/>
              <w:rPr>
                <w:rFonts w:hint="default" w:ascii="Times New Roman" w:hAnsi="Times New Roman" w:cs="Times New Roman"/>
                <w:color w:val="auto"/>
                <w:sz w:val="15"/>
                <w:szCs w:val="15"/>
                <w:highlight w:val="none"/>
              </w:rPr>
            </w:pPr>
            <w:r>
              <w:rPr>
                <w:rFonts w:hint="default" w:ascii="Times New Roman" w:hAnsi="Times New Roman" w:cs="Times New Roman"/>
                <w:b/>
                <w:color w:val="auto"/>
                <w:sz w:val="15"/>
                <w:szCs w:val="15"/>
                <w:highlight w:val="none"/>
              </w:rPr>
              <w:t>与项目有关的其他特征污染物</w:t>
            </w:r>
          </w:p>
        </w:tc>
        <w:tc>
          <w:tcPr>
            <w:tcW w:w="715" w:type="dxa"/>
            <w:vAlign w:val="center"/>
          </w:tcPr>
          <w:p>
            <w:pPr>
              <w:jc w:val="center"/>
              <w:rPr>
                <w:rFonts w:hint="eastAsia" w:ascii="Times New Roman" w:hAnsi="Times New Roman" w:cs="Times New Roman"/>
                <w:b/>
                <w:color w:val="auto"/>
                <w:sz w:val="15"/>
                <w:szCs w:val="15"/>
                <w:highlight w:val="none"/>
                <w:lang w:eastAsia="zh-CN"/>
              </w:rPr>
            </w:pP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color w:val="FF0000"/>
                <w:sz w:val="15"/>
                <w:szCs w:val="15"/>
                <w:highlight w:val="none"/>
              </w:rPr>
            </w:pPr>
          </w:p>
        </w:tc>
        <w:tc>
          <w:tcPr>
            <w:tcW w:w="960" w:type="dxa"/>
            <w:vAlign w:val="center"/>
          </w:tcPr>
          <w:p>
            <w:pPr>
              <w:jc w:val="center"/>
              <w:rPr>
                <w:rFonts w:hint="default" w:ascii="Times New Roman" w:hAnsi="Times New Roman" w:cs="Times New Roman"/>
                <w:color w:val="FF0000"/>
                <w:sz w:val="15"/>
                <w:szCs w:val="15"/>
                <w:highlight w:val="none"/>
              </w:rPr>
            </w:pPr>
          </w:p>
        </w:tc>
        <w:tc>
          <w:tcPr>
            <w:tcW w:w="1236" w:type="dxa"/>
            <w:vAlign w:val="center"/>
          </w:tcPr>
          <w:p>
            <w:pPr>
              <w:jc w:val="center"/>
              <w:rPr>
                <w:rFonts w:hint="default" w:ascii="Times New Roman" w:hAnsi="Times New Roman" w:cs="Times New Roman"/>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eastAsiaTheme="minorEastAsia"/>
                <w:color w:val="FF0000"/>
                <w:sz w:val="15"/>
                <w:szCs w:val="15"/>
                <w:highlight w:val="none"/>
                <w:lang w:val="en-US" w:eastAsia="zh-CN"/>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129" w:type="dxa"/>
            <w:vMerge w:val="continue"/>
            <w:vAlign w:val="center"/>
          </w:tcPr>
          <w:p>
            <w:pPr>
              <w:jc w:val="center"/>
              <w:rPr>
                <w:rFonts w:hint="default" w:ascii="Times New Roman" w:hAnsi="Times New Roman" w:cs="Times New Roman"/>
                <w:b/>
                <w:color w:val="auto"/>
                <w:sz w:val="15"/>
                <w:szCs w:val="15"/>
                <w:highlight w:val="yellow"/>
              </w:rPr>
            </w:pPr>
          </w:p>
        </w:tc>
        <w:tc>
          <w:tcPr>
            <w:tcW w:w="715" w:type="dxa"/>
            <w:vAlign w:val="center"/>
          </w:tcPr>
          <w:p>
            <w:pPr>
              <w:jc w:val="center"/>
              <w:rPr>
                <w:rFonts w:hint="eastAsia" w:ascii="Times New Roman" w:hAnsi="Times New Roman" w:cs="Times New Roman"/>
                <w:b/>
                <w:color w:val="auto"/>
                <w:sz w:val="15"/>
                <w:szCs w:val="15"/>
                <w:highlight w:val="yellow"/>
                <w:lang w:eastAsia="zh-CN"/>
              </w:rPr>
            </w:pP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b/>
                <w:bCs/>
                <w:color w:val="auto"/>
                <w:sz w:val="15"/>
                <w:szCs w:val="15"/>
                <w:highlight w:val="yellow"/>
                <w:lang w:val="en-US" w:eastAsia="zh-CN"/>
              </w:rPr>
            </w:pPr>
          </w:p>
        </w:tc>
        <w:tc>
          <w:tcPr>
            <w:tcW w:w="1127" w:type="dxa"/>
            <w:vAlign w:val="center"/>
          </w:tcPr>
          <w:p>
            <w:pPr>
              <w:jc w:val="center"/>
              <w:rPr>
                <w:rFonts w:hint="default" w:ascii="Times New Roman" w:hAnsi="Times New Roman" w:cs="Times New Roman"/>
                <w:b/>
                <w:bCs/>
                <w:color w:val="auto"/>
                <w:sz w:val="15"/>
                <w:szCs w:val="15"/>
                <w:highlight w:val="yellow"/>
                <w:lang w:val="en-US" w:eastAsia="zh-CN"/>
              </w:rPr>
            </w:pPr>
          </w:p>
        </w:tc>
        <w:tc>
          <w:tcPr>
            <w:tcW w:w="1220" w:type="dxa"/>
            <w:vAlign w:val="center"/>
          </w:tcPr>
          <w:p>
            <w:pPr>
              <w:jc w:val="center"/>
              <w:rPr>
                <w:rFonts w:hint="default" w:ascii="Times New Roman" w:hAnsi="Times New Roman" w:cs="Times New Roman"/>
                <w:color w:val="FF0000"/>
                <w:sz w:val="15"/>
                <w:szCs w:val="15"/>
                <w:highlight w:val="none"/>
              </w:rPr>
            </w:pPr>
          </w:p>
        </w:tc>
        <w:tc>
          <w:tcPr>
            <w:tcW w:w="960" w:type="dxa"/>
            <w:vAlign w:val="center"/>
          </w:tcPr>
          <w:p>
            <w:pPr>
              <w:jc w:val="center"/>
              <w:rPr>
                <w:rFonts w:hint="default" w:ascii="Times New Roman" w:hAnsi="Times New Roman" w:cs="Times New Roman"/>
                <w:color w:val="FF0000"/>
                <w:sz w:val="15"/>
                <w:szCs w:val="15"/>
                <w:highlight w:val="none"/>
              </w:rPr>
            </w:pPr>
          </w:p>
        </w:tc>
        <w:tc>
          <w:tcPr>
            <w:tcW w:w="1236" w:type="dxa"/>
            <w:vAlign w:val="center"/>
          </w:tcPr>
          <w:p>
            <w:pPr>
              <w:jc w:val="center"/>
              <w:rPr>
                <w:rFonts w:hint="default" w:ascii="Times New Roman" w:hAnsi="Times New Roman" w:cs="Times New Roman"/>
                <w:b/>
                <w:bCs/>
                <w:color w:val="FF0000"/>
                <w:sz w:val="15"/>
                <w:szCs w:val="15"/>
                <w:highlight w:val="none"/>
                <w:lang w:val="en-US" w:eastAsia="zh-CN"/>
              </w:rPr>
            </w:pPr>
          </w:p>
        </w:tc>
        <w:tc>
          <w:tcPr>
            <w:tcW w:w="996" w:type="dxa"/>
            <w:vAlign w:val="center"/>
          </w:tcPr>
          <w:p>
            <w:pPr>
              <w:jc w:val="center"/>
              <w:rPr>
                <w:rFonts w:hint="default" w:ascii="Times New Roman" w:hAnsi="Times New Roman" w:cs="Times New Roman"/>
                <w:color w:val="FF0000"/>
                <w:sz w:val="15"/>
                <w:szCs w:val="15"/>
                <w:highlight w:val="none"/>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jc w:val="center"/>
        </w:trPr>
        <w:tc>
          <w:tcPr>
            <w:tcW w:w="614" w:type="dxa"/>
            <w:gridSpan w:val="2"/>
            <w:vMerge w:val="continue"/>
            <w:vAlign w:val="center"/>
          </w:tcPr>
          <w:p>
            <w:pPr>
              <w:jc w:val="center"/>
              <w:rPr>
                <w:rFonts w:hint="default" w:ascii="Times New Roman" w:hAnsi="Times New Roman" w:cs="Times New Roman"/>
                <w:color w:val="FF0000"/>
                <w:sz w:val="15"/>
                <w:szCs w:val="15"/>
                <w:highlight w:val="none"/>
              </w:rPr>
            </w:pPr>
          </w:p>
        </w:tc>
        <w:tc>
          <w:tcPr>
            <w:tcW w:w="1129" w:type="dxa"/>
            <w:vMerge w:val="continue"/>
            <w:vAlign w:val="center"/>
          </w:tcPr>
          <w:p>
            <w:pPr>
              <w:jc w:val="center"/>
              <w:rPr>
                <w:rFonts w:hint="default" w:ascii="Times New Roman" w:hAnsi="Times New Roman" w:cs="Times New Roman"/>
                <w:b/>
                <w:color w:val="auto"/>
                <w:sz w:val="15"/>
                <w:szCs w:val="15"/>
                <w:highlight w:val="yellow"/>
              </w:rPr>
            </w:pPr>
          </w:p>
        </w:tc>
        <w:tc>
          <w:tcPr>
            <w:tcW w:w="715" w:type="dxa"/>
            <w:vAlign w:val="center"/>
          </w:tcPr>
          <w:p>
            <w:pPr>
              <w:jc w:val="center"/>
              <w:rPr>
                <w:rFonts w:hint="default" w:ascii="Times New Roman" w:hAnsi="Times New Roman" w:cs="Times New Roman"/>
                <w:color w:val="auto"/>
                <w:sz w:val="15"/>
                <w:szCs w:val="15"/>
                <w:highlight w:val="yellow"/>
              </w:rPr>
            </w:pPr>
          </w:p>
        </w:tc>
        <w:tc>
          <w:tcPr>
            <w:tcW w:w="850" w:type="dxa"/>
            <w:vAlign w:val="center"/>
          </w:tcPr>
          <w:p>
            <w:pPr>
              <w:jc w:val="center"/>
              <w:rPr>
                <w:rFonts w:hint="default" w:ascii="Times New Roman" w:hAnsi="Times New Roman" w:cs="Times New Roman"/>
                <w:color w:val="auto"/>
                <w:sz w:val="15"/>
                <w:szCs w:val="15"/>
                <w:highlight w:val="yellow"/>
              </w:rPr>
            </w:pPr>
          </w:p>
        </w:tc>
        <w:tc>
          <w:tcPr>
            <w:tcW w:w="1418" w:type="dxa"/>
            <w:vAlign w:val="center"/>
          </w:tcPr>
          <w:p>
            <w:pPr>
              <w:jc w:val="center"/>
              <w:rPr>
                <w:rFonts w:hint="default" w:ascii="Times New Roman" w:hAnsi="Times New Roman" w:cs="Times New Roman"/>
                <w:color w:val="auto"/>
                <w:sz w:val="15"/>
                <w:szCs w:val="15"/>
                <w:highlight w:val="yellow"/>
              </w:rPr>
            </w:pPr>
          </w:p>
        </w:tc>
        <w:tc>
          <w:tcPr>
            <w:tcW w:w="1127" w:type="dxa"/>
            <w:vAlign w:val="center"/>
          </w:tcPr>
          <w:p>
            <w:pPr>
              <w:jc w:val="center"/>
              <w:rPr>
                <w:rFonts w:hint="default" w:ascii="Times New Roman" w:hAnsi="Times New Roman" w:cs="Times New Roman"/>
                <w:color w:val="auto"/>
                <w:sz w:val="15"/>
                <w:szCs w:val="15"/>
                <w:highlight w:val="yellow"/>
              </w:rPr>
            </w:pPr>
          </w:p>
        </w:tc>
        <w:tc>
          <w:tcPr>
            <w:tcW w:w="1220" w:type="dxa"/>
            <w:vAlign w:val="center"/>
          </w:tcPr>
          <w:p>
            <w:pPr>
              <w:jc w:val="center"/>
              <w:rPr>
                <w:rFonts w:hint="default" w:ascii="Times New Roman" w:hAnsi="Times New Roman" w:cs="Times New Roman"/>
                <w:color w:val="FF0000"/>
                <w:sz w:val="15"/>
                <w:szCs w:val="15"/>
                <w:highlight w:val="none"/>
              </w:rPr>
            </w:pPr>
          </w:p>
        </w:tc>
        <w:tc>
          <w:tcPr>
            <w:tcW w:w="960" w:type="dxa"/>
            <w:vAlign w:val="center"/>
          </w:tcPr>
          <w:p>
            <w:pPr>
              <w:jc w:val="center"/>
              <w:rPr>
                <w:rFonts w:hint="default" w:ascii="Times New Roman" w:hAnsi="Times New Roman" w:cs="Times New Roman"/>
                <w:color w:val="FF0000"/>
                <w:sz w:val="15"/>
                <w:szCs w:val="15"/>
                <w:highlight w:val="none"/>
              </w:rPr>
            </w:pPr>
          </w:p>
        </w:tc>
        <w:tc>
          <w:tcPr>
            <w:tcW w:w="1236" w:type="dxa"/>
            <w:vAlign w:val="center"/>
          </w:tcPr>
          <w:p>
            <w:pPr>
              <w:jc w:val="center"/>
              <w:rPr>
                <w:rFonts w:hint="default" w:ascii="Times New Roman" w:hAnsi="Times New Roman" w:cs="Times New Roman"/>
                <w:color w:val="FF0000"/>
                <w:sz w:val="15"/>
                <w:szCs w:val="15"/>
                <w:highlight w:val="none"/>
              </w:rPr>
            </w:pPr>
          </w:p>
        </w:tc>
        <w:tc>
          <w:tcPr>
            <w:tcW w:w="996" w:type="dxa"/>
            <w:vAlign w:val="center"/>
          </w:tcPr>
          <w:p>
            <w:pPr>
              <w:jc w:val="center"/>
              <w:rPr>
                <w:rFonts w:hint="default" w:ascii="Times New Roman" w:hAnsi="Times New Roman" w:cs="Times New Roman"/>
                <w:color w:val="FF0000"/>
                <w:sz w:val="15"/>
                <w:szCs w:val="15"/>
                <w:highlight w:val="none"/>
              </w:rPr>
            </w:pPr>
          </w:p>
        </w:tc>
        <w:tc>
          <w:tcPr>
            <w:tcW w:w="1969" w:type="dxa"/>
            <w:vAlign w:val="center"/>
          </w:tcPr>
          <w:p>
            <w:pPr>
              <w:jc w:val="center"/>
              <w:rPr>
                <w:rFonts w:hint="default" w:ascii="Times New Roman" w:hAnsi="Times New Roman" w:cs="Times New Roman"/>
                <w:color w:val="FF0000"/>
                <w:sz w:val="15"/>
                <w:szCs w:val="15"/>
                <w:highlight w:val="none"/>
              </w:rPr>
            </w:pPr>
          </w:p>
        </w:tc>
        <w:tc>
          <w:tcPr>
            <w:tcW w:w="852" w:type="dxa"/>
            <w:vAlign w:val="center"/>
          </w:tcPr>
          <w:p>
            <w:pPr>
              <w:jc w:val="center"/>
              <w:rPr>
                <w:rFonts w:hint="default" w:ascii="Times New Roman" w:hAnsi="Times New Roman" w:cs="Times New Roman"/>
                <w:color w:val="FF0000"/>
                <w:sz w:val="15"/>
                <w:szCs w:val="15"/>
                <w:highlight w:val="none"/>
              </w:rPr>
            </w:pPr>
          </w:p>
        </w:tc>
        <w:tc>
          <w:tcPr>
            <w:tcW w:w="1468" w:type="dxa"/>
            <w:gridSpan w:val="2"/>
            <w:vAlign w:val="center"/>
          </w:tcPr>
          <w:p>
            <w:pPr>
              <w:jc w:val="center"/>
              <w:rPr>
                <w:rFonts w:hint="default" w:ascii="Times New Roman" w:hAnsi="Times New Roman" w:cs="Times New Roman"/>
                <w:color w:val="FF0000"/>
                <w:sz w:val="15"/>
                <w:szCs w:val="15"/>
                <w:highlight w:val="none"/>
              </w:rPr>
            </w:pPr>
          </w:p>
        </w:tc>
        <w:tc>
          <w:tcPr>
            <w:tcW w:w="944" w:type="dxa"/>
            <w:vAlign w:val="center"/>
          </w:tcPr>
          <w:p>
            <w:pPr>
              <w:jc w:val="center"/>
              <w:rPr>
                <w:rFonts w:hint="default" w:ascii="Times New Roman" w:hAnsi="Times New Roman" w:cs="Times New Roman"/>
                <w:color w:val="FF0000"/>
                <w:sz w:val="15"/>
                <w:szCs w:val="15"/>
                <w:highlight w:val="none"/>
              </w:rPr>
            </w:pPr>
          </w:p>
        </w:tc>
        <w:tc>
          <w:tcPr>
            <w:tcW w:w="813" w:type="dxa"/>
            <w:vAlign w:val="center"/>
          </w:tcPr>
          <w:p>
            <w:pPr>
              <w:jc w:val="center"/>
              <w:rPr>
                <w:rFonts w:hint="default" w:ascii="Times New Roman" w:hAnsi="Times New Roman" w:cs="Times New Roman"/>
                <w:color w:val="FF0000"/>
                <w:sz w:val="15"/>
                <w:szCs w:val="15"/>
                <w:highlight w:val="none"/>
              </w:rPr>
            </w:pPr>
          </w:p>
        </w:tc>
      </w:tr>
    </w:tbl>
    <w:p>
      <w:pPr>
        <w:rPr>
          <w:color w:val="auto"/>
          <w:sz w:val="13"/>
          <w:szCs w:val="13"/>
          <w:highlight w:val="none"/>
        </w:rPr>
      </w:pPr>
      <w:r>
        <w:rPr>
          <w:b/>
          <w:color w:val="auto"/>
          <w:sz w:val="13"/>
          <w:szCs w:val="13"/>
          <w:highlight w:val="none"/>
        </w:rPr>
        <w:t>注</w:t>
      </w:r>
      <w:r>
        <w:rPr>
          <w:color w:val="auto"/>
          <w:sz w:val="13"/>
          <w:szCs w:val="13"/>
          <w:highlight w:val="none"/>
        </w:rPr>
        <w:t>：1、</w:t>
      </w:r>
      <w:r>
        <w:rPr>
          <w:color w:val="auto"/>
          <w:spacing w:val="-4"/>
          <w:sz w:val="13"/>
          <w:szCs w:val="13"/>
          <w:highlight w:val="none"/>
        </w:rPr>
        <w:t>排放增减量：（+）表示增加，（-）表示减少。2、(12)=(6)-(8)-(11)，（9）= (4)-(5)-(8)- (11) +（1）。3、计量单位：废水排放量——万吨/年；废气排放量——万标立方米/年；工业固体废物排放</w:t>
      </w:r>
      <w:r>
        <w:rPr>
          <w:color w:val="auto"/>
          <w:sz w:val="13"/>
          <w:szCs w:val="13"/>
          <w:highlight w:val="none"/>
        </w:rPr>
        <w:t>量——万吨/年；水污染物排放浓度——毫克/升</w:t>
      </w:r>
    </w:p>
    <w:p>
      <w:pPr>
        <w:pStyle w:val="27"/>
        <w:rPr>
          <w:b/>
          <w:bCs/>
          <w:color w:val="FF0000"/>
          <w:sz w:val="13"/>
          <w:szCs w:val="13"/>
          <w:highlight w:val="none"/>
        </w:rPr>
      </w:pPr>
    </w:p>
    <w:p>
      <w:pPr>
        <w:pStyle w:val="27"/>
        <w:outlineLvl w:val="0"/>
        <w:rPr>
          <w:rFonts w:hint="default" w:ascii="Times New Roman" w:hAnsi="Times New Roman" w:eastAsia="宋体" w:cs="Times New Roman"/>
          <w:b/>
          <w:bCs/>
          <w:color w:val="FF0000"/>
          <w:sz w:val="24"/>
          <w:szCs w:val="24"/>
          <w:highlight w:val="none"/>
          <w:lang w:val="en-US" w:eastAsia="zh-CN"/>
        </w:rPr>
        <w:sectPr>
          <w:footerReference r:id="rId7" w:type="default"/>
          <w:pgSz w:w="16840" w:h="11907" w:orient="landscape"/>
          <w:pgMar w:top="1134" w:right="1304" w:bottom="1531" w:left="1304" w:header="567" w:footer="850" w:gutter="0"/>
          <w:pgBorders>
            <w:top w:val="none" w:sz="0" w:space="0"/>
            <w:left w:val="none" w:sz="0" w:space="0"/>
            <w:bottom w:val="none" w:sz="0" w:space="0"/>
            <w:right w:val="none" w:sz="0" w:space="0"/>
          </w:pgBorders>
          <w:pgNumType w:fmt="decimal"/>
          <w:cols w:space="0" w:num="1"/>
          <w:rtlGutter w:val="0"/>
          <w:docGrid w:linePitch="285" w:charSpace="0"/>
        </w:sectPr>
      </w:pPr>
      <w:bookmarkStart w:id="81" w:name="_Toc4747_WPSOffice_Level1"/>
      <w:bookmarkStart w:id="82" w:name="_Toc13300_WPSOffice_Level1"/>
      <w:bookmarkStart w:id="83" w:name="_Toc31732_WPSOffice_Level1"/>
      <w:bookmarkStart w:id="84" w:name="_Toc3412_WPSOffice_Level1"/>
      <w:bookmarkStart w:id="85" w:name="_Toc4305_WPSOffice_Level1"/>
    </w:p>
    <w:p>
      <w:pPr>
        <w:outlineLvl w:val="0"/>
        <w:rPr>
          <w:rFonts w:hint="default"/>
          <w:color w:val="FF0000"/>
          <w:lang w:val="en-US" w:eastAsia="zh-CN"/>
        </w:rPr>
      </w:pPr>
      <w:bookmarkStart w:id="86" w:name="_Toc23260"/>
      <w:r>
        <w:rPr>
          <w:rFonts w:hint="default" w:ascii="Times New Roman" w:hAnsi="Times New Roman" w:eastAsia="宋体" w:cs="Times New Roman"/>
          <w:b/>
          <w:bCs/>
          <w:color w:val="auto"/>
          <w:sz w:val="24"/>
          <w:szCs w:val="24"/>
          <w:highlight w:val="none"/>
          <w:lang w:val="en-US" w:eastAsia="zh-CN"/>
        </w:rPr>
        <w:t>附图</w:t>
      </w:r>
      <w:r>
        <w:rPr>
          <w:rFonts w:hint="eastAsia" w:ascii="Times New Roman" w:hAnsi="Times New Roman" w:eastAsia="宋体" w:cs="Times New Roman"/>
          <w:b/>
          <w:bCs/>
          <w:color w:val="auto"/>
          <w:sz w:val="24"/>
          <w:szCs w:val="24"/>
          <w:highlight w:val="none"/>
          <w:lang w:val="en-US" w:eastAsia="zh-CN"/>
        </w:rPr>
        <w:t xml:space="preserve"> 1 本项目地理位置图</w:t>
      </w:r>
      <w:bookmarkEnd w:id="86"/>
    </w:p>
    <w:p>
      <w:pPr>
        <w:pStyle w:val="27"/>
        <w:outlineLvl w:val="9"/>
        <w:rPr>
          <w:rFonts w:hint="default"/>
          <w:color w:val="FF0000"/>
          <w:lang w:val="en-US" w:eastAsia="zh-CN"/>
        </w:rPr>
      </w:pPr>
      <w:r>
        <w:drawing>
          <wp:inline distT="0" distB="0" distL="114300" distR="114300">
            <wp:extent cx="8201025" cy="4991100"/>
            <wp:effectExtent l="0" t="0" r="9525"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14"/>
                    <a:stretch>
                      <a:fillRect/>
                    </a:stretch>
                  </pic:blipFill>
                  <pic:spPr>
                    <a:xfrm>
                      <a:off x="0" y="0"/>
                      <a:ext cx="8201025" cy="4991100"/>
                    </a:xfrm>
                    <a:prstGeom prst="rect">
                      <a:avLst/>
                    </a:prstGeom>
                    <a:noFill/>
                    <a:ln>
                      <a:noFill/>
                    </a:ln>
                  </pic:spPr>
                </pic:pic>
              </a:graphicData>
            </a:graphic>
          </wp:inline>
        </w:drawing>
      </w:r>
    </w:p>
    <w:p>
      <w:pPr>
        <w:rPr>
          <w:rFonts w:hint="default"/>
          <w:color w:val="FF0000"/>
          <w:lang w:val="en-US" w:eastAsia="zh-CN"/>
        </w:rPr>
        <w:sectPr>
          <w:pgSz w:w="16840" w:h="11907" w:orient="landscape"/>
          <w:pgMar w:top="1134" w:right="1304" w:bottom="1531" w:left="1304" w:header="567" w:footer="850" w:gutter="0"/>
          <w:pgBorders>
            <w:top w:val="none" w:sz="0" w:space="0"/>
            <w:left w:val="none" w:sz="0" w:space="0"/>
            <w:bottom w:val="none" w:sz="0" w:space="0"/>
            <w:right w:val="none" w:sz="0" w:space="0"/>
          </w:pgBorders>
          <w:pgNumType w:fmt="decimal"/>
          <w:cols w:space="0" w:num="1"/>
          <w:rtlGutter w:val="0"/>
          <w:docGrid w:linePitch="285" w:charSpace="0"/>
        </w:sectPr>
      </w:pPr>
    </w:p>
    <w:p>
      <w:pPr>
        <w:pStyle w:val="27"/>
        <w:outlineLvl w:val="0"/>
        <w:rPr>
          <w:rFonts w:hint="default" w:ascii="Times New Roman" w:hAnsi="Times New Roman"/>
          <w:b/>
          <w:color w:val="FF0000"/>
          <w:szCs w:val="21"/>
          <w:highlight w:val="none"/>
          <w:lang w:val="en-US" w:eastAsia="zh-CN"/>
        </w:rPr>
      </w:pPr>
      <w:bookmarkStart w:id="87" w:name="_Toc10719"/>
      <w:r>
        <w:rPr>
          <w:rFonts w:hint="default" w:ascii="Times New Roman" w:hAnsi="Times New Roman" w:eastAsia="宋体" w:cs="Times New Roman"/>
          <w:b/>
          <w:bCs/>
          <w:color w:val="auto"/>
          <w:sz w:val="24"/>
          <w:szCs w:val="24"/>
          <w:highlight w:val="none"/>
          <w:lang w:val="en-US" w:eastAsia="zh-CN"/>
        </w:rPr>
        <w:t>附图</w:t>
      </w:r>
      <w:r>
        <w:rPr>
          <w:rFonts w:hint="eastAsia" w:ascii="Times New Roman" w:hAnsi="Times New Roman" w:eastAsia="宋体" w:cs="Times New Roman"/>
          <w:b/>
          <w:bCs/>
          <w:color w:val="auto"/>
          <w:sz w:val="24"/>
          <w:szCs w:val="24"/>
          <w:highlight w:val="none"/>
          <w:lang w:val="en-US" w:eastAsia="zh-CN"/>
        </w:rPr>
        <w:t xml:space="preserve"> 2 </w:t>
      </w:r>
      <w:bookmarkEnd w:id="81"/>
      <w:bookmarkEnd w:id="82"/>
      <w:bookmarkEnd w:id="83"/>
      <w:bookmarkEnd w:id="84"/>
      <w:bookmarkEnd w:id="85"/>
      <w:r>
        <w:rPr>
          <w:rFonts w:hint="eastAsia" w:ascii="Times New Roman" w:hAnsi="Times New Roman" w:eastAsia="宋体" w:cs="Times New Roman"/>
          <w:b/>
          <w:bCs/>
          <w:color w:val="auto"/>
          <w:sz w:val="24"/>
          <w:szCs w:val="24"/>
          <w:highlight w:val="none"/>
          <w:lang w:val="en-US" w:eastAsia="zh-CN"/>
        </w:rPr>
        <w:t>本项目平面布置图</w:t>
      </w:r>
      <w:bookmarkEnd w:id="87"/>
    </w:p>
    <w:p>
      <w:pPr>
        <w:bidi w:val="0"/>
        <w:jc w:val="center"/>
        <w:rPr>
          <w:rFonts w:hint="eastAsia"/>
          <w:color w:val="FF0000"/>
          <w:lang w:val="en-US" w:eastAsia="zh-CN"/>
        </w:rPr>
      </w:pPr>
      <w:r>
        <w:drawing>
          <wp:inline distT="0" distB="0" distL="114300" distR="114300">
            <wp:extent cx="6162675" cy="4943475"/>
            <wp:effectExtent l="0" t="0" r="9525" b="952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5"/>
                    <a:stretch>
                      <a:fillRect/>
                    </a:stretch>
                  </pic:blipFill>
                  <pic:spPr>
                    <a:xfrm>
                      <a:off x="0" y="0"/>
                      <a:ext cx="6162675" cy="4943475"/>
                    </a:xfrm>
                    <a:prstGeom prst="rect">
                      <a:avLst/>
                    </a:prstGeom>
                    <a:noFill/>
                    <a:ln>
                      <a:noFill/>
                    </a:ln>
                  </pic:spPr>
                </pic:pic>
              </a:graphicData>
            </a:graphic>
          </wp:inline>
        </w:drawing>
      </w:r>
    </w:p>
    <w:p>
      <w:pPr>
        <w:pStyle w:val="27"/>
        <w:jc w:val="center"/>
        <w:rPr>
          <w:rFonts w:hint="eastAsia" w:ascii="Times New Roman" w:hAnsi="Times New Roman" w:eastAsia="宋体" w:cs="Times New Roman"/>
          <w:b/>
          <w:bCs/>
          <w:color w:val="FF0000"/>
          <w:sz w:val="24"/>
          <w:szCs w:val="24"/>
          <w:highlight w:val="none"/>
          <w:lang w:val="en-US" w:eastAsia="zh-CN"/>
        </w:rPr>
        <w:sectPr>
          <w:pgSz w:w="16840" w:h="11907" w:orient="landscape"/>
          <w:pgMar w:top="1134" w:right="1304" w:bottom="1531" w:left="1304" w:header="567" w:footer="850" w:gutter="0"/>
          <w:pgBorders>
            <w:top w:val="none" w:sz="0" w:space="0"/>
            <w:left w:val="none" w:sz="0" w:space="0"/>
            <w:bottom w:val="none" w:sz="0" w:space="0"/>
            <w:right w:val="none" w:sz="0" w:space="0"/>
          </w:pgBorders>
          <w:pgNumType w:fmt="decimal"/>
          <w:cols w:space="0" w:num="1"/>
          <w:rtlGutter w:val="0"/>
          <w:docGrid w:linePitch="285" w:charSpace="0"/>
        </w:sectPr>
      </w:pPr>
      <w:r>
        <w:rPr>
          <w:color w:val="FF0000"/>
          <w:sz w:val="24"/>
          <w:highlight w:val="none"/>
        </w:rPr>
        <mc:AlternateContent>
          <mc:Choice Requires="wps">
            <w:drawing>
              <wp:anchor distT="0" distB="0" distL="114300" distR="114300" simplePos="0" relativeHeight="251659264" behindDoc="0" locked="0" layoutInCell="1" allowOverlap="1">
                <wp:simplePos x="0" y="0"/>
                <wp:positionH relativeFrom="column">
                  <wp:posOffset>7152640</wp:posOffset>
                </wp:positionH>
                <wp:positionV relativeFrom="paragraph">
                  <wp:posOffset>1518920</wp:posOffset>
                </wp:positionV>
                <wp:extent cx="438150" cy="209550"/>
                <wp:effectExtent l="0" t="0" r="0" b="0"/>
                <wp:wrapNone/>
                <wp:docPr id="21" name="文本框 21"/>
                <wp:cNvGraphicFramePr/>
                <a:graphic xmlns:a="http://schemas.openxmlformats.org/drawingml/2006/main">
                  <a:graphicData uri="http://schemas.microsoft.com/office/word/2010/wordprocessingShape">
                    <wps:wsp>
                      <wps:cNvSpPr txBox="1"/>
                      <wps:spPr>
                        <a:xfrm>
                          <a:off x="7980680" y="2436495"/>
                          <a:ext cx="43815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3.2pt;margin-top:119.6pt;height:16.5pt;width:34.5pt;z-index:251659264;mso-width-relative:page;mso-height-relative:page;" filled="f" stroked="f" coordsize="21600,21600" o:gfxdata="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q2aUdwAAAANAQAADwAAAAAAAAAB&#10;ACAAAAAiAAAAZHJzL2Rvd25yZXYueG1sUEsBAhQAFAAAAAgAh07iQJ05uxtFAgAAcwQAAA4AAAAA&#10;AAAAAQAgAAAAKwEAAGRycy9lMm9Eb2MueG1sUEsFBgAAAAAGAAYAWQEAAOIFAAAAAA==&#10;">
                <v:fill on="f" focussize="0,0"/>
                <v:stroke on="f" weight="0.5pt"/>
                <v:imagedata o:title=""/>
                <o:lock v:ext="edit" aspectratio="f"/>
                <v:textbox>
                  <w:txbxContent>
                    <w:p/>
                  </w:txbxContent>
                </v:textbox>
              </v:shape>
            </w:pict>
          </mc:Fallback>
        </mc:AlternateContent>
      </w:r>
    </w:p>
    <w:bookmarkEnd w:id="63"/>
    <w:bookmarkEnd w:id="64"/>
    <w:bookmarkEnd w:id="65"/>
    <w:bookmarkEnd w:id="66"/>
    <w:bookmarkEnd w:id="67"/>
    <w:bookmarkEnd w:id="68"/>
    <w:p>
      <w:pPr>
        <w:pStyle w:val="27"/>
        <w:outlineLvl w:val="0"/>
        <w:rPr>
          <w:rFonts w:hint="default" w:ascii="Times New Roman" w:hAnsi="Times New Roman" w:eastAsia="宋体" w:cs="Times New Roman"/>
          <w:b/>
          <w:bCs/>
          <w:color w:val="auto"/>
          <w:sz w:val="24"/>
          <w:szCs w:val="24"/>
          <w:highlight w:val="none"/>
          <w:lang w:val="en-US" w:eastAsia="zh-CN"/>
        </w:rPr>
      </w:pPr>
      <w:bookmarkStart w:id="88" w:name="_Toc20145"/>
      <w:r>
        <w:rPr>
          <w:rFonts w:hint="default" w:ascii="Times New Roman" w:hAnsi="Times New Roman" w:eastAsia="宋体" w:cs="Times New Roman"/>
          <w:b/>
          <w:bCs/>
          <w:color w:val="auto"/>
          <w:sz w:val="24"/>
          <w:szCs w:val="24"/>
          <w:highlight w:val="none"/>
          <w:lang w:val="en-US" w:eastAsia="zh-CN"/>
        </w:rPr>
        <w:t>附图</w:t>
      </w:r>
      <w:r>
        <w:rPr>
          <w:rFonts w:hint="eastAsia" w:ascii="Times New Roman" w:hAnsi="Times New Roman" w:eastAsia="宋体" w:cs="Times New Roman"/>
          <w:b/>
          <w:bCs/>
          <w:color w:val="auto"/>
          <w:sz w:val="24"/>
          <w:szCs w:val="24"/>
          <w:highlight w:val="none"/>
          <w:lang w:val="en-US" w:eastAsia="zh-CN"/>
        </w:rPr>
        <w:t xml:space="preserve"> 3 本项目现场图片</w:t>
      </w:r>
      <w:bookmarkEnd w:id="88"/>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1"/>
        <w:gridCol w:w="4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9" w:hRule="atLeast"/>
        </w:trPr>
        <w:tc>
          <w:tcPr>
            <w:tcW w:w="4281" w:type="dxa"/>
            <w:tcBorders>
              <w:tl2br w:val="nil"/>
              <w:tr2bl w:val="nil"/>
            </w:tcBorders>
            <w:vAlign w:val="top"/>
          </w:tcPr>
          <w:p>
            <w:pPr>
              <w:pStyle w:val="27"/>
              <w:jc w:val="both"/>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drawing>
                <wp:inline distT="0" distB="0" distL="114300" distR="114300">
                  <wp:extent cx="3512820" cy="2634615"/>
                  <wp:effectExtent l="0" t="0" r="13335" b="11430"/>
                  <wp:docPr id="41" name="图片 41" descr="422aa9104734a97b03b4cb8ef31a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422aa9104734a97b03b4cb8ef31ac62"/>
                          <pic:cNvPicPr>
                            <a:picLocks noChangeAspect="1"/>
                          </pic:cNvPicPr>
                        </pic:nvPicPr>
                        <pic:blipFill>
                          <a:blip r:embed="rId16"/>
                          <a:stretch>
                            <a:fillRect/>
                          </a:stretch>
                        </pic:blipFill>
                        <pic:spPr>
                          <a:xfrm rot="5400000">
                            <a:off x="0" y="0"/>
                            <a:ext cx="3512820" cy="2634615"/>
                          </a:xfrm>
                          <a:prstGeom prst="rect">
                            <a:avLst/>
                          </a:prstGeom>
                        </pic:spPr>
                      </pic:pic>
                    </a:graphicData>
                  </a:graphic>
                </wp:inline>
              </w:drawing>
            </w:r>
          </w:p>
        </w:tc>
        <w:tc>
          <w:tcPr>
            <w:tcW w:w="4241" w:type="dxa"/>
            <w:tcBorders>
              <w:tl2br w:val="nil"/>
              <w:tr2bl w:val="nil"/>
            </w:tcBorders>
          </w:tcPr>
          <w:p>
            <w:pPr>
              <w:pStyle w:val="27"/>
              <w:jc w:val="both"/>
              <w:rPr>
                <w:rFonts w:hint="eastAsia"/>
                <w:color w:val="auto"/>
                <w:sz w:val="24"/>
                <w:szCs w:val="24"/>
                <w:highlight w:val="none"/>
                <w:vertAlign w:val="baseline"/>
                <w:lang w:val="en-US" w:eastAsia="zh-CN"/>
              </w:rPr>
            </w:pPr>
            <w:r>
              <w:rPr>
                <w:rFonts w:hint="eastAsia"/>
                <w:color w:val="auto"/>
                <w:sz w:val="24"/>
                <w:szCs w:val="24"/>
                <w:highlight w:val="none"/>
                <w:vertAlign w:val="baseline"/>
                <w:lang w:val="en-US" w:eastAsia="zh-CN"/>
              </w:rPr>
              <w:drawing>
                <wp:inline distT="0" distB="0" distL="114300" distR="114300">
                  <wp:extent cx="3491865" cy="2618740"/>
                  <wp:effectExtent l="0" t="0" r="10160" b="13335"/>
                  <wp:docPr id="40" name="图片 40" descr="871d1bc6207b7e37406974f24cf4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71d1bc6207b7e37406974f24cf4ea0"/>
                          <pic:cNvPicPr>
                            <a:picLocks noChangeAspect="1"/>
                          </pic:cNvPicPr>
                        </pic:nvPicPr>
                        <pic:blipFill>
                          <a:blip r:embed="rId17"/>
                          <a:stretch>
                            <a:fillRect/>
                          </a:stretch>
                        </pic:blipFill>
                        <pic:spPr>
                          <a:xfrm rot="5400000">
                            <a:off x="0" y="0"/>
                            <a:ext cx="3491865" cy="26187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default"/>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锅炉</w:t>
            </w:r>
          </w:p>
        </w:tc>
        <w:tc>
          <w:tcPr>
            <w:tcW w:w="4241" w:type="dxa"/>
            <w:tcBorders>
              <w:tl2br w:val="nil"/>
              <w:tr2bl w:val="nil"/>
            </w:tcBorders>
          </w:tcPr>
          <w:p>
            <w:pPr>
              <w:pStyle w:val="27"/>
              <w:jc w:val="center"/>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锅炉烟囱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bookmarkStart w:id="89" w:name="_Toc20400_WPSOffice_Level1"/>
            <w:bookmarkStart w:id="90" w:name="_Toc30835_WPSOffice_Level1"/>
            <w:bookmarkStart w:id="91" w:name="_Toc13442_WPSOffice_Level1"/>
            <w:bookmarkStart w:id="92" w:name="_Toc30155_WPSOffice_Level1"/>
            <w:bookmarkStart w:id="93" w:name="_Toc27981_WPSOffice_Level1"/>
            <w:bookmarkStart w:id="94" w:name="_Toc16669_WPSOffice_Level1"/>
            <w:bookmarkStart w:id="95" w:name="_Toc15681_WPSOffice_Level1"/>
            <w:bookmarkStart w:id="96" w:name="_Toc29036_WPSOffice_Level1"/>
            <w:bookmarkStart w:id="97" w:name="_Toc4322_WPSOffice_Level1"/>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3481705" cy="2612390"/>
                  <wp:effectExtent l="0" t="0" r="16510" b="4445"/>
                  <wp:docPr id="42" name="图片 42" descr="26314885eb5df2b3b082e44b6ad6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6314885eb5df2b3b082e44b6ad6bea"/>
                          <pic:cNvPicPr>
                            <a:picLocks noChangeAspect="1"/>
                          </pic:cNvPicPr>
                        </pic:nvPicPr>
                        <pic:blipFill>
                          <a:blip r:embed="rId18"/>
                          <a:stretch>
                            <a:fillRect/>
                          </a:stretch>
                        </pic:blipFill>
                        <pic:spPr>
                          <a:xfrm rot="5400000">
                            <a:off x="0" y="0"/>
                            <a:ext cx="3481705" cy="2612390"/>
                          </a:xfrm>
                          <a:prstGeom prst="rect">
                            <a:avLst/>
                          </a:prstGeom>
                        </pic:spPr>
                      </pic:pic>
                    </a:graphicData>
                  </a:graphic>
                </wp:inline>
              </w:drawing>
            </w:r>
          </w:p>
        </w:tc>
        <w:tc>
          <w:tcPr>
            <w:tcW w:w="424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3459480" cy="2594610"/>
                  <wp:effectExtent l="0" t="0" r="15240" b="7620"/>
                  <wp:docPr id="46" name="图片 46" descr="639e3fa69087e775291c85998ccc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39e3fa69087e775291c85998ccc769"/>
                          <pic:cNvPicPr>
                            <a:picLocks noChangeAspect="1"/>
                          </pic:cNvPicPr>
                        </pic:nvPicPr>
                        <pic:blipFill>
                          <a:blip r:embed="rId19"/>
                          <a:stretch>
                            <a:fillRect/>
                          </a:stretch>
                        </pic:blipFill>
                        <pic:spPr>
                          <a:xfrm rot="5400000">
                            <a:off x="0" y="0"/>
                            <a:ext cx="3459480" cy="2594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锅炉</w:t>
            </w:r>
          </w:p>
        </w:tc>
        <w:tc>
          <w:tcPr>
            <w:tcW w:w="424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渣场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2560320" cy="1920240"/>
                  <wp:effectExtent l="0" t="0" r="11430" b="3810"/>
                  <wp:docPr id="44" name="图片 44" descr="14aaae9b79c48caf4735e0fd1341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4aaae9b79c48caf4735e0fd13411e0"/>
                          <pic:cNvPicPr>
                            <a:picLocks noChangeAspect="1"/>
                          </pic:cNvPicPr>
                        </pic:nvPicPr>
                        <pic:blipFill>
                          <a:blip r:embed="rId20"/>
                          <a:stretch>
                            <a:fillRect/>
                          </a:stretch>
                        </pic:blipFill>
                        <pic:spPr>
                          <a:xfrm>
                            <a:off x="0" y="0"/>
                            <a:ext cx="2560320" cy="1920240"/>
                          </a:xfrm>
                          <a:prstGeom prst="rect">
                            <a:avLst/>
                          </a:prstGeom>
                        </pic:spPr>
                      </pic:pic>
                    </a:graphicData>
                  </a:graphic>
                </wp:inline>
              </w:drawing>
            </w:r>
          </w:p>
        </w:tc>
        <w:tc>
          <w:tcPr>
            <w:tcW w:w="424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2560320" cy="1920240"/>
                  <wp:effectExtent l="0" t="0" r="11430" b="3810"/>
                  <wp:docPr id="45" name="图片 45" descr="737ab348c2b13a618b42aa81547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37ab348c2b13a618b42aa81547e092"/>
                          <pic:cNvPicPr>
                            <a:picLocks noChangeAspect="1"/>
                          </pic:cNvPicPr>
                        </pic:nvPicPr>
                        <pic:blipFill>
                          <a:blip r:embed="rId21"/>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28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低氮燃烧</w:t>
            </w:r>
          </w:p>
        </w:tc>
        <w:tc>
          <w:tcPr>
            <w:tcW w:w="424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3121025" cy="2340610"/>
                  <wp:effectExtent l="0" t="0" r="2540" b="3175"/>
                  <wp:docPr id="50" name="图片 50" descr="017539eafdab162fb0a0a724f88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017539eafdab162fb0a0a724f882335"/>
                          <pic:cNvPicPr>
                            <a:picLocks noChangeAspect="1"/>
                          </pic:cNvPicPr>
                        </pic:nvPicPr>
                        <pic:blipFill>
                          <a:blip r:embed="rId22"/>
                          <a:stretch>
                            <a:fillRect/>
                          </a:stretch>
                        </pic:blipFill>
                        <pic:spPr>
                          <a:xfrm rot="5400000">
                            <a:off x="0" y="0"/>
                            <a:ext cx="3121025" cy="2340610"/>
                          </a:xfrm>
                          <a:prstGeom prst="rect">
                            <a:avLst/>
                          </a:prstGeom>
                        </pic:spPr>
                      </pic:pic>
                    </a:graphicData>
                  </a:graphic>
                </wp:inline>
              </w:drawing>
            </w:r>
          </w:p>
        </w:tc>
        <w:tc>
          <w:tcPr>
            <w:tcW w:w="424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default" w:ascii="Times New Roman" w:hAnsi="Times New Roman" w:cs="Times New Roman"/>
                <w:b/>
                <w:bCs/>
                <w:color w:val="auto"/>
                <w:sz w:val="24"/>
                <w:szCs w:val="24"/>
                <w:highlight w:val="none"/>
                <w:vertAlign w:val="baseline"/>
                <w:lang w:val="en-US" w:eastAsia="zh-CN"/>
              </w:rPr>
              <w:drawing>
                <wp:inline distT="0" distB="0" distL="114300" distR="114300">
                  <wp:extent cx="3081020" cy="2312035"/>
                  <wp:effectExtent l="0" t="0" r="12065" b="5080"/>
                  <wp:docPr id="48" name="图片 48" descr="f93cffca5802babf1cd9e2b985ba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f93cffca5802babf1cd9e2b985bac1a"/>
                          <pic:cNvPicPr>
                            <a:picLocks noChangeAspect="1"/>
                          </pic:cNvPicPr>
                        </pic:nvPicPr>
                        <pic:blipFill>
                          <a:blip r:embed="rId23"/>
                          <a:stretch>
                            <a:fillRect/>
                          </a:stretch>
                        </pic:blipFill>
                        <pic:spPr>
                          <a:xfrm rot="5400000">
                            <a:off x="0" y="0"/>
                            <a:ext cx="3081020" cy="23120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脱硫塔</w:t>
            </w:r>
          </w:p>
        </w:tc>
        <w:tc>
          <w:tcPr>
            <w:tcW w:w="424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防风抑尘网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2560320" cy="1920240"/>
                  <wp:effectExtent l="0" t="0" r="11430" b="3810"/>
                  <wp:docPr id="4" name="图片 4" descr="0d5149d8bcb3a9c1fd9d87bc5aca0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5149d8bcb3a9c1fd9d87bc5aca0f7"/>
                          <pic:cNvPicPr>
                            <a:picLocks noChangeAspect="1"/>
                          </pic:cNvPicPr>
                        </pic:nvPicPr>
                        <pic:blipFill>
                          <a:blip r:embed="rId24"/>
                          <a:stretch>
                            <a:fillRect/>
                          </a:stretch>
                        </pic:blipFill>
                        <pic:spPr>
                          <a:xfrm>
                            <a:off x="0" y="0"/>
                            <a:ext cx="2560320" cy="1920240"/>
                          </a:xfrm>
                          <a:prstGeom prst="rect">
                            <a:avLst/>
                          </a:prstGeom>
                        </pic:spPr>
                      </pic:pic>
                    </a:graphicData>
                  </a:graphic>
                </wp:inline>
              </w:drawing>
            </w:r>
          </w:p>
        </w:tc>
        <w:tc>
          <w:tcPr>
            <w:tcW w:w="424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drawing>
                <wp:inline distT="0" distB="0" distL="114300" distR="114300">
                  <wp:extent cx="2075180" cy="2807970"/>
                  <wp:effectExtent l="0" t="0" r="1270" b="11430"/>
                  <wp:docPr id="7" name="图片 7" descr="a96148256cc00fd5b55ae856bf1d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6148256cc00fd5b55ae856bf1d961"/>
                          <pic:cNvPicPr>
                            <a:picLocks noChangeAspect="1"/>
                          </pic:cNvPicPr>
                        </pic:nvPicPr>
                        <pic:blipFill>
                          <a:blip r:embed="rId25"/>
                          <a:srcRect t="2690" r="4086"/>
                          <a:stretch>
                            <a:fillRect/>
                          </a:stretch>
                        </pic:blipFill>
                        <pic:spPr>
                          <a:xfrm>
                            <a:off x="0" y="0"/>
                            <a:ext cx="2075180" cy="28079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1" w:type="dxa"/>
            <w:tcBorders>
              <w:tl2br w:val="nil"/>
              <w:tr2bl w:val="nil"/>
            </w:tcBorders>
          </w:tcPr>
          <w:p>
            <w:pPr>
              <w:pStyle w:val="27"/>
              <w:jc w:val="center"/>
              <w:rPr>
                <w:rFonts w:hint="eastAsia"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防风抑尘网</w:t>
            </w:r>
          </w:p>
        </w:tc>
        <w:tc>
          <w:tcPr>
            <w:tcW w:w="4241" w:type="dxa"/>
            <w:tcBorders>
              <w:tl2br w:val="nil"/>
              <w:tr2bl w:val="nil"/>
            </w:tcBorders>
          </w:tcPr>
          <w:p>
            <w:pPr>
              <w:pStyle w:val="27"/>
              <w:jc w:val="center"/>
              <w:rPr>
                <w:rFonts w:hint="default" w:ascii="Times New Roman" w:hAnsi="Times New Roman" w:cs="Times New Roman"/>
                <w:b/>
                <w:bCs/>
                <w:color w:val="auto"/>
                <w:sz w:val="24"/>
                <w:szCs w:val="24"/>
                <w:highlight w:val="none"/>
                <w:vertAlign w:val="baseline"/>
                <w:lang w:val="en-US" w:eastAsia="zh-CN"/>
              </w:rPr>
            </w:pPr>
            <w:r>
              <w:rPr>
                <w:rFonts w:hint="eastAsia" w:ascii="Times New Roman" w:hAnsi="Times New Roman" w:cs="Times New Roman"/>
                <w:b/>
                <w:bCs/>
                <w:color w:val="auto"/>
                <w:sz w:val="24"/>
                <w:szCs w:val="24"/>
                <w:highlight w:val="none"/>
                <w:vertAlign w:val="baseline"/>
                <w:lang w:val="en-US" w:eastAsia="zh-CN"/>
              </w:rPr>
              <w:t>苫布苫盖</w:t>
            </w:r>
          </w:p>
        </w:tc>
      </w:tr>
    </w:tbl>
    <w:p>
      <w:pPr>
        <w:pStyle w:val="27"/>
        <w:outlineLvl w:val="9"/>
        <w:rPr>
          <w:rFonts w:hint="eastAsia" w:ascii="Times New Roman" w:hAnsi="Times New Roman" w:eastAsia="宋体" w:cs="Times New Roman"/>
          <w:b/>
          <w:bCs/>
          <w:color w:val="FF0000"/>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outlineLvl w:val="0"/>
        <w:rPr>
          <w:rFonts w:hint="default"/>
          <w:b/>
          <w:bCs/>
          <w:color w:val="FF0000"/>
          <w:highlight w:val="none"/>
          <w:lang w:val="en-US" w:eastAsia="zh-CN"/>
        </w:rPr>
      </w:pPr>
      <w:bookmarkStart w:id="98" w:name="_Toc8795"/>
      <w:r>
        <w:rPr>
          <w:rFonts w:hint="eastAsia" w:ascii="Times New Roman" w:hAnsi="Times New Roman" w:eastAsia="宋体" w:cs="Times New Roman"/>
          <w:b/>
          <w:bCs/>
          <w:color w:val="auto"/>
          <w:sz w:val="24"/>
          <w:szCs w:val="24"/>
          <w:highlight w:val="none"/>
          <w:lang w:val="en-US" w:eastAsia="zh-CN"/>
        </w:rPr>
        <w:t>附件 1 环境影响评价批复</w:t>
      </w:r>
      <w:bookmarkEnd w:id="89"/>
      <w:bookmarkEnd w:id="90"/>
      <w:bookmarkEnd w:id="91"/>
      <w:bookmarkEnd w:id="92"/>
      <w:bookmarkEnd w:id="93"/>
      <w:bookmarkEnd w:id="94"/>
      <w:bookmarkEnd w:id="95"/>
      <w:bookmarkEnd w:id="96"/>
      <w:bookmarkEnd w:id="97"/>
      <w:bookmarkEnd w:id="98"/>
    </w:p>
    <w:p>
      <w:pPr>
        <w:rPr>
          <w:rFonts w:hint="default"/>
          <w:color w:val="FF0000"/>
          <w:highlight w:val="none"/>
          <w:lang w:val="en-US" w:eastAsia="zh-CN"/>
        </w:rPr>
      </w:pPr>
      <w:r>
        <w:rPr>
          <w:rFonts w:hint="default"/>
          <w:color w:val="FF0000"/>
          <w:highlight w:val="none"/>
          <w:lang w:val="en-US" w:eastAsia="zh-CN"/>
        </w:rPr>
        <w:drawing>
          <wp:inline distT="0" distB="0" distL="114300" distR="114300">
            <wp:extent cx="5270500" cy="7604125"/>
            <wp:effectExtent l="0" t="0" r="6350" b="15875"/>
            <wp:docPr id="51" name="图片 51" descr="8d7116698c4e4b478e53eae1004e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d7116698c4e4b478e53eae1004e3a0"/>
                    <pic:cNvPicPr>
                      <a:picLocks noChangeAspect="1"/>
                    </pic:cNvPicPr>
                  </pic:nvPicPr>
                  <pic:blipFill>
                    <a:blip r:embed="rId26"/>
                    <a:stretch>
                      <a:fillRect/>
                    </a:stretch>
                  </pic:blipFill>
                  <pic:spPr>
                    <a:xfrm>
                      <a:off x="0" y="0"/>
                      <a:ext cx="5270500" cy="7604125"/>
                    </a:xfrm>
                    <a:prstGeom prst="rect">
                      <a:avLst/>
                    </a:prstGeom>
                  </pic:spPr>
                </pic:pic>
              </a:graphicData>
            </a:graphic>
          </wp:inline>
        </w:drawing>
      </w:r>
    </w:p>
    <w:p>
      <w:pPr>
        <w:pStyle w:val="27"/>
        <w:rPr>
          <w:rFonts w:hint="default"/>
          <w:color w:val="FF0000"/>
          <w:highlight w:val="none"/>
          <w:lang w:val="en-US" w:eastAsia="zh-CN"/>
        </w:rPr>
      </w:pPr>
      <w:r>
        <w:rPr>
          <w:rFonts w:hint="default"/>
          <w:color w:val="FF0000"/>
          <w:highlight w:val="none"/>
          <w:lang w:val="en-US" w:eastAsia="zh-CN"/>
        </w:rPr>
        <w:drawing>
          <wp:inline distT="0" distB="0" distL="114300" distR="114300">
            <wp:extent cx="5257800" cy="7729855"/>
            <wp:effectExtent l="0" t="0" r="0" b="4445"/>
            <wp:docPr id="52" name="图片 52" descr="e1491f3700e44b5f481e3d0cac86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1491f3700e44b5f481e3d0cac86e4d"/>
                    <pic:cNvPicPr>
                      <a:picLocks noChangeAspect="1"/>
                    </pic:cNvPicPr>
                  </pic:nvPicPr>
                  <pic:blipFill>
                    <a:blip r:embed="rId27"/>
                    <a:stretch>
                      <a:fillRect/>
                    </a:stretch>
                  </pic:blipFill>
                  <pic:spPr>
                    <a:xfrm>
                      <a:off x="0" y="0"/>
                      <a:ext cx="5257800" cy="7729855"/>
                    </a:xfrm>
                    <a:prstGeom prst="rect">
                      <a:avLst/>
                    </a:prstGeom>
                  </pic:spPr>
                </pic:pic>
              </a:graphicData>
            </a:graphic>
          </wp:inline>
        </w:drawing>
      </w:r>
    </w:p>
    <w:p>
      <w:pPr>
        <w:rPr>
          <w:rFonts w:hint="default"/>
          <w:color w:val="FF0000"/>
          <w:highlight w:val="none"/>
          <w:lang w:val="en-US" w:eastAsia="zh-CN"/>
        </w:rPr>
      </w:pPr>
      <w:r>
        <w:rPr>
          <w:rFonts w:hint="default"/>
          <w:color w:val="FF0000"/>
          <w:highlight w:val="none"/>
          <w:lang w:val="en-US" w:eastAsia="zh-CN"/>
        </w:rPr>
        <w:drawing>
          <wp:inline distT="0" distB="0" distL="114300" distR="114300">
            <wp:extent cx="5273040" cy="7915275"/>
            <wp:effectExtent l="0" t="0" r="3810" b="9525"/>
            <wp:docPr id="53" name="图片 53" descr="d172dd6129cd1dca85e7d09fa8334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172dd6129cd1dca85e7d09fa83343e"/>
                    <pic:cNvPicPr>
                      <a:picLocks noChangeAspect="1"/>
                    </pic:cNvPicPr>
                  </pic:nvPicPr>
                  <pic:blipFill>
                    <a:blip r:embed="rId28"/>
                    <a:stretch>
                      <a:fillRect/>
                    </a:stretch>
                  </pic:blipFill>
                  <pic:spPr>
                    <a:xfrm>
                      <a:off x="0" y="0"/>
                      <a:ext cx="5273040" cy="7915275"/>
                    </a:xfrm>
                    <a:prstGeom prst="rect">
                      <a:avLst/>
                    </a:prstGeom>
                  </pic:spPr>
                </pic:pic>
              </a:graphicData>
            </a:graphic>
          </wp:inline>
        </w:drawing>
      </w:r>
    </w:p>
    <w:p>
      <w:pPr>
        <w:rPr>
          <w:rFonts w:hint="default"/>
          <w:color w:val="FF0000"/>
          <w:highlight w:val="none"/>
          <w:lang w:val="en-US" w:eastAsia="zh-CN"/>
        </w:rPr>
      </w:pPr>
      <w:r>
        <w:rPr>
          <w:rFonts w:hint="default"/>
          <w:color w:val="FF0000"/>
          <w:highlight w:val="none"/>
          <w:lang w:val="en-US" w:eastAsia="zh-CN"/>
        </w:rPr>
        <w:drawing>
          <wp:inline distT="0" distB="0" distL="114300" distR="114300">
            <wp:extent cx="5262880" cy="7924800"/>
            <wp:effectExtent l="0" t="0" r="13970" b="0"/>
            <wp:docPr id="54" name="图片 54" descr="6fa90a430eb3fb918d0305655e95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6fa90a430eb3fb918d0305655e95a31"/>
                    <pic:cNvPicPr>
                      <a:picLocks noChangeAspect="1"/>
                    </pic:cNvPicPr>
                  </pic:nvPicPr>
                  <pic:blipFill>
                    <a:blip r:embed="rId29"/>
                    <a:stretch>
                      <a:fillRect/>
                    </a:stretch>
                  </pic:blipFill>
                  <pic:spPr>
                    <a:xfrm>
                      <a:off x="0" y="0"/>
                      <a:ext cx="5262880" cy="7924800"/>
                    </a:xfrm>
                    <a:prstGeom prst="rect">
                      <a:avLst/>
                    </a:prstGeom>
                  </pic:spPr>
                </pic:pic>
              </a:graphicData>
            </a:graphic>
          </wp:inline>
        </w:drawing>
      </w:r>
    </w:p>
    <w:p>
      <w:pPr>
        <w:pStyle w:val="27"/>
        <w:rPr>
          <w:rFonts w:hint="default"/>
          <w:color w:val="FF000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outlineLvl w:val="0"/>
        <w:rPr>
          <w:rFonts w:hint="eastAsia"/>
          <w:color w:val="FF0000"/>
          <w:lang w:val="en-US" w:eastAsia="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99" w:name="_Toc14827"/>
      <w:r>
        <w:rPr>
          <w:rFonts w:hint="eastAsia" w:ascii="Times New Roman" w:hAnsi="Times New Roman" w:eastAsia="宋体" w:cs="Times New Roman"/>
          <w:b/>
          <w:bCs/>
          <w:color w:val="auto"/>
          <w:highlight w:val="none"/>
          <w:lang w:val="en-US" w:eastAsia="zh-CN"/>
        </w:rPr>
        <w:t>附件 2 应急预案备案表</w:t>
      </w:r>
      <w:bookmarkEnd w:id="99"/>
      <w:r>
        <w:rPr>
          <w:rFonts w:hint="eastAsia"/>
          <w:color w:val="FF0000"/>
          <w:lang w:val="en-US" w:eastAsia="zh-CN"/>
        </w:rPr>
        <w:drawing>
          <wp:inline distT="0" distB="0" distL="114300" distR="114300">
            <wp:extent cx="5521325" cy="8395970"/>
            <wp:effectExtent l="0" t="0" r="3175" b="5080"/>
            <wp:docPr id="1" name="图片 1" descr="5df185be69eb2681cc8970b36127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df185be69eb2681cc8970b361273e8"/>
                    <pic:cNvPicPr>
                      <a:picLocks noChangeAspect="1"/>
                    </pic:cNvPicPr>
                  </pic:nvPicPr>
                  <pic:blipFill>
                    <a:blip r:embed="rId30"/>
                    <a:srcRect t="6026" b="8437"/>
                    <a:stretch>
                      <a:fillRect/>
                    </a:stretch>
                  </pic:blipFill>
                  <pic:spPr>
                    <a:xfrm>
                      <a:off x="0" y="0"/>
                      <a:ext cx="5521325" cy="8395970"/>
                    </a:xfrm>
                    <a:prstGeom prst="rect">
                      <a:avLst/>
                    </a:prstGeom>
                  </pic:spPr>
                </pic:pic>
              </a:graphicData>
            </a:graphic>
          </wp:inline>
        </w:drawing>
      </w:r>
    </w:p>
    <w:p>
      <w:pPr>
        <w:pStyle w:val="27"/>
        <w:outlineLvl w:val="0"/>
        <w:rPr>
          <w:rFonts w:hint="eastAsia" w:ascii="Times New Roman" w:hAnsi="Times New Roman" w:eastAsia="宋体" w:cs="Times New Roman"/>
          <w:b/>
          <w:bCs/>
          <w:color w:val="FF0000"/>
          <w:highlight w:val="none"/>
          <w:lang w:val="en-US" w:eastAsia="zh-CN"/>
        </w:rPr>
      </w:pPr>
      <w:bookmarkStart w:id="100" w:name="_Toc28872"/>
      <w:r>
        <w:rPr>
          <w:rFonts w:hint="default" w:ascii="Times New Roman" w:hAnsi="Times New Roman" w:eastAsia="宋体" w:cs="Times New Roman"/>
          <w:b/>
          <w:bCs/>
          <w:color w:val="auto"/>
          <w:highlight w:val="none"/>
          <w:lang w:val="en-US" w:eastAsia="zh-CN"/>
        </w:rPr>
        <w:t>附件 3</w:t>
      </w:r>
      <w:r>
        <w:rPr>
          <w:rFonts w:hint="eastAsia" w:ascii="Times New Roman" w:hAnsi="Times New Roman" w:eastAsia="宋体" w:cs="Times New Roman"/>
          <w:b/>
          <w:bCs/>
          <w:color w:val="auto"/>
          <w:highlight w:val="none"/>
          <w:lang w:val="en-US" w:eastAsia="zh-CN"/>
        </w:rPr>
        <w:t xml:space="preserve"> 排污许可证</w:t>
      </w:r>
      <w:bookmarkEnd w:id="100"/>
    </w:p>
    <w:p>
      <w:pPr>
        <w:pStyle w:val="27"/>
        <w:jc w:val="center"/>
        <w:rPr>
          <w:rFonts w:hint="eastAsia"/>
          <w:color w:val="FF0000"/>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color w:val="FF0000"/>
          <w:lang w:val="en-US" w:eastAsia="zh-CN"/>
        </w:rPr>
        <w:drawing>
          <wp:inline distT="0" distB="0" distL="114300" distR="114300">
            <wp:extent cx="8589645" cy="4975225"/>
            <wp:effectExtent l="0" t="0" r="1905" b="15875"/>
            <wp:docPr id="3" name="图片 3" descr="01687f0e8a514193c360d85006a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1687f0e8a514193c360d85006a3277"/>
                    <pic:cNvPicPr>
                      <a:picLocks noChangeAspect="1"/>
                    </pic:cNvPicPr>
                  </pic:nvPicPr>
                  <pic:blipFill>
                    <a:blip r:embed="rId31"/>
                    <a:srcRect l="1285" r="4056" b="2544"/>
                    <a:stretch>
                      <a:fillRect/>
                    </a:stretch>
                  </pic:blipFill>
                  <pic:spPr>
                    <a:xfrm>
                      <a:off x="0" y="0"/>
                      <a:ext cx="8589645" cy="4975225"/>
                    </a:xfrm>
                    <a:prstGeom prst="rect">
                      <a:avLst/>
                    </a:prstGeom>
                  </pic:spPr>
                </pic:pic>
              </a:graphicData>
            </a:graphic>
          </wp:inline>
        </w:drawing>
      </w:r>
    </w:p>
    <w:p>
      <w:pPr>
        <w:pStyle w:val="27"/>
        <w:outlineLvl w:val="0"/>
        <w:rPr>
          <w:rFonts w:hint="eastAsia" w:ascii="Times New Roman" w:hAnsi="Times New Roman" w:eastAsia="宋体" w:cs="Times New Roman"/>
          <w:b/>
          <w:bCs/>
          <w:color w:val="auto"/>
          <w:highlight w:val="none"/>
          <w:lang w:val="en-US" w:eastAsia="zh-CN"/>
        </w:rPr>
      </w:pPr>
      <w:bookmarkStart w:id="101" w:name="_Toc29687"/>
      <w:r>
        <w:rPr>
          <w:rFonts w:hint="eastAsia" w:ascii="Times New Roman" w:hAnsi="Times New Roman" w:eastAsia="宋体" w:cs="Times New Roman"/>
          <w:b/>
          <w:bCs/>
          <w:color w:val="auto"/>
          <w:highlight w:val="none"/>
          <w:lang w:val="en-US" w:eastAsia="zh-CN"/>
        </w:rPr>
        <w:t>附件 4 营业执照</w:t>
      </w:r>
      <w:bookmarkEnd w:id="101"/>
    </w:p>
    <w:p>
      <w:pPr>
        <w:rPr>
          <w:rFonts w:hint="eastAsia" w:ascii="Times New Roman" w:hAnsi="Times New Roman" w:eastAsia="宋体" w:cs="Times New Roman"/>
          <w:b/>
          <w:bCs/>
          <w:color w:val="FF0000"/>
          <w:highlight w:val="none"/>
          <w:lang w:val="en-US" w:eastAsia="zh-CN"/>
        </w:rPr>
      </w:pPr>
    </w:p>
    <w:p>
      <w:pPr>
        <w:pStyle w:val="18"/>
        <w:rPr>
          <w:rFonts w:hint="default"/>
          <w:color w:val="FF000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eastAsiaTheme="minorEastAsia"/>
          <w:snapToGrid w:val="0"/>
        </w:rPr>
        <w:drawing>
          <wp:inline distT="0" distB="0" distL="114300" distR="114300">
            <wp:extent cx="5154930" cy="7900035"/>
            <wp:effectExtent l="0" t="0" r="7620" b="5715"/>
            <wp:docPr id="55" name="图片 55" descr="b9a62c1f1298a76e27fa4bb329cb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b9a62c1f1298a76e27fa4bb329cb31b"/>
                    <pic:cNvPicPr>
                      <a:picLocks noChangeAspect="1"/>
                    </pic:cNvPicPr>
                  </pic:nvPicPr>
                  <pic:blipFill>
                    <a:blip r:embed="rId32"/>
                    <a:srcRect t="4316" b="9596"/>
                    <a:stretch>
                      <a:fillRect/>
                    </a:stretch>
                  </pic:blipFill>
                  <pic:spPr>
                    <a:xfrm>
                      <a:off x="0" y="0"/>
                      <a:ext cx="5154930" cy="7900035"/>
                    </a:xfrm>
                    <a:prstGeom prst="rect">
                      <a:avLst/>
                    </a:prstGeom>
                  </pic:spPr>
                </pic:pic>
              </a:graphicData>
            </a:graphic>
          </wp:inline>
        </w:drawing>
      </w:r>
    </w:p>
    <w:p>
      <w:pPr>
        <w:pStyle w:val="27"/>
        <w:outlineLvl w:val="0"/>
        <w:rPr>
          <w:rFonts w:hint="eastAsia" w:ascii="Times New Roman" w:hAnsi="Times New Roman" w:eastAsia="宋体" w:cs="Times New Roman"/>
          <w:b/>
          <w:bCs/>
          <w:color w:val="FF0000"/>
          <w:highlight w:val="yellow"/>
          <w:lang w:val="en-US" w:eastAsia="zh-CN"/>
        </w:rPr>
      </w:pPr>
      <w:bookmarkStart w:id="102" w:name="_Toc9801"/>
      <w:r>
        <w:rPr>
          <w:rFonts w:hint="eastAsia" w:ascii="Times New Roman" w:hAnsi="Times New Roman" w:eastAsia="宋体" w:cs="Times New Roman"/>
          <w:b/>
          <w:bCs/>
          <w:color w:val="auto"/>
          <w:highlight w:val="yellow"/>
          <w:lang w:val="en-US" w:eastAsia="zh-CN"/>
        </w:rPr>
        <w:t>附件 6 检测报告</w:t>
      </w:r>
      <w:bookmarkEnd w:id="102"/>
    </w:p>
    <w:p>
      <w:pPr>
        <w:rPr>
          <w:rFonts w:hint="eastAsia" w:ascii="Times New Roman" w:hAnsi="Times New Roman" w:eastAsia="宋体" w:cs="Times New Roman"/>
          <w:b/>
          <w:bCs/>
          <w:color w:val="FF0000"/>
          <w:highlight w:val="none"/>
          <w:lang w:val="en-US" w:eastAsia="zh-CN"/>
        </w:rPr>
      </w:pPr>
    </w:p>
    <w:p>
      <w:pPr>
        <w:pStyle w:val="27"/>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34050" cy="8105775"/>
            <wp:effectExtent l="0" t="0" r="0" b="952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3"/>
                    <a:stretch>
                      <a:fillRect/>
                    </a:stretch>
                  </pic:blipFill>
                  <pic:spPr>
                    <a:xfrm>
                      <a:off x="0" y="0"/>
                      <a:ext cx="5734050" cy="8105775"/>
                    </a:xfrm>
                    <a:prstGeom prst="rect">
                      <a:avLst/>
                    </a:prstGeom>
                    <a:noFill/>
                    <a:ln>
                      <a:noFill/>
                    </a:ln>
                  </pic:spPr>
                </pic:pic>
              </a:graphicData>
            </a:graphic>
          </wp:inline>
        </w:drawing>
      </w:r>
      <w:r>
        <w:drawing>
          <wp:inline distT="0" distB="0" distL="114300" distR="114300">
            <wp:extent cx="6003925" cy="8544560"/>
            <wp:effectExtent l="0" t="0" r="15875" b="889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34"/>
                    <a:stretch>
                      <a:fillRect/>
                    </a:stretch>
                  </pic:blipFill>
                  <pic:spPr>
                    <a:xfrm>
                      <a:off x="0" y="0"/>
                      <a:ext cx="6003925" cy="8544560"/>
                    </a:xfrm>
                    <a:prstGeom prst="rect">
                      <a:avLst/>
                    </a:prstGeom>
                    <a:noFill/>
                    <a:ln>
                      <a:noFill/>
                    </a:ln>
                  </pic:spPr>
                </pic:pic>
              </a:graphicData>
            </a:graphic>
          </wp:inline>
        </w:drawing>
      </w:r>
      <w:r>
        <w:drawing>
          <wp:inline distT="0" distB="0" distL="114300" distR="114300">
            <wp:extent cx="6060440" cy="8572500"/>
            <wp:effectExtent l="0" t="0" r="1651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35"/>
                    <a:stretch>
                      <a:fillRect/>
                    </a:stretch>
                  </pic:blipFill>
                  <pic:spPr>
                    <a:xfrm>
                      <a:off x="0" y="0"/>
                      <a:ext cx="6060440" cy="8572500"/>
                    </a:xfrm>
                    <a:prstGeom prst="rect">
                      <a:avLst/>
                    </a:prstGeom>
                    <a:noFill/>
                    <a:ln>
                      <a:noFill/>
                    </a:ln>
                  </pic:spPr>
                </pic:pic>
              </a:graphicData>
            </a:graphic>
          </wp:inline>
        </w:drawing>
      </w:r>
      <w:r>
        <w:drawing>
          <wp:inline distT="0" distB="0" distL="114300" distR="114300">
            <wp:extent cx="5957570" cy="8463915"/>
            <wp:effectExtent l="0" t="0" r="5080" b="1333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36"/>
                    <a:stretch>
                      <a:fillRect/>
                    </a:stretch>
                  </pic:blipFill>
                  <pic:spPr>
                    <a:xfrm>
                      <a:off x="0" y="0"/>
                      <a:ext cx="5957570" cy="8463915"/>
                    </a:xfrm>
                    <a:prstGeom prst="rect">
                      <a:avLst/>
                    </a:prstGeom>
                    <a:noFill/>
                    <a:ln>
                      <a:noFill/>
                    </a:ln>
                  </pic:spPr>
                </pic:pic>
              </a:graphicData>
            </a:graphic>
          </wp:inline>
        </w:drawing>
      </w:r>
      <w:r>
        <w:drawing>
          <wp:inline distT="0" distB="0" distL="114300" distR="114300">
            <wp:extent cx="5904865" cy="8387080"/>
            <wp:effectExtent l="0" t="0" r="635" b="1397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37"/>
                    <a:stretch>
                      <a:fillRect/>
                    </a:stretch>
                  </pic:blipFill>
                  <pic:spPr>
                    <a:xfrm>
                      <a:off x="0" y="0"/>
                      <a:ext cx="5904865" cy="8387080"/>
                    </a:xfrm>
                    <a:prstGeom prst="rect">
                      <a:avLst/>
                    </a:prstGeom>
                    <a:noFill/>
                    <a:ln>
                      <a:noFill/>
                    </a:ln>
                  </pic:spPr>
                </pic:pic>
              </a:graphicData>
            </a:graphic>
          </wp:inline>
        </w:drawing>
      </w:r>
      <w:r>
        <w:drawing>
          <wp:inline distT="0" distB="0" distL="114300" distR="114300">
            <wp:extent cx="5986780" cy="8455025"/>
            <wp:effectExtent l="0" t="0" r="13970" b="3175"/>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38"/>
                    <a:stretch>
                      <a:fillRect/>
                    </a:stretch>
                  </pic:blipFill>
                  <pic:spPr>
                    <a:xfrm>
                      <a:off x="0" y="0"/>
                      <a:ext cx="5986780" cy="8455025"/>
                    </a:xfrm>
                    <a:prstGeom prst="rect">
                      <a:avLst/>
                    </a:prstGeom>
                    <a:noFill/>
                    <a:ln>
                      <a:noFill/>
                    </a:ln>
                  </pic:spPr>
                </pic:pic>
              </a:graphicData>
            </a:graphic>
          </wp:inline>
        </w:drawing>
      </w:r>
    </w:p>
    <w:p>
      <w:pPr>
        <w:pStyle w:val="27"/>
        <w:outlineLvl w:val="0"/>
        <w:rPr>
          <w:rFonts w:hint="default"/>
          <w:lang w:val="en-US" w:eastAsia="zh-CN"/>
        </w:rPr>
      </w:pPr>
      <w:bookmarkStart w:id="103" w:name="_Toc13103"/>
      <w:r>
        <w:rPr>
          <w:rFonts w:hint="eastAsia" w:ascii="Times New Roman" w:hAnsi="Times New Roman" w:eastAsia="宋体" w:cs="Times New Roman"/>
          <w:b/>
          <w:bCs/>
          <w:color w:val="auto"/>
          <w:highlight w:val="none"/>
          <w:lang w:val="en-US" w:eastAsia="zh-CN"/>
        </w:rPr>
        <w:t>附件 7 公示截图</w:t>
      </w:r>
      <w:bookmarkEnd w:id="103"/>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Times New Roman"/>
    <w:panose1 w:val="00000000000000000000"/>
    <w:charset w:val="01"/>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right" w:pos="8432"/>
      </w:tabs>
    </w:pPr>
    <w:r>
      <w:rPr>
        <w:rFonts w:hint="eastAsia"/>
      </w:rPr>
      <w:tab/>
    </w:r>
    <w:r>
      <w:rPr>
        <w:rFonts w:hint="eastAsia"/>
      </w:rPr>
      <w:tab/>
    </w:r>
    <w:r>
      <w:rPr>
        <w:rFonts w:hint="eastAsia"/>
      </w:rPr>
      <w:tab/>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right" w:pos="8432"/>
      </w:tabs>
      <w:rPr>
        <w:rFonts w:hint="default"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center" w:pos="4156"/>
        <w:tab w:val="right" w:pos="8432"/>
      </w:tabs>
      <w:rPr>
        <w:rFonts w:hint="default"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default" w:ascii="Times New Roman" w:hAnsi="Times New Roman" w:cs="Times New Roman"/>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33</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default"/>
                        <w:lang w:val="en-US"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FFFFFF" w:sz="4" w:space="1"/>
      </w:pBdr>
      <w:ind w:left="4320" w:hanging="4320" w:hangingChars="1800"/>
      <w:jc w:val="both"/>
      <w:rPr>
        <w:rFonts w:hint="eastAsia" w:eastAsia="宋体"/>
        <w:color w:val="000000"/>
        <w:sz w:val="24"/>
        <w:szCs w:val="24"/>
        <w:u w:val="single"/>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DD1952"/>
    <w:multiLevelType w:val="singleLevel"/>
    <w:tmpl w:val="4BDD1952"/>
    <w:lvl w:ilvl="0" w:tentative="0">
      <w:start w:val="1"/>
      <w:numFmt w:val="decimal"/>
      <w:suff w:val="nothing"/>
      <w:lvlText w:val="%1、"/>
      <w:lvlJc w:val="left"/>
      <w:rPr>
        <w:rFonts w:hint="default"/>
        <w:sz w:val="24"/>
        <w:szCs w:val="24"/>
      </w:rPr>
    </w:lvl>
  </w:abstractNum>
  <w:abstractNum w:abstractNumId="1">
    <w:nsid w:val="6702078D"/>
    <w:multiLevelType w:val="singleLevel"/>
    <w:tmpl w:val="6702078D"/>
    <w:lvl w:ilvl="0" w:tentative="0">
      <w:start w:val="1"/>
      <w:numFmt w:val="decimal"/>
      <w:suff w:val="nothing"/>
      <w:lvlText w:val="%1、"/>
      <w:lvlJc w:val="left"/>
    </w:lvl>
  </w:abstractNum>
  <w:abstractNum w:abstractNumId="2">
    <w:nsid w:val="6BBC8B8C"/>
    <w:multiLevelType w:val="singleLevel"/>
    <w:tmpl w:val="6BBC8B8C"/>
    <w:lvl w:ilvl="0" w:tentative="0">
      <w:start w:val="1"/>
      <w:numFmt w:val="chineseCounting"/>
      <w:suff w:val="nothing"/>
      <w:lvlText w:val="%1、"/>
      <w:lvlJc w:val="left"/>
      <w:rPr>
        <w:rFonts w:hint="eastAsia"/>
      </w:rPr>
    </w:lvl>
  </w:abstractNum>
  <w:abstractNum w:abstractNumId="3">
    <w:nsid w:val="7E8622D9"/>
    <w:multiLevelType w:val="singleLevel"/>
    <w:tmpl w:val="7E8622D9"/>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0NTQ0MjhjYzk2ZDcyNDY2ZTU4MjMzMGRkYmY1ODMifQ=="/>
    <w:docVar w:name="KSO_WPS_MARK_KEY" w:val="60b71c7b-9501-4024-a268-7f0767592e87"/>
  </w:docVars>
  <w:rsids>
    <w:rsidRoot w:val="00000000"/>
    <w:rsid w:val="00261BE5"/>
    <w:rsid w:val="004B5F1F"/>
    <w:rsid w:val="006B3A4D"/>
    <w:rsid w:val="009A7527"/>
    <w:rsid w:val="00A566D5"/>
    <w:rsid w:val="00A87AE1"/>
    <w:rsid w:val="00AB7E33"/>
    <w:rsid w:val="00C76E71"/>
    <w:rsid w:val="00D54EEA"/>
    <w:rsid w:val="010F2657"/>
    <w:rsid w:val="0111721E"/>
    <w:rsid w:val="012F0F55"/>
    <w:rsid w:val="01312904"/>
    <w:rsid w:val="013C690E"/>
    <w:rsid w:val="013F0F5D"/>
    <w:rsid w:val="01664D6A"/>
    <w:rsid w:val="01875DDB"/>
    <w:rsid w:val="018A79A3"/>
    <w:rsid w:val="019C5E7A"/>
    <w:rsid w:val="01EA35D3"/>
    <w:rsid w:val="01F30E2A"/>
    <w:rsid w:val="025920CC"/>
    <w:rsid w:val="02844A82"/>
    <w:rsid w:val="02896F48"/>
    <w:rsid w:val="028C7EB7"/>
    <w:rsid w:val="029D52FC"/>
    <w:rsid w:val="02B90F29"/>
    <w:rsid w:val="02DB6253"/>
    <w:rsid w:val="031701ED"/>
    <w:rsid w:val="032E5AB5"/>
    <w:rsid w:val="0338645C"/>
    <w:rsid w:val="035534B8"/>
    <w:rsid w:val="03560FFE"/>
    <w:rsid w:val="03976064"/>
    <w:rsid w:val="039B6B04"/>
    <w:rsid w:val="039D0762"/>
    <w:rsid w:val="03A26017"/>
    <w:rsid w:val="03A5079A"/>
    <w:rsid w:val="03A5718F"/>
    <w:rsid w:val="03AA65E0"/>
    <w:rsid w:val="03B477E8"/>
    <w:rsid w:val="03CF5817"/>
    <w:rsid w:val="03F64C72"/>
    <w:rsid w:val="03FF351B"/>
    <w:rsid w:val="040522EB"/>
    <w:rsid w:val="041F35B9"/>
    <w:rsid w:val="042D0C31"/>
    <w:rsid w:val="04436B0F"/>
    <w:rsid w:val="04586916"/>
    <w:rsid w:val="048854B9"/>
    <w:rsid w:val="048E56D2"/>
    <w:rsid w:val="04B07740"/>
    <w:rsid w:val="04CC06D3"/>
    <w:rsid w:val="04CC77BF"/>
    <w:rsid w:val="05036B9E"/>
    <w:rsid w:val="051D71CF"/>
    <w:rsid w:val="051F68F5"/>
    <w:rsid w:val="05553C9E"/>
    <w:rsid w:val="056E7CF0"/>
    <w:rsid w:val="057860E7"/>
    <w:rsid w:val="058F0273"/>
    <w:rsid w:val="05AB5B0C"/>
    <w:rsid w:val="05CF53DF"/>
    <w:rsid w:val="05E12110"/>
    <w:rsid w:val="05EC0937"/>
    <w:rsid w:val="060020B9"/>
    <w:rsid w:val="060F37A6"/>
    <w:rsid w:val="06103955"/>
    <w:rsid w:val="0616686A"/>
    <w:rsid w:val="063A58E9"/>
    <w:rsid w:val="063B7B38"/>
    <w:rsid w:val="06882366"/>
    <w:rsid w:val="068B3E4E"/>
    <w:rsid w:val="068B53AC"/>
    <w:rsid w:val="06917350"/>
    <w:rsid w:val="06921F51"/>
    <w:rsid w:val="069C648E"/>
    <w:rsid w:val="06AB431A"/>
    <w:rsid w:val="06B748F1"/>
    <w:rsid w:val="06CF57A3"/>
    <w:rsid w:val="06E4782C"/>
    <w:rsid w:val="06E75F3E"/>
    <w:rsid w:val="06F34558"/>
    <w:rsid w:val="07114C14"/>
    <w:rsid w:val="0725428C"/>
    <w:rsid w:val="073E7DB1"/>
    <w:rsid w:val="074E13C7"/>
    <w:rsid w:val="076C6910"/>
    <w:rsid w:val="078D0121"/>
    <w:rsid w:val="07976C65"/>
    <w:rsid w:val="079D451A"/>
    <w:rsid w:val="07A31517"/>
    <w:rsid w:val="07A72157"/>
    <w:rsid w:val="07B91C2E"/>
    <w:rsid w:val="07BA2B7A"/>
    <w:rsid w:val="07C57219"/>
    <w:rsid w:val="07EE7A53"/>
    <w:rsid w:val="07FD7094"/>
    <w:rsid w:val="0807286F"/>
    <w:rsid w:val="080E768E"/>
    <w:rsid w:val="0811431E"/>
    <w:rsid w:val="08255142"/>
    <w:rsid w:val="084C691B"/>
    <w:rsid w:val="086E3D51"/>
    <w:rsid w:val="087A5DD1"/>
    <w:rsid w:val="08817E5A"/>
    <w:rsid w:val="088F7C3E"/>
    <w:rsid w:val="08BA182C"/>
    <w:rsid w:val="08C06FF0"/>
    <w:rsid w:val="093213DE"/>
    <w:rsid w:val="09437F8F"/>
    <w:rsid w:val="0956207C"/>
    <w:rsid w:val="09635565"/>
    <w:rsid w:val="09783691"/>
    <w:rsid w:val="097A2AB7"/>
    <w:rsid w:val="099E3CC2"/>
    <w:rsid w:val="09A65175"/>
    <w:rsid w:val="09AD6D71"/>
    <w:rsid w:val="09E2004E"/>
    <w:rsid w:val="09E31E35"/>
    <w:rsid w:val="09E55042"/>
    <w:rsid w:val="09EB1068"/>
    <w:rsid w:val="09F656C7"/>
    <w:rsid w:val="0A062531"/>
    <w:rsid w:val="0A0E71AF"/>
    <w:rsid w:val="0A287AAB"/>
    <w:rsid w:val="0A310FDA"/>
    <w:rsid w:val="0A4736F4"/>
    <w:rsid w:val="0A582958"/>
    <w:rsid w:val="0A6E18D8"/>
    <w:rsid w:val="0AAB2C94"/>
    <w:rsid w:val="0AB01E06"/>
    <w:rsid w:val="0AC92639"/>
    <w:rsid w:val="0ACC3A67"/>
    <w:rsid w:val="0ACD4C39"/>
    <w:rsid w:val="0AE23539"/>
    <w:rsid w:val="0AE30523"/>
    <w:rsid w:val="0B0D1371"/>
    <w:rsid w:val="0B1A6451"/>
    <w:rsid w:val="0B1F59D4"/>
    <w:rsid w:val="0B2A08A0"/>
    <w:rsid w:val="0B47605B"/>
    <w:rsid w:val="0B48683F"/>
    <w:rsid w:val="0B595398"/>
    <w:rsid w:val="0B70168E"/>
    <w:rsid w:val="0B7066B0"/>
    <w:rsid w:val="0B886613"/>
    <w:rsid w:val="0B8C5D6A"/>
    <w:rsid w:val="0B973FBE"/>
    <w:rsid w:val="0B9C29A6"/>
    <w:rsid w:val="0BCC5047"/>
    <w:rsid w:val="0BD57C8C"/>
    <w:rsid w:val="0BDF2D3D"/>
    <w:rsid w:val="0BED219A"/>
    <w:rsid w:val="0BEF5564"/>
    <w:rsid w:val="0C166163"/>
    <w:rsid w:val="0C346AE3"/>
    <w:rsid w:val="0C372B47"/>
    <w:rsid w:val="0C3923C8"/>
    <w:rsid w:val="0C41188A"/>
    <w:rsid w:val="0C607B67"/>
    <w:rsid w:val="0C897BDB"/>
    <w:rsid w:val="0CA97587"/>
    <w:rsid w:val="0CB724EF"/>
    <w:rsid w:val="0CCC4FEA"/>
    <w:rsid w:val="0CCF0E50"/>
    <w:rsid w:val="0CDB522D"/>
    <w:rsid w:val="0CE75980"/>
    <w:rsid w:val="0D06017A"/>
    <w:rsid w:val="0D284084"/>
    <w:rsid w:val="0D49536B"/>
    <w:rsid w:val="0D6916AC"/>
    <w:rsid w:val="0D7F6DA9"/>
    <w:rsid w:val="0DB31CEC"/>
    <w:rsid w:val="0DBD18A7"/>
    <w:rsid w:val="0DC77E54"/>
    <w:rsid w:val="0DCB36ED"/>
    <w:rsid w:val="0DDD00B0"/>
    <w:rsid w:val="0E375A8A"/>
    <w:rsid w:val="0E3A20DF"/>
    <w:rsid w:val="0E617A4F"/>
    <w:rsid w:val="0E831792"/>
    <w:rsid w:val="0E8950B9"/>
    <w:rsid w:val="0E8C0020"/>
    <w:rsid w:val="0EA51D61"/>
    <w:rsid w:val="0EC859AA"/>
    <w:rsid w:val="0EFB1BB6"/>
    <w:rsid w:val="0F0C3DC3"/>
    <w:rsid w:val="0F2733BC"/>
    <w:rsid w:val="0F310EFB"/>
    <w:rsid w:val="0F3754ED"/>
    <w:rsid w:val="0F5203B9"/>
    <w:rsid w:val="0F590F2E"/>
    <w:rsid w:val="0F9D5EF0"/>
    <w:rsid w:val="0F9F2665"/>
    <w:rsid w:val="0FB3237E"/>
    <w:rsid w:val="0FC459D6"/>
    <w:rsid w:val="0FD82545"/>
    <w:rsid w:val="0FFA5A36"/>
    <w:rsid w:val="0FFE2C09"/>
    <w:rsid w:val="100F36A4"/>
    <w:rsid w:val="10212537"/>
    <w:rsid w:val="102A2248"/>
    <w:rsid w:val="10324BA3"/>
    <w:rsid w:val="104310FB"/>
    <w:rsid w:val="1053334F"/>
    <w:rsid w:val="10544837"/>
    <w:rsid w:val="107F17BB"/>
    <w:rsid w:val="108501C7"/>
    <w:rsid w:val="10A03BBA"/>
    <w:rsid w:val="10B46745"/>
    <w:rsid w:val="10BB15FD"/>
    <w:rsid w:val="10C36A15"/>
    <w:rsid w:val="10E10EA2"/>
    <w:rsid w:val="10E74BDF"/>
    <w:rsid w:val="112A0531"/>
    <w:rsid w:val="11320B66"/>
    <w:rsid w:val="11347009"/>
    <w:rsid w:val="114641ED"/>
    <w:rsid w:val="11540B11"/>
    <w:rsid w:val="115F5FDC"/>
    <w:rsid w:val="117F5937"/>
    <w:rsid w:val="11922272"/>
    <w:rsid w:val="11B40BAE"/>
    <w:rsid w:val="11B42CA1"/>
    <w:rsid w:val="11B871AC"/>
    <w:rsid w:val="11CB15F5"/>
    <w:rsid w:val="11CF7EAE"/>
    <w:rsid w:val="11D9795F"/>
    <w:rsid w:val="11DE546D"/>
    <w:rsid w:val="11E20ACE"/>
    <w:rsid w:val="11FB69E2"/>
    <w:rsid w:val="12292E8C"/>
    <w:rsid w:val="1232769D"/>
    <w:rsid w:val="123720EA"/>
    <w:rsid w:val="124279CC"/>
    <w:rsid w:val="1253571F"/>
    <w:rsid w:val="127B4A28"/>
    <w:rsid w:val="127C7AEA"/>
    <w:rsid w:val="128819B3"/>
    <w:rsid w:val="12AC2DCB"/>
    <w:rsid w:val="12E878DB"/>
    <w:rsid w:val="12FF7191"/>
    <w:rsid w:val="13141F14"/>
    <w:rsid w:val="13426006"/>
    <w:rsid w:val="136F780F"/>
    <w:rsid w:val="13712F1D"/>
    <w:rsid w:val="13713705"/>
    <w:rsid w:val="139671EC"/>
    <w:rsid w:val="139E17DD"/>
    <w:rsid w:val="13CD22A1"/>
    <w:rsid w:val="13CE304A"/>
    <w:rsid w:val="13D0721E"/>
    <w:rsid w:val="13DB1D19"/>
    <w:rsid w:val="13E00C19"/>
    <w:rsid w:val="13E05820"/>
    <w:rsid w:val="13F310AE"/>
    <w:rsid w:val="14047949"/>
    <w:rsid w:val="140D550D"/>
    <w:rsid w:val="14102C69"/>
    <w:rsid w:val="141D3EEF"/>
    <w:rsid w:val="14335795"/>
    <w:rsid w:val="143B13BB"/>
    <w:rsid w:val="14497DDA"/>
    <w:rsid w:val="144B0EEA"/>
    <w:rsid w:val="145F01B7"/>
    <w:rsid w:val="1492537E"/>
    <w:rsid w:val="14AB13B1"/>
    <w:rsid w:val="14BA2D13"/>
    <w:rsid w:val="14CF2DBD"/>
    <w:rsid w:val="14D8094F"/>
    <w:rsid w:val="14E45A99"/>
    <w:rsid w:val="14F72AF1"/>
    <w:rsid w:val="150E302F"/>
    <w:rsid w:val="15255052"/>
    <w:rsid w:val="152D66D0"/>
    <w:rsid w:val="152E500F"/>
    <w:rsid w:val="153C0833"/>
    <w:rsid w:val="15427B83"/>
    <w:rsid w:val="157537EE"/>
    <w:rsid w:val="158579EA"/>
    <w:rsid w:val="15987567"/>
    <w:rsid w:val="15A83C3F"/>
    <w:rsid w:val="15AD5603"/>
    <w:rsid w:val="15DA79BF"/>
    <w:rsid w:val="16015FF3"/>
    <w:rsid w:val="161A0B74"/>
    <w:rsid w:val="161B0A6D"/>
    <w:rsid w:val="161E0866"/>
    <w:rsid w:val="163122FE"/>
    <w:rsid w:val="16327BEA"/>
    <w:rsid w:val="1649299E"/>
    <w:rsid w:val="164D621D"/>
    <w:rsid w:val="16582B50"/>
    <w:rsid w:val="16646D22"/>
    <w:rsid w:val="168770D6"/>
    <w:rsid w:val="168E4D5F"/>
    <w:rsid w:val="16955CEF"/>
    <w:rsid w:val="16EF7C59"/>
    <w:rsid w:val="16F91219"/>
    <w:rsid w:val="17162292"/>
    <w:rsid w:val="172177F5"/>
    <w:rsid w:val="17287BD2"/>
    <w:rsid w:val="1732090A"/>
    <w:rsid w:val="1733493D"/>
    <w:rsid w:val="173F4690"/>
    <w:rsid w:val="17460674"/>
    <w:rsid w:val="176A1D14"/>
    <w:rsid w:val="176D60CD"/>
    <w:rsid w:val="177B1AE6"/>
    <w:rsid w:val="178265A5"/>
    <w:rsid w:val="17865A01"/>
    <w:rsid w:val="1789217F"/>
    <w:rsid w:val="17E46FED"/>
    <w:rsid w:val="17EE2B1D"/>
    <w:rsid w:val="17F7713F"/>
    <w:rsid w:val="17F92A0B"/>
    <w:rsid w:val="180E7470"/>
    <w:rsid w:val="183C74C7"/>
    <w:rsid w:val="183F6053"/>
    <w:rsid w:val="18406443"/>
    <w:rsid w:val="18494C8F"/>
    <w:rsid w:val="185E3B5B"/>
    <w:rsid w:val="1868512D"/>
    <w:rsid w:val="18910496"/>
    <w:rsid w:val="18A314C4"/>
    <w:rsid w:val="18B810C7"/>
    <w:rsid w:val="18BD4238"/>
    <w:rsid w:val="18C33745"/>
    <w:rsid w:val="18EA5865"/>
    <w:rsid w:val="18F26679"/>
    <w:rsid w:val="190B2827"/>
    <w:rsid w:val="192E153D"/>
    <w:rsid w:val="1947284F"/>
    <w:rsid w:val="195A1D9D"/>
    <w:rsid w:val="19667991"/>
    <w:rsid w:val="196B16E7"/>
    <w:rsid w:val="19722178"/>
    <w:rsid w:val="197E7175"/>
    <w:rsid w:val="199D1B59"/>
    <w:rsid w:val="19B337B9"/>
    <w:rsid w:val="19D71AE2"/>
    <w:rsid w:val="19E05850"/>
    <w:rsid w:val="19F4089E"/>
    <w:rsid w:val="19FF0FA5"/>
    <w:rsid w:val="1A027978"/>
    <w:rsid w:val="1A0C2EC9"/>
    <w:rsid w:val="1A0E58AA"/>
    <w:rsid w:val="1A1828E4"/>
    <w:rsid w:val="1A281053"/>
    <w:rsid w:val="1A2975D8"/>
    <w:rsid w:val="1A2E6EB0"/>
    <w:rsid w:val="1A457909"/>
    <w:rsid w:val="1A5624D0"/>
    <w:rsid w:val="1A5671E7"/>
    <w:rsid w:val="1A874A76"/>
    <w:rsid w:val="1A9B5FFB"/>
    <w:rsid w:val="1AB272A7"/>
    <w:rsid w:val="1ABD25E2"/>
    <w:rsid w:val="1ABD5F4D"/>
    <w:rsid w:val="1AD31F30"/>
    <w:rsid w:val="1AD63D0F"/>
    <w:rsid w:val="1ADA1F0A"/>
    <w:rsid w:val="1AE444C8"/>
    <w:rsid w:val="1B15571A"/>
    <w:rsid w:val="1B3723AA"/>
    <w:rsid w:val="1B530B7D"/>
    <w:rsid w:val="1B78548B"/>
    <w:rsid w:val="1B827BBB"/>
    <w:rsid w:val="1B9C3086"/>
    <w:rsid w:val="1BC01202"/>
    <w:rsid w:val="1BE340FE"/>
    <w:rsid w:val="1BFC2CD6"/>
    <w:rsid w:val="1C821B71"/>
    <w:rsid w:val="1C8663F1"/>
    <w:rsid w:val="1C913B5A"/>
    <w:rsid w:val="1C941637"/>
    <w:rsid w:val="1CB266FC"/>
    <w:rsid w:val="1CC01FC1"/>
    <w:rsid w:val="1CD460BA"/>
    <w:rsid w:val="1CED44AE"/>
    <w:rsid w:val="1D000C28"/>
    <w:rsid w:val="1D0B20AC"/>
    <w:rsid w:val="1D287F24"/>
    <w:rsid w:val="1D2E3282"/>
    <w:rsid w:val="1D4E32A0"/>
    <w:rsid w:val="1D6B6538"/>
    <w:rsid w:val="1D772D50"/>
    <w:rsid w:val="1D892188"/>
    <w:rsid w:val="1D9B5B7E"/>
    <w:rsid w:val="1DAB4372"/>
    <w:rsid w:val="1DC64755"/>
    <w:rsid w:val="1DDA43AF"/>
    <w:rsid w:val="1DDE49E2"/>
    <w:rsid w:val="1DE67546"/>
    <w:rsid w:val="1DF8533E"/>
    <w:rsid w:val="1DFA6250"/>
    <w:rsid w:val="1E18008F"/>
    <w:rsid w:val="1E2D340E"/>
    <w:rsid w:val="1E3B1FCF"/>
    <w:rsid w:val="1E3E3B17"/>
    <w:rsid w:val="1E423A9F"/>
    <w:rsid w:val="1E663337"/>
    <w:rsid w:val="1E705601"/>
    <w:rsid w:val="1E78266B"/>
    <w:rsid w:val="1E8156A7"/>
    <w:rsid w:val="1E8613D2"/>
    <w:rsid w:val="1E895208"/>
    <w:rsid w:val="1E8D5364"/>
    <w:rsid w:val="1EC66A0B"/>
    <w:rsid w:val="1ECD4402"/>
    <w:rsid w:val="1EDB2B8F"/>
    <w:rsid w:val="1EE3180C"/>
    <w:rsid w:val="1EFA56A4"/>
    <w:rsid w:val="1F185446"/>
    <w:rsid w:val="1F204180"/>
    <w:rsid w:val="1F4576DD"/>
    <w:rsid w:val="1F4629DA"/>
    <w:rsid w:val="1F6D7CB1"/>
    <w:rsid w:val="1F951496"/>
    <w:rsid w:val="1FA55AED"/>
    <w:rsid w:val="1FB8746E"/>
    <w:rsid w:val="1FBB31F5"/>
    <w:rsid w:val="1FCF7F7C"/>
    <w:rsid w:val="1FDC33C8"/>
    <w:rsid w:val="200540BC"/>
    <w:rsid w:val="20101529"/>
    <w:rsid w:val="201074D4"/>
    <w:rsid w:val="2015286F"/>
    <w:rsid w:val="201A050F"/>
    <w:rsid w:val="201A13CC"/>
    <w:rsid w:val="201C629D"/>
    <w:rsid w:val="20263A43"/>
    <w:rsid w:val="20396AE9"/>
    <w:rsid w:val="205123E9"/>
    <w:rsid w:val="206C34F9"/>
    <w:rsid w:val="2096426D"/>
    <w:rsid w:val="20A279F0"/>
    <w:rsid w:val="20A5031A"/>
    <w:rsid w:val="20B62D30"/>
    <w:rsid w:val="20B80C41"/>
    <w:rsid w:val="20DA6CAE"/>
    <w:rsid w:val="20DB3A5D"/>
    <w:rsid w:val="20EC1C54"/>
    <w:rsid w:val="20FB523D"/>
    <w:rsid w:val="210357D2"/>
    <w:rsid w:val="21094569"/>
    <w:rsid w:val="2120062F"/>
    <w:rsid w:val="214367EE"/>
    <w:rsid w:val="21575447"/>
    <w:rsid w:val="217801BD"/>
    <w:rsid w:val="219407C4"/>
    <w:rsid w:val="219C1610"/>
    <w:rsid w:val="21B85C65"/>
    <w:rsid w:val="21BA1B1B"/>
    <w:rsid w:val="21BA39EF"/>
    <w:rsid w:val="21C07D9C"/>
    <w:rsid w:val="21C83727"/>
    <w:rsid w:val="21D008D4"/>
    <w:rsid w:val="21D342CD"/>
    <w:rsid w:val="21D46896"/>
    <w:rsid w:val="21DC69D4"/>
    <w:rsid w:val="21DD562D"/>
    <w:rsid w:val="21E0562A"/>
    <w:rsid w:val="21E27DE3"/>
    <w:rsid w:val="22087327"/>
    <w:rsid w:val="22254E11"/>
    <w:rsid w:val="224B6366"/>
    <w:rsid w:val="225B6036"/>
    <w:rsid w:val="227A7C32"/>
    <w:rsid w:val="22837EC3"/>
    <w:rsid w:val="22856511"/>
    <w:rsid w:val="228C4BA7"/>
    <w:rsid w:val="229044AF"/>
    <w:rsid w:val="22AB0E93"/>
    <w:rsid w:val="22B9638C"/>
    <w:rsid w:val="22D43450"/>
    <w:rsid w:val="22D7042D"/>
    <w:rsid w:val="22DD7F2C"/>
    <w:rsid w:val="22E07F99"/>
    <w:rsid w:val="22EB686B"/>
    <w:rsid w:val="2308045B"/>
    <w:rsid w:val="231D51E2"/>
    <w:rsid w:val="235577F6"/>
    <w:rsid w:val="236A7F4F"/>
    <w:rsid w:val="238C2CAD"/>
    <w:rsid w:val="239924AA"/>
    <w:rsid w:val="23B81F4B"/>
    <w:rsid w:val="23CA68FD"/>
    <w:rsid w:val="23CE616E"/>
    <w:rsid w:val="23E35C34"/>
    <w:rsid w:val="23EE0477"/>
    <w:rsid w:val="23FC7B0B"/>
    <w:rsid w:val="240626C3"/>
    <w:rsid w:val="24084055"/>
    <w:rsid w:val="240B4AFB"/>
    <w:rsid w:val="2423559C"/>
    <w:rsid w:val="242E3142"/>
    <w:rsid w:val="243B598A"/>
    <w:rsid w:val="243F52E4"/>
    <w:rsid w:val="2451415B"/>
    <w:rsid w:val="245D79EC"/>
    <w:rsid w:val="24634D84"/>
    <w:rsid w:val="24664E12"/>
    <w:rsid w:val="24AA7AC7"/>
    <w:rsid w:val="24B91068"/>
    <w:rsid w:val="24D70BAF"/>
    <w:rsid w:val="24E16E9C"/>
    <w:rsid w:val="24E17CB8"/>
    <w:rsid w:val="24EC133C"/>
    <w:rsid w:val="253E4845"/>
    <w:rsid w:val="25495A12"/>
    <w:rsid w:val="25627266"/>
    <w:rsid w:val="256D7462"/>
    <w:rsid w:val="256F2D4B"/>
    <w:rsid w:val="257217A9"/>
    <w:rsid w:val="257C2142"/>
    <w:rsid w:val="25815E71"/>
    <w:rsid w:val="258370EC"/>
    <w:rsid w:val="258E1EE6"/>
    <w:rsid w:val="25D56865"/>
    <w:rsid w:val="25E05341"/>
    <w:rsid w:val="25EB28EA"/>
    <w:rsid w:val="25FC2E12"/>
    <w:rsid w:val="260B31F8"/>
    <w:rsid w:val="26192BF6"/>
    <w:rsid w:val="262A302F"/>
    <w:rsid w:val="26637820"/>
    <w:rsid w:val="266D6BE5"/>
    <w:rsid w:val="2676735C"/>
    <w:rsid w:val="267D50F4"/>
    <w:rsid w:val="26956B22"/>
    <w:rsid w:val="26B3099F"/>
    <w:rsid w:val="26B85D24"/>
    <w:rsid w:val="26B91CE3"/>
    <w:rsid w:val="26C17D25"/>
    <w:rsid w:val="26DD78A2"/>
    <w:rsid w:val="26F063E8"/>
    <w:rsid w:val="26FE003E"/>
    <w:rsid w:val="27067131"/>
    <w:rsid w:val="271D32AD"/>
    <w:rsid w:val="27217ECB"/>
    <w:rsid w:val="27233601"/>
    <w:rsid w:val="2732358E"/>
    <w:rsid w:val="273E55C5"/>
    <w:rsid w:val="277F2B2A"/>
    <w:rsid w:val="278F4E63"/>
    <w:rsid w:val="27D73B2C"/>
    <w:rsid w:val="27F8788F"/>
    <w:rsid w:val="280433A5"/>
    <w:rsid w:val="280E4700"/>
    <w:rsid w:val="2830380F"/>
    <w:rsid w:val="283830DC"/>
    <w:rsid w:val="28555BEF"/>
    <w:rsid w:val="28584A89"/>
    <w:rsid w:val="287A3161"/>
    <w:rsid w:val="287C121A"/>
    <w:rsid w:val="2882443E"/>
    <w:rsid w:val="2894694D"/>
    <w:rsid w:val="2895052E"/>
    <w:rsid w:val="28A83B97"/>
    <w:rsid w:val="28B45DC3"/>
    <w:rsid w:val="28BB5A92"/>
    <w:rsid w:val="28C130D1"/>
    <w:rsid w:val="28C81A1F"/>
    <w:rsid w:val="28C826B1"/>
    <w:rsid w:val="28CD5C66"/>
    <w:rsid w:val="28D42E04"/>
    <w:rsid w:val="28D6078B"/>
    <w:rsid w:val="28D86443"/>
    <w:rsid w:val="28E63F37"/>
    <w:rsid w:val="29052B55"/>
    <w:rsid w:val="290F0F4F"/>
    <w:rsid w:val="29166B5D"/>
    <w:rsid w:val="29443F94"/>
    <w:rsid w:val="294B6E8C"/>
    <w:rsid w:val="2953072F"/>
    <w:rsid w:val="296425CF"/>
    <w:rsid w:val="29722770"/>
    <w:rsid w:val="299815A5"/>
    <w:rsid w:val="29BE5251"/>
    <w:rsid w:val="29C44709"/>
    <w:rsid w:val="29C863F0"/>
    <w:rsid w:val="29DD218D"/>
    <w:rsid w:val="29F63D8A"/>
    <w:rsid w:val="2A251A54"/>
    <w:rsid w:val="2A294452"/>
    <w:rsid w:val="2A4838A2"/>
    <w:rsid w:val="2A4C2E6E"/>
    <w:rsid w:val="2A7F029B"/>
    <w:rsid w:val="2A9E69BF"/>
    <w:rsid w:val="2AA13D59"/>
    <w:rsid w:val="2AA917E7"/>
    <w:rsid w:val="2ABC5FA6"/>
    <w:rsid w:val="2AC82296"/>
    <w:rsid w:val="2ADC6574"/>
    <w:rsid w:val="2ADD61FF"/>
    <w:rsid w:val="2AFC4894"/>
    <w:rsid w:val="2B005F1B"/>
    <w:rsid w:val="2B144347"/>
    <w:rsid w:val="2B1A132C"/>
    <w:rsid w:val="2B277B63"/>
    <w:rsid w:val="2B49020A"/>
    <w:rsid w:val="2B6E1358"/>
    <w:rsid w:val="2B7005B0"/>
    <w:rsid w:val="2B703A02"/>
    <w:rsid w:val="2B7C0544"/>
    <w:rsid w:val="2B7E7626"/>
    <w:rsid w:val="2B827313"/>
    <w:rsid w:val="2BAE7DC9"/>
    <w:rsid w:val="2BB714D4"/>
    <w:rsid w:val="2BBC06A7"/>
    <w:rsid w:val="2BC33750"/>
    <w:rsid w:val="2BC776EC"/>
    <w:rsid w:val="2BE8290F"/>
    <w:rsid w:val="2BF03E45"/>
    <w:rsid w:val="2BF8352A"/>
    <w:rsid w:val="2C030E52"/>
    <w:rsid w:val="2C034E35"/>
    <w:rsid w:val="2C070825"/>
    <w:rsid w:val="2C3A28F0"/>
    <w:rsid w:val="2C4838AD"/>
    <w:rsid w:val="2C4C758E"/>
    <w:rsid w:val="2C53653E"/>
    <w:rsid w:val="2C7F09A2"/>
    <w:rsid w:val="2CAD5C3A"/>
    <w:rsid w:val="2CCA200A"/>
    <w:rsid w:val="2D1265F1"/>
    <w:rsid w:val="2D2101E9"/>
    <w:rsid w:val="2D372553"/>
    <w:rsid w:val="2D4C29CB"/>
    <w:rsid w:val="2D541E7C"/>
    <w:rsid w:val="2D7E0302"/>
    <w:rsid w:val="2D8626C4"/>
    <w:rsid w:val="2D887562"/>
    <w:rsid w:val="2D8F7B8C"/>
    <w:rsid w:val="2D9718DA"/>
    <w:rsid w:val="2DD27DD0"/>
    <w:rsid w:val="2DE6137F"/>
    <w:rsid w:val="2DEC7614"/>
    <w:rsid w:val="2E0F645D"/>
    <w:rsid w:val="2E112BE4"/>
    <w:rsid w:val="2E1C304A"/>
    <w:rsid w:val="2E20085E"/>
    <w:rsid w:val="2E3F6D5C"/>
    <w:rsid w:val="2E8C76CD"/>
    <w:rsid w:val="2EA234B0"/>
    <w:rsid w:val="2EB41C54"/>
    <w:rsid w:val="2EB8560D"/>
    <w:rsid w:val="2EEB70FA"/>
    <w:rsid w:val="2F05722A"/>
    <w:rsid w:val="2F175131"/>
    <w:rsid w:val="2F331AA9"/>
    <w:rsid w:val="2F357876"/>
    <w:rsid w:val="2F7028DA"/>
    <w:rsid w:val="2F7B047E"/>
    <w:rsid w:val="2F992C7E"/>
    <w:rsid w:val="2FA06B1C"/>
    <w:rsid w:val="2FBA2270"/>
    <w:rsid w:val="2FC145CD"/>
    <w:rsid w:val="2FE04BDE"/>
    <w:rsid w:val="2FF476ED"/>
    <w:rsid w:val="2FF5600D"/>
    <w:rsid w:val="300400A4"/>
    <w:rsid w:val="300C3C90"/>
    <w:rsid w:val="302947E4"/>
    <w:rsid w:val="304448E0"/>
    <w:rsid w:val="304545E8"/>
    <w:rsid w:val="305D5DD5"/>
    <w:rsid w:val="30632C2A"/>
    <w:rsid w:val="3066539F"/>
    <w:rsid w:val="306A7A32"/>
    <w:rsid w:val="306F7F81"/>
    <w:rsid w:val="30842689"/>
    <w:rsid w:val="308C2223"/>
    <w:rsid w:val="309D5E01"/>
    <w:rsid w:val="30A60B6D"/>
    <w:rsid w:val="30AF5D8E"/>
    <w:rsid w:val="30E00059"/>
    <w:rsid w:val="30F75AE9"/>
    <w:rsid w:val="30FE28BC"/>
    <w:rsid w:val="30FE37E3"/>
    <w:rsid w:val="310177AA"/>
    <w:rsid w:val="31350993"/>
    <w:rsid w:val="314E33A6"/>
    <w:rsid w:val="31645B28"/>
    <w:rsid w:val="31972AD3"/>
    <w:rsid w:val="31993614"/>
    <w:rsid w:val="319A5C2E"/>
    <w:rsid w:val="319E6265"/>
    <w:rsid w:val="319F476F"/>
    <w:rsid w:val="31AA1F8C"/>
    <w:rsid w:val="31C205E6"/>
    <w:rsid w:val="31D503CA"/>
    <w:rsid w:val="320C4BC5"/>
    <w:rsid w:val="321D5D39"/>
    <w:rsid w:val="323966D6"/>
    <w:rsid w:val="32443D09"/>
    <w:rsid w:val="324E57D6"/>
    <w:rsid w:val="32646D56"/>
    <w:rsid w:val="32883C2A"/>
    <w:rsid w:val="329C5A67"/>
    <w:rsid w:val="32B731AA"/>
    <w:rsid w:val="32BA4471"/>
    <w:rsid w:val="32DA4BF0"/>
    <w:rsid w:val="32DC3795"/>
    <w:rsid w:val="32EF2AE9"/>
    <w:rsid w:val="32F52277"/>
    <w:rsid w:val="33043823"/>
    <w:rsid w:val="33091107"/>
    <w:rsid w:val="331075BD"/>
    <w:rsid w:val="331F0BAF"/>
    <w:rsid w:val="333B65B6"/>
    <w:rsid w:val="333E6826"/>
    <w:rsid w:val="334504D2"/>
    <w:rsid w:val="334868C9"/>
    <w:rsid w:val="3357681B"/>
    <w:rsid w:val="339224B6"/>
    <w:rsid w:val="33B774C5"/>
    <w:rsid w:val="33F74FD1"/>
    <w:rsid w:val="3405591B"/>
    <w:rsid w:val="340825B9"/>
    <w:rsid w:val="34085EC2"/>
    <w:rsid w:val="34114DAE"/>
    <w:rsid w:val="34185138"/>
    <w:rsid w:val="34302AA7"/>
    <w:rsid w:val="34593278"/>
    <w:rsid w:val="345B087E"/>
    <w:rsid w:val="347100A1"/>
    <w:rsid w:val="34723EB6"/>
    <w:rsid w:val="34795DB9"/>
    <w:rsid w:val="34910088"/>
    <w:rsid w:val="34925C7F"/>
    <w:rsid w:val="34A8290B"/>
    <w:rsid w:val="34A83D2C"/>
    <w:rsid w:val="34BA1A48"/>
    <w:rsid w:val="34BC4C04"/>
    <w:rsid w:val="34C26CB5"/>
    <w:rsid w:val="35013D76"/>
    <w:rsid w:val="350F766C"/>
    <w:rsid w:val="35161427"/>
    <w:rsid w:val="35232629"/>
    <w:rsid w:val="353335A8"/>
    <w:rsid w:val="35451AE9"/>
    <w:rsid w:val="354F1AB6"/>
    <w:rsid w:val="35683AF2"/>
    <w:rsid w:val="358425F0"/>
    <w:rsid w:val="35CA637F"/>
    <w:rsid w:val="35E835F4"/>
    <w:rsid w:val="35EE4691"/>
    <w:rsid w:val="36104FF7"/>
    <w:rsid w:val="36162768"/>
    <w:rsid w:val="3624416B"/>
    <w:rsid w:val="3637684B"/>
    <w:rsid w:val="36390214"/>
    <w:rsid w:val="364B41C4"/>
    <w:rsid w:val="367F18F6"/>
    <w:rsid w:val="369A46F4"/>
    <w:rsid w:val="36A42AF7"/>
    <w:rsid w:val="36BB5604"/>
    <w:rsid w:val="36C941C4"/>
    <w:rsid w:val="36E97C36"/>
    <w:rsid w:val="36F02768"/>
    <w:rsid w:val="36F27A0F"/>
    <w:rsid w:val="3708252E"/>
    <w:rsid w:val="370F1FB0"/>
    <w:rsid w:val="372633C5"/>
    <w:rsid w:val="374E7FD2"/>
    <w:rsid w:val="37700C21"/>
    <w:rsid w:val="37716A48"/>
    <w:rsid w:val="3776484C"/>
    <w:rsid w:val="377A5BF0"/>
    <w:rsid w:val="37B07B62"/>
    <w:rsid w:val="37DE2AAF"/>
    <w:rsid w:val="37E65F63"/>
    <w:rsid w:val="37FE7D33"/>
    <w:rsid w:val="38194638"/>
    <w:rsid w:val="38325D99"/>
    <w:rsid w:val="383D3B1B"/>
    <w:rsid w:val="38443FB2"/>
    <w:rsid w:val="384511B6"/>
    <w:rsid w:val="38761FB1"/>
    <w:rsid w:val="38936601"/>
    <w:rsid w:val="389438F4"/>
    <w:rsid w:val="38A10829"/>
    <w:rsid w:val="38A34038"/>
    <w:rsid w:val="38C37D49"/>
    <w:rsid w:val="38D3195A"/>
    <w:rsid w:val="38FD2A39"/>
    <w:rsid w:val="39172DDA"/>
    <w:rsid w:val="392D4163"/>
    <w:rsid w:val="3940007B"/>
    <w:rsid w:val="3942275D"/>
    <w:rsid w:val="39842625"/>
    <w:rsid w:val="399A1E48"/>
    <w:rsid w:val="399A4F1A"/>
    <w:rsid w:val="399A75E8"/>
    <w:rsid w:val="39B72412"/>
    <w:rsid w:val="39D154B9"/>
    <w:rsid w:val="39D37108"/>
    <w:rsid w:val="39F23A32"/>
    <w:rsid w:val="3A0F0DC6"/>
    <w:rsid w:val="3A3A1710"/>
    <w:rsid w:val="3A5B1D24"/>
    <w:rsid w:val="3A6253BC"/>
    <w:rsid w:val="3AA63335"/>
    <w:rsid w:val="3ABC3C21"/>
    <w:rsid w:val="3AD81C9E"/>
    <w:rsid w:val="3AEF2668"/>
    <w:rsid w:val="3B0C6D64"/>
    <w:rsid w:val="3B1654FE"/>
    <w:rsid w:val="3B1B1ACD"/>
    <w:rsid w:val="3B5073CB"/>
    <w:rsid w:val="3B5653AD"/>
    <w:rsid w:val="3B9901E5"/>
    <w:rsid w:val="3BAC3A43"/>
    <w:rsid w:val="3BAE5305"/>
    <w:rsid w:val="3BAE7643"/>
    <w:rsid w:val="3BC54E9A"/>
    <w:rsid w:val="3BC87A15"/>
    <w:rsid w:val="3BCA54C2"/>
    <w:rsid w:val="3BCE22FA"/>
    <w:rsid w:val="3BFF52EC"/>
    <w:rsid w:val="3C1A3BAB"/>
    <w:rsid w:val="3C29654F"/>
    <w:rsid w:val="3C395A62"/>
    <w:rsid w:val="3C66272F"/>
    <w:rsid w:val="3C722519"/>
    <w:rsid w:val="3C963F93"/>
    <w:rsid w:val="3C982139"/>
    <w:rsid w:val="3CB25187"/>
    <w:rsid w:val="3CE753A4"/>
    <w:rsid w:val="3CF65415"/>
    <w:rsid w:val="3D06495E"/>
    <w:rsid w:val="3D163594"/>
    <w:rsid w:val="3D1D5019"/>
    <w:rsid w:val="3D243D69"/>
    <w:rsid w:val="3D282AE6"/>
    <w:rsid w:val="3D3C4531"/>
    <w:rsid w:val="3D3D1F41"/>
    <w:rsid w:val="3DEB164C"/>
    <w:rsid w:val="3DEC707E"/>
    <w:rsid w:val="3DFA0E84"/>
    <w:rsid w:val="3E067AAC"/>
    <w:rsid w:val="3E2E1778"/>
    <w:rsid w:val="3E7960A5"/>
    <w:rsid w:val="3E7E7CA4"/>
    <w:rsid w:val="3E845F10"/>
    <w:rsid w:val="3E8734DB"/>
    <w:rsid w:val="3E9623DC"/>
    <w:rsid w:val="3E975177"/>
    <w:rsid w:val="3E9C0D16"/>
    <w:rsid w:val="3EA56367"/>
    <w:rsid w:val="3EB533D4"/>
    <w:rsid w:val="3ECB7BD9"/>
    <w:rsid w:val="3EF55271"/>
    <w:rsid w:val="3F0D6C18"/>
    <w:rsid w:val="3F11495A"/>
    <w:rsid w:val="3F3D3C7E"/>
    <w:rsid w:val="3F5E2CEF"/>
    <w:rsid w:val="3F5F1D0C"/>
    <w:rsid w:val="3F710D0A"/>
    <w:rsid w:val="3F710F55"/>
    <w:rsid w:val="3F981598"/>
    <w:rsid w:val="3F984A94"/>
    <w:rsid w:val="3FA85E7C"/>
    <w:rsid w:val="3FBA0A34"/>
    <w:rsid w:val="3FC91C32"/>
    <w:rsid w:val="3FF1017C"/>
    <w:rsid w:val="40113576"/>
    <w:rsid w:val="401B5662"/>
    <w:rsid w:val="4026309F"/>
    <w:rsid w:val="40460ADF"/>
    <w:rsid w:val="40493283"/>
    <w:rsid w:val="40523F23"/>
    <w:rsid w:val="405B0263"/>
    <w:rsid w:val="4061721C"/>
    <w:rsid w:val="407453BD"/>
    <w:rsid w:val="40836579"/>
    <w:rsid w:val="408F6F1D"/>
    <w:rsid w:val="40906C4A"/>
    <w:rsid w:val="40A00A80"/>
    <w:rsid w:val="40AA2C79"/>
    <w:rsid w:val="40BB2DD0"/>
    <w:rsid w:val="40BD62C9"/>
    <w:rsid w:val="40D107DC"/>
    <w:rsid w:val="40DE4728"/>
    <w:rsid w:val="40E14681"/>
    <w:rsid w:val="40E53D15"/>
    <w:rsid w:val="40F77B80"/>
    <w:rsid w:val="41006A6C"/>
    <w:rsid w:val="41054161"/>
    <w:rsid w:val="412F6501"/>
    <w:rsid w:val="412F754C"/>
    <w:rsid w:val="41375D82"/>
    <w:rsid w:val="414266FD"/>
    <w:rsid w:val="41461E86"/>
    <w:rsid w:val="41505A88"/>
    <w:rsid w:val="415300C6"/>
    <w:rsid w:val="41841F84"/>
    <w:rsid w:val="419E1892"/>
    <w:rsid w:val="41AE4B83"/>
    <w:rsid w:val="41D71AC3"/>
    <w:rsid w:val="41D93CD4"/>
    <w:rsid w:val="41DE2D06"/>
    <w:rsid w:val="41FB0D2A"/>
    <w:rsid w:val="42002B7B"/>
    <w:rsid w:val="42007686"/>
    <w:rsid w:val="420F7240"/>
    <w:rsid w:val="42350960"/>
    <w:rsid w:val="425605EB"/>
    <w:rsid w:val="425D6033"/>
    <w:rsid w:val="426816E3"/>
    <w:rsid w:val="426C0794"/>
    <w:rsid w:val="426F26FC"/>
    <w:rsid w:val="427F7570"/>
    <w:rsid w:val="428D5796"/>
    <w:rsid w:val="42935BC2"/>
    <w:rsid w:val="429C26CC"/>
    <w:rsid w:val="429F5DD9"/>
    <w:rsid w:val="42A54111"/>
    <w:rsid w:val="42D9109A"/>
    <w:rsid w:val="42DF5A38"/>
    <w:rsid w:val="42F77573"/>
    <w:rsid w:val="42FF3E9D"/>
    <w:rsid w:val="430D2F53"/>
    <w:rsid w:val="430E42CA"/>
    <w:rsid w:val="43115943"/>
    <w:rsid w:val="433A6D22"/>
    <w:rsid w:val="43600990"/>
    <w:rsid w:val="43602AE6"/>
    <w:rsid w:val="436E140C"/>
    <w:rsid w:val="43774682"/>
    <w:rsid w:val="439839EC"/>
    <w:rsid w:val="43AC1ABF"/>
    <w:rsid w:val="43E06798"/>
    <w:rsid w:val="43E739D0"/>
    <w:rsid w:val="43FF2CEE"/>
    <w:rsid w:val="44042444"/>
    <w:rsid w:val="44153CBD"/>
    <w:rsid w:val="44204AC0"/>
    <w:rsid w:val="44260B12"/>
    <w:rsid w:val="44417196"/>
    <w:rsid w:val="445E5CA4"/>
    <w:rsid w:val="44690DE1"/>
    <w:rsid w:val="44705EDF"/>
    <w:rsid w:val="4495568B"/>
    <w:rsid w:val="44B50D05"/>
    <w:rsid w:val="44D26447"/>
    <w:rsid w:val="44F3065E"/>
    <w:rsid w:val="45081C7A"/>
    <w:rsid w:val="450C64DB"/>
    <w:rsid w:val="451E79B4"/>
    <w:rsid w:val="453A003B"/>
    <w:rsid w:val="4550160D"/>
    <w:rsid w:val="4559771C"/>
    <w:rsid w:val="45667082"/>
    <w:rsid w:val="45770D27"/>
    <w:rsid w:val="458243F5"/>
    <w:rsid w:val="458D2212"/>
    <w:rsid w:val="458E2BDF"/>
    <w:rsid w:val="459636F1"/>
    <w:rsid w:val="45A11BE7"/>
    <w:rsid w:val="45B14ED9"/>
    <w:rsid w:val="45B30733"/>
    <w:rsid w:val="45C119B1"/>
    <w:rsid w:val="45EB57A1"/>
    <w:rsid w:val="46032DE2"/>
    <w:rsid w:val="4609479F"/>
    <w:rsid w:val="460F396D"/>
    <w:rsid w:val="46206F7D"/>
    <w:rsid w:val="46312FE7"/>
    <w:rsid w:val="46383D61"/>
    <w:rsid w:val="46557D6C"/>
    <w:rsid w:val="465C1B4F"/>
    <w:rsid w:val="465F6C8B"/>
    <w:rsid w:val="4661400D"/>
    <w:rsid w:val="46647C25"/>
    <w:rsid w:val="46745ABF"/>
    <w:rsid w:val="469B1B12"/>
    <w:rsid w:val="46A169D1"/>
    <w:rsid w:val="46B355E6"/>
    <w:rsid w:val="46DE3130"/>
    <w:rsid w:val="46E30B5E"/>
    <w:rsid w:val="46E36E7D"/>
    <w:rsid w:val="46E87CA6"/>
    <w:rsid w:val="46F71DA2"/>
    <w:rsid w:val="47027B9B"/>
    <w:rsid w:val="471B28EE"/>
    <w:rsid w:val="472E3DA6"/>
    <w:rsid w:val="47470FE5"/>
    <w:rsid w:val="476D594B"/>
    <w:rsid w:val="479C1239"/>
    <w:rsid w:val="47CA753C"/>
    <w:rsid w:val="47D15D0D"/>
    <w:rsid w:val="47D712BF"/>
    <w:rsid w:val="47DD5367"/>
    <w:rsid w:val="47E94D3A"/>
    <w:rsid w:val="47FA0D7C"/>
    <w:rsid w:val="48150216"/>
    <w:rsid w:val="482177B0"/>
    <w:rsid w:val="482F6C87"/>
    <w:rsid w:val="48425876"/>
    <w:rsid w:val="48550B37"/>
    <w:rsid w:val="4857040B"/>
    <w:rsid w:val="486E0728"/>
    <w:rsid w:val="48710218"/>
    <w:rsid w:val="48807C58"/>
    <w:rsid w:val="488116D7"/>
    <w:rsid w:val="489B7047"/>
    <w:rsid w:val="489F146B"/>
    <w:rsid w:val="48A0432E"/>
    <w:rsid w:val="48BC15DD"/>
    <w:rsid w:val="48C077CD"/>
    <w:rsid w:val="49037A9E"/>
    <w:rsid w:val="4913307D"/>
    <w:rsid w:val="4926358A"/>
    <w:rsid w:val="49303DA6"/>
    <w:rsid w:val="4941779F"/>
    <w:rsid w:val="494B366D"/>
    <w:rsid w:val="494D7275"/>
    <w:rsid w:val="4958382A"/>
    <w:rsid w:val="49730A32"/>
    <w:rsid w:val="498B04FB"/>
    <w:rsid w:val="499A7538"/>
    <w:rsid w:val="49B6430C"/>
    <w:rsid w:val="49DF702F"/>
    <w:rsid w:val="4A025F8E"/>
    <w:rsid w:val="4A21113B"/>
    <w:rsid w:val="4A554F95"/>
    <w:rsid w:val="4A5B1BE4"/>
    <w:rsid w:val="4A812BF4"/>
    <w:rsid w:val="4AA93766"/>
    <w:rsid w:val="4AC451E2"/>
    <w:rsid w:val="4B0000D3"/>
    <w:rsid w:val="4B102961"/>
    <w:rsid w:val="4B187700"/>
    <w:rsid w:val="4B3043BA"/>
    <w:rsid w:val="4B3064DE"/>
    <w:rsid w:val="4B454995"/>
    <w:rsid w:val="4B4B11F4"/>
    <w:rsid w:val="4B5666B0"/>
    <w:rsid w:val="4B610919"/>
    <w:rsid w:val="4B680FF5"/>
    <w:rsid w:val="4B6A7289"/>
    <w:rsid w:val="4B9304A5"/>
    <w:rsid w:val="4BAD393E"/>
    <w:rsid w:val="4BCB7C3F"/>
    <w:rsid w:val="4BEC3235"/>
    <w:rsid w:val="4C0068AB"/>
    <w:rsid w:val="4C09031F"/>
    <w:rsid w:val="4C1331AA"/>
    <w:rsid w:val="4C2C7F04"/>
    <w:rsid w:val="4C472DCE"/>
    <w:rsid w:val="4C7D5F58"/>
    <w:rsid w:val="4C9679E6"/>
    <w:rsid w:val="4CA467C4"/>
    <w:rsid w:val="4CB80EFF"/>
    <w:rsid w:val="4CBA5FC0"/>
    <w:rsid w:val="4CC065F7"/>
    <w:rsid w:val="4CDD58CD"/>
    <w:rsid w:val="4CEF2181"/>
    <w:rsid w:val="4CF54BF6"/>
    <w:rsid w:val="4D1328EE"/>
    <w:rsid w:val="4D1F70A5"/>
    <w:rsid w:val="4D227D33"/>
    <w:rsid w:val="4D2E534D"/>
    <w:rsid w:val="4D5E3096"/>
    <w:rsid w:val="4D5F1974"/>
    <w:rsid w:val="4D8861A3"/>
    <w:rsid w:val="4D945433"/>
    <w:rsid w:val="4DC44BA2"/>
    <w:rsid w:val="4DE45A17"/>
    <w:rsid w:val="4DE7449D"/>
    <w:rsid w:val="4DEB3C37"/>
    <w:rsid w:val="4E453CD9"/>
    <w:rsid w:val="4E631752"/>
    <w:rsid w:val="4E747DF5"/>
    <w:rsid w:val="4E806C8D"/>
    <w:rsid w:val="4E965659"/>
    <w:rsid w:val="4EA14836"/>
    <w:rsid w:val="4EAD76A2"/>
    <w:rsid w:val="4ECF11DC"/>
    <w:rsid w:val="4ED31D41"/>
    <w:rsid w:val="4EDA565A"/>
    <w:rsid w:val="4EE358F9"/>
    <w:rsid w:val="4EE44B2B"/>
    <w:rsid w:val="4EE5737E"/>
    <w:rsid w:val="4EE57BD0"/>
    <w:rsid w:val="4F1267CC"/>
    <w:rsid w:val="4F1632C6"/>
    <w:rsid w:val="4F3528AC"/>
    <w:rsid w:val="4F6F6767"/>
    <w:rsid w:val="4F9D237F"/>
    <w:rsid w:val="4FB20CF9"/>
    <w:rsid w:val="4FD5192E"/>
    <w:rsid w:val="4FE0207D"/>
    <w:rsid w:val="4FE70B2E"/>
    <w:rsid w:val="4FF2348C"/>
    <w:rsid w:val="501701DD"/>
    <w:rsid w:val="50192BE6"/>
    <w:rsid w:val="501B7F50"/>
    <w:rsid w:val="504001C8"/>
    <w:rsid w:val="504B4860"/>
    <w:rsid w:val="504B7C4F"/>
    <w:rsid w:val="504E4B5D"/>
    <w:rsid w:val="50511710"/>
    <w:rsid w:val="50547921"/>
    <w:rsid w:val="50755C33"/>
    <w:rsid w:val="507E53C1"/>
    <w:rsid w:val="508703BF"/>
    <w:rsid w:val="50A20CBD"/>
    <w:rsid w:val="50A83D46"/>
    <w:rsid w:val="50CF79F6"/>
    <w:rsid w:val="50E90B1B"/>
    <w:rsid w:val="50EA0CA2"/>
    <w:rsid w:val="51071C7A"/>
    <w:rsid w:val="511D1C57"/>
    <w:rsid w:val="511E70AF"/>
    <w:rsid w:val="5120771F"/>
    <w:rsid w:val="5129024B"/>
    <w:rsid w:val="512A18AC"/>
    <w:rsid w:val="51320CE1"/>
    <w:rsid w:val="513C410F"/>
    <w:rsid w:val="515D758B"/>
    <w:rsid w:val="5168140D"/>
    <w:rsid w:val="516F4FC1"/>
    <w:rsid w:val="51961E05"/>
    <w:rsid w:val="51991EF1"/>
    <w:rsid w:val="519E48BC"/>
    <w:rsid w:val="51A72114"/>
    <w:rsid w:val="51AD25A3"/>
    <w:rsid w:val="51C20383"/>
    <w:rsid w:val="51CC051D"/>
    <w:rsid w:val="51D5078F"/>
    <w:rsid w:val="51E54842"/>
    <w:rsid w:val="51E654F7"/>
    <w:rsid w:val="51EE79C3"/>
    <w:rsid w:val="52286ED2"/>
    <w:rsid w:val="52376D02"/>
    <w:rsid w:val="52383B54"/>
    <w:rsid w:val="52496BC2"/>
    <w:rsid w:val="52505342"/>
    <w:rsid w:val="52580EB6"/>
    <w:rsid w:val="52636F06"/>
    <w:rsid w:val="526B562C"/>
    <w:rsid w:val="527E1F1D"/>
    <w:rsid w:val="52877DDD"/>
    <w:rsid w:val="52917300"/>
    <w:rsid w:val="52A66E3C"/>
    <w:rsid w:val="52BC6543"/>
    <w:rsid w:val="52DE4968"/>
    <w:rsid w:val="52E533F4"/>
    <w:rsid w:val="52E60925"/>
    <w:rsid w:val="52FA59B6"/>
    <w:rsid w:val="530E0DF4"/>
    <w:rsid w:val="534B7193"/>
    <w:rsid w:val="53553AA3"/>
    <w:rsid w:val="536C4767"/>
    <w:rsid w:val="537C22F4"/>
    <w:rsid w:val="53826CB9"/>
    <w:rsid w:val="538D2183"/>
    <w:rsid w:val="539955EE"/>
    <w:rsid w:val="539E1BA6"/>
    <w:rsid w:val="53A037C4"/>
    <w:rsid w:val="53B00811"/>
    <w:rsid w:val="53C554FC"/>
    <w:rsid w:val="53D93902"/>
    <w:rsid w:val="53F5454C"/>
    <w:rsid w:val="5402266C"/>
    <w:rsid w:val="540B181B"/>
    <w:rsid w:val="540C5299"/>
    <w:rsid w:val="540E716A"/>
    <w:rsid w:val="546C1BD5"/>
    <w:rsid w:val="54884FF9"/>
    <w:rsid w:val="549C5132"/>
    <w:rsid w:val="549E593B"/>
    <w:rsid w:val="54B0324D"/>
    <w:rsid w:val="54E0475B"/>
    <w:rsid w:val="55107CA1"/>
    <w:rsid w:val="552F0F9E"/>
    <w:rsid w:val="553D0E81"/>
    <w:rsid w:val="55421425"/>
    <w:rsid w:val="55437A0B"/>
    <w:rsid w:val="555665D2"/>
    <w:rsid w:val="55622F6E"/>
    <w:rsid w:val="556F5E8C"/>
    <w:rsid w:val="557136BD"/>
    <w:rsid w:val="557D37D8"/>
    <w:rsid w:val="55C10AAE"/>
    <w:rsid w:val="55C608F3"/>
    <w:rsid w:val="55D11067"/>
    <w:rsid w:val="55D2648B"/>
    <w:rsid w:val="56223365"/>
    <w:rsid w:val="563B3E82"/>
    <w:rsid w:val="5644139A"/>
    <w:rsid w:val="565D1DDC"/>
    <w:rsid w:val="56744988"/>
    <w:rsid w:val="56856E75"/>
    <w:rsid w:val="56876E58"/>
    <w:rsid w:val="568C0606"/>
    <w:rsid w:val="56BC1029"/>
    <w:rsid w:val="56C151C4"/>
    <w:rsid w:val="56D3142F"/>
    <w:rsid w:val="56D334FB"/>
    <w:rsid w:val="57040B39"/>
    <w:rsid w:val="570B0F73"/>
    <w:rsid w:val="570F5769"/>
    <w:rsid w:val="571E62B6"/>
    <w:rsid w:val="572B5BD8"/>
    <w:rsid w:val="572C7F8D"/>
    <w:rsid w:val="57427602"/>
    <w:rsid w:val="574747C3"/>
    <w:rsid w:val="576553EC"/>
    <w:rsid w:val="57826AF1"/>
    <w:rsid w:val="57980879"/>
    <w:rsid w:val="57A53A3A"/>
    <w:rsid w:val="57AE093C"/>
    <w:rsid w:val="57CC7DE8"/>
    <w:rsid w:val="57D67142"/>
    <w:rsid w:val="57D97C18"/>
    <w:rsid w:val="57DF00FC"/>
    <w:rsid w:val="581A77CA"/>
    <w:rsid w:val="58265262"/>
    <w:rsid w:val="5831536C"/>
    <w:rsid w:val="58405B96"/>
    <w:rsid w:val="586A1B51"/>
    <w:rsid w:val="587A58FE"/>
    <w:rsid w:val="588A4877"/>
    <w:rsid w:val="5893156C"/>
    <w:rsid w:val="58A70C52"/>
    <w:rsid w:val="58AA0798"/>
    <w:rsid w:val="58B31AAA"/>
    <w:rsid w:val="58FB7F43"/>
    <w:rsid w:val="591F046A"/>
    <w:rsid w:val="594A25A3"/>
    <w:rsid w:val="598C2A26"/>
    <w:rsid w:val="599F4A7F"/>
    <w:rsid w:val="59E23C6B"/>
    <w:rsid w:val="59E70DF5"/>
    <w:rsid w:val="59F46AD7"/>
    <w:rsid w:val="59FA2C4D"/>
    <w:rsid w:val="5A02214C"/>
    <w:rsid w:val="5A1355D2"/>
    <w:rsid w:val="5A163608"/>
    <w:rsid w:val="5A1B5827"/>
    <w:rsid w:val="5A2A4FB9"/>
    <w:rsid w:val="5A2D0B18"/>
    <w:rsid w:val="5A5443C6"/>
    <w:rsid w:val="5A5B6AF5"/>
    <w:rsid w:val="5A627F40"/>
    <w:rsid w:val="5A6762ED"/>
    <w:rsid w:val="5A6C08E9"/>
    <w:rsid w:val="5A6F6EAB"/>
    <w:rsid w:val="5A844350"/>
    <w:rsid w:val="5A911E33"/>
    <w:rsid w:val="5AA810A3"/>
    <w:rsid w:val="5ACA4ED2"/>
    <w:rsid w:val="5AD563E4"/>
    <w:rsid w:val="5AD72C19"/>
    <w:rsid w:val="5AE319F2"/>
    <w:rsid w:val="5AF30F60"/>
    <w:rsid w:val="5B033E0E"/>
    <w:rsid w:val="5B5D71C6"/>
    <w:rsid w:val="5B626DAC"/>
    <w:rsid w:val="5B7625DC"/>
    <w:rsid w:val="5B8351E0"/>
    <w:rsid w:val="5BB01F7F"/>
    <w:rsid w:val="5BC41469"/>
    <w:rsid w:val="5BC52781"/>
    <w:rsid w:val="5BF64791"/>
    <w:rsid w:val="5C1A2BFB"/>
    <w:rsid w:val="5C1E47AF"/>
    <w:rsid w:val="5C3F1482"/>
    <w:rsid w:val="5C6403A3"/>
    <w:rsid w:val="5C726C78"/>
    <w:rsid w:val="5CB12E81"/>
    <w:rsid w:val="5CB804E6"/>
    <w:rsid w:val="5CD5091E"/>
    <w:rsid w:val="5CE859B9"/>
    <w:rsid w:val="5CF27905"/>
    <w:rsid w:val="5CF70D4E"/>
    <w:rsid w:val="5D011713"/>
    <w:rsid w:val="5D0204F4"/>
    <w:rsid w:val="5D146BD4"/>
    <w:rsid w:val="5D3E7135"/>
    <w:rsid w:val="5D3E7177"/>
    <w:rsid w:val="5D4376E5"/>
    <w:rsid w:val="5D82680C"/>
    <w:rsid w:val="5D930C8B"/>
    <w:rsid w:val="5DA33DE2"/>
    <w:rsid w:val="5DC22DE9"/>
    <w:rsid w:val="5DE23816"/>
    <w:rsid w:val="5DE26147"/>
    <w:rsid w:val="5DEF3829"/>
    <w:rsid w:val="5E3470B9"/>
    <w:rsid w:val="5E4F4700"/>
    <w:rsid w:val="5E5C7FB5"/>
    <w:rsid w:val="5E63335A"/>
    <w:rsid w:val="5E6E159B"/>
    <w:rsid w:val="5E7B54F5"/>
    <w:rsid w:val="5E9C67A2"/>
    <w:rsid w:val="5EA44384"/>
    <w:rsid w:val="5ED26EE7"/>
    <w:rsid w:val="5F1C6AEB"/>
    <w:rsid w:val="5F2E2B9C"/>
    <w:rsid w:val="5F5E79F4"/>
    <w:rsid w:val="5F5F2786"/>
    <w:rsid w:val="5F643908"/>
    <w:rsid w:val="5F683CCB"/>
    <w:rsid w:val="5F6B7A46"/>
    <w:rsid w:val="5F787CE8"/>
    <w:rsid w:val="5F996735"/>
    <w:rsid w:val="5FBF2F65"/>
    <w:rsid w:val="5FC70736"/>
    <w:rsid w:val="5FC855FC"/>
    <w:rsid w:val="5FEE48E6"/>
    <w:rsid w:val="5FF03249"/>
    <w:rsid w:val="60176C19"/>
    <w:rsid w:val="601C20F5"/>
    <w:rsid w:val="6029465F"/>
    <w:rsid w:val="602A71D2"/>
    <w:rsid w:val="603032EF"/>
    <w:rsid w:val="6034283E"/>
    <w:rsid w:val="60366E8D"/>
    <w:rsid w:val="60810D1C"/>
    <w:rsid w:val="608E137D"/>
    <w:rsid w:val="60920636"/>
    <w:rsid w:val="6092110C"/>
    <w:rsid w:val="60B16C14"/>
    <w:rsid w:val="60C22B1F"/>
    <w:rsid w:val="60C413E4"/>
    <w:rsid w:val="60D3512F"/>
    <w:rsid w:val="60DC5EF8"/>
    <w:rsid w:val="60E218B5"/>
    <w:rsid w:val="60F84B5B"/>
    <w:rsid w:val="60FA4DF7"/>
    <w:rsid w:val="610655AF"/>
    <w:rsid w:val="610B715D"/>
    <w:rsid w:val="6129116E"/>
    <w:rsid w:val="61420820"/>
    <w:rsid w:val="61785C8B"/>
    <w:rsid w:val="61C43236"/>
    <w:rsid w:val="61D94A2D"/>
    <w:rsid w:val="61DB7AD7"/>
    <w:rsid w:val="62045801"/>
    <w:rsid w:val="62053B6B"/>
    <w:rsid w:val="62060E88"/>
    <w:rsid w:val="621714F5"/>
    <w:rsid w:val="6237483E"/>
    <w:rsid w:val="62417289"/>
    <w:rsid w:val="6244482B"/>
    <w:rsid w:val="624B1FB9"/>
    <w:rsid w:val="624D31B9"/>
    <w:rsid w:val="62667D08"/>
    <w:rsid w:val="628F0E1F"/>
    <w:rsid w:val="62A768B8"/>
    <w:rsid w:val="62AF55A1"/>
    <w:rsid w:val="62C456BC"/>
    <w:rsid w:val="62E840F1"/>
    <w:rsid w:val="62FA0E4E"/>
    <w:rsid w:val="630C7063"/>
    <w:rsid w:val="63373B5A"/>
    <w:rsid w:val="63485BB1"/>
    <w:rsid w:val="635B652F"/>
    <w:rsid w:val="635E2C34"/>
    <w:rsid w:val="63794EC9"/>
    <w:rsid w:val="63813153"/>
    <w:rsid w:val="638C7481"/>
    <w:rsid w:val="63984C07"/>
    <w:rsid w:val="63B61C7E"/>
    <w:rsid w:val="63D300EA"/>
    <w:rsid w:val="63DD455C"/>
    <w:rsid w:val="63EE4C48"/>
    <w:rsid w:val="64172D65"/>
    <w:rsid w:val="64205999"/>
    <w:rsid w:val="643137BF"/>
    <w:rsid w:val="6438613E"/>
    <w:rsid w:val="64573D5C"/>
    <w:rsid w:val="646A5DEF"/>
    <w:rsid w:val="646A7159"/>
    <w:rsid w:val="648E24D3"/>
    <w:rsid w:val="64B539FA"/>
    <w:rsid w:val="64B61202"/>
    <w:rsid w:val="64BE27FA"/>
    <w:rsid w:val="64BF6F8C"/>
    <w:rsid w:val="64D51B88"/>
    <w:rsid w:val="65092816"/>
    <w:rsid w:val="6516599A"/>
    <w:rsid w:val="65204056"/>
    <w:rsid w:val="65224A49"/>
    <w:rsid w:val="65281FDB"/>
    <w:rsid w:val="65302769"/>
    <w:rsid w:val="65361EC6"/>
    <w:rsid w:val="65391840"/>
    <w:rsid w:val="653D1756"/>
    <w:rsid w:val="65421822"/>
    <w:rsid w:val="65473C5C"/>
    <w:rsid w:val="654A76B7"/>
    <w:rsid w:val="654C60DE"/>
    <w:rsid w:val="65696D03"/>
    <w:rsid w:val="657449B3"/>
    <w:rsid w:val="65820FD8"/>
    <w:rsid w:val="65A84070"/>
    <w:rsid w:val="65B34AA4"/>
    <w:rsid w:val="65BF3358"/>
    <w:rsid w:val="65E338D2"/>
    <w:rsid w:val="65E55CBC"/>
    <w:rsid w:val="65E87E92"/>
    <w:rsid w:val="65F941D1"/>
    <w:rsid w:val="661235A9"/>
    <w:rsid w:val="662D0BEF"/>
    <w:rsid w:val="662F729B"/>
    <w:rsid w:val="666A7608"/>
    <w:rsid w:val="667A6EE6"/>
    <w:rsid w:val="668A0F28"/>
    <w:rsid w:val="669A4CCC"/>
    <w:rsid w:val="669D67BF"/>
    <w:rsid w:val="66B134E2"/>
    <w:rsid w:val="66B26F36"/>
    <w:rsid w:val="66CD5CAA"/>
    <w:rsid w:val="66E34513"/>
    <w:rsid w:val="66E778EF"/>
    <w:rsid w:val="67052E39"/>
    <w:rsid w:val="67241DEA"/>
    <w:rsid w:val="672A64E7"/>
    <w:rsid w:val="674212A6"/>
    <w:rsid w:val="67463A9A"/>
    <w:rsid w:val="677971C7"/>
    <w:rsid w:val="677F5452"/>
    <w:rsid w:val="678B5E99"/>
    <w:rsid w:val="67B72283"/>
    <w:rsid w:val="67CE0D8B"/>
    <w:rsid w:val="67D35750"/>
    <w:rsid w:val="67D74131"/>
    <w:rsid w:val="67F5749E"/>
    <w:rsid w:val="68086B29"/>
    <w:rsid w:val="680B2D0C"/>
    <w:rsid w:val="68112ADA"/>
    <w:rsid w:val="68585B7B"/>
    <w:rsid w:val="688473B3"/>
    <w:rsid w:val="68884393"/>
    <w:rsid w:val="689E6016"/>
    <w:rsid w:val="68D821CE"/>
    <w:rsid w:val="68DB2D22"/>
    <w:rsid w:val="68E17906"/>
    <w:rsid w:val="68F8732D"/>
    <w:rsid w:val="68FF6768"/>
    <w:rsid w:val="690912FF"/>
    <w:rsid w:val="69177BA8"/>
    <w:rsid w:val="69282272"/>
    <w:rsid w:val="694071DF"/>
    <w:rsid w:val="695B7582"/>
    <w:rsid w:val="69780DC6"/>
    <w:rsid w:val="697C0584"/>
    <w:rsid w:val="697C3D03"/>
    <w:rsid w:val="69B72366"/>
    <w:rsid w:val="69B92E0B"/>
    <w:rsid w:val="69D0719A"/>
    <w:rsid w:val="69E720FD"/>
    <w:rsid w:val="69EA6AEE"/>
    <w:rsid w:val="69EE1271"/>
    <w:rsid w:val="69EE14B6"/>
    <w:rsid w:val="6A1E2774"/>
    <w:rsid w:val="6A266241"/>
    <w:rsid w:val="6A3D6DB9"/>
    <w:rsid w:val="6A487E94"/>
    <w:rsid w:val="6A5C1BD4"/>
    <w:rsid w:val="6A5F68C8"/>
    <w:rsid w:val="6A625F23"/>
    <w:rsid w:val="6A75467F"/>
    <w:rsid w:val="6ABF02C3"/>
    <w:rsid w:val="6AC91067"/>
    <w:rsid w:val="6ACD70D8"/>
    <w:rsid w:val="6AE757D9"/>
    <w:rsid w:val="6AF26B3F"/>
    <w:rsid w:val="6B0E5C56"/>
    <w:rsid w:val="6B1728A1"/>
    <w:rsid w:val="6B21318F"/>
    <w:rsid w:val="6B227870"/>
    <w:rsid w:val="6B256B34"/>
    <w:rsid w:val="6B3B04E6"/>
    <w:rsid w:val="6B752150"/>
    <w:rsid w:val="6B8514C7"/>
    <w:rsid w:val="6B864E06"/>
    <w:rsid w:val="6B9D486E"/>
    <w:rsid w:val="6BA240C1"/>
    <w:rsid w:val="6BBB629B"/>
    <w:rsid w:val="6BD7177F"/>
    <w:rsid w:val="6BD733DF"/>
    <w:rsid w:val="6BDC23EB"/>
    <w:rsid w:val="6BE12735"/>
    <w:rsid w:val="6BE17891"/>
    <w:rsid w:val="6BF07658"/>
    <w:rsid w:val="6C16685D"/>
    <w:rsid w:val="6C215629"/>
    <w:rsid w:val="6C2A67F4"/>
    <w:rsid w:val="6C3D4501"/>
    <w:rsid w:val="6C4E4C8F"/>
    <w:rsid w:val="6C5756BC"/>
    <w:rsid w:val="6C9555B2"/>
    <w:rsid w:val="6C97500C"/>
    <w:rsid w:val="6C9F3D4B"/>
    <w:rsid w:val="6CA64839"/>
    <w:rsid w:val="6CB54864"/>
    <w:rsid w:val="6CB80C14"/>
    <w:rsid w:val="6CD70D14"/>
    <w:rsid w:val="6CE07FA6"/>
    <w:rsid w:val="6CFA0826"/>
    <w:rsid w:val="6CFC0D94"/>
    <w:rsid w:val="6CFC7FBF"/>
    <w:rsid w:val="6D0675F5"/>
    <w:rsid w:val="6D107750"/>
    <w:rsid w:val="6D196865"/>
    <w:rsid w:val="6D301C55"/>
    <w:rsid w:val="6D5C5DD0"/>
    <w:rsid w:val="6D6B0029"/>
    <w:rsid w:val="6D72003A"/>
    <w:rsid w:val="6D7A2579"/>
    <w:rsid w:val="6D8213B2"/>
    <w:rsid w:val="6D8D39E6"/>
    <w:rsid w:val="6D90171F"/>
    <w:rsid w:val="6DC03ADC"/>
    <w:rsid w:val="6DCD563E"/>
    <w:rsid w:val="6DE57AAA"/>
    <w:rsid w:val="6DEF6727"/>
    <w:rsid w:val="6E2B753C"/>
    <w:rsid w:val="6E2D4433"/>
    <w:rsid w:val="6E550CE6"/>
    <w:rsid w:val="6E5D23A8"/>
    <w:rsid w:val="6E770196"/>
    <w:rsid w:val="6E923C5B"/>
    <w:rsid w:val="6EB12410"/>
    <w:rsid w:val="6EB55829"/>
    <w:rsid w:val="6EC407F2"/>
    <w:rsid w:val="6EEC775D"/>
    <w:rsid w:val="6F026624"/>
    <w:rsid w:val="6F1E695C"/>
    <w:rsid w:val="6F26561D"/>
    <w:rsid w:val="6F2E1DF6"/>
    <w:rsid w:val="6F4B6119"/>
    <w:rsid w:val="6F5C42D7"/>
    <w:rsid w:val="6F6F07D1"/>
    <w:rsid w:val="6F74527A"/>
    <w:rsid w:val="6F93528C"/>
    <w:rsid w:val="6F9523CE"/>
    <w:rsid w:val="6F9D7253"/>
    <w:rsid w:val="6FB045A2"/>
    <w:rsid w:val="6FD6177A"/>
    <w:rsid w:val="6FE85434"/>
    <w:rsid w:val="6FF1116C"/>
    <w:rsid w:val="70111815"/>
    <w:rsid w:val="703F473A"/>
    <w:rsid w:val="705931BC"/>
    <w:rsid w:val="70622D96"/>
    <w:rsid w:val="708661F9"/>
    <w:rsid w:val="708A56B9"/>
    <w:rsid w:val="708D7D6E"/>
    <w:rsid w:val="708F56D6"/>
    <w:rsid w:val="709344E7"/>
    <w:rsid w:val="7093653A"/>
    <w:rsid w:val="70996BEF"/>
    <w:rsid w:val="70A341D7"/>
    <w:rsid w:val="70A8400A"/>
    <w:rsid w:val="70FD652D"/>
    <w:rsid w:val="7127158C"/>
    <w:rsid w:val="7135412D"/>
    <w:rsid w:val="713741DD"/>
    <w:rsid w:val="71860F7A"/>
    <w:rsid w:val="71B85AC3"/>
    <w:rsid w:val="71C80364"/>
    <w:rsid w:val="71D8211F"/>
    <w:rsid w:val="71E843C8"/>
    <w:rsid w:val="71F105AE"/>
    <w:rsid w:val="71F8229C"/>
    <w:rsid w:val="71F83D4B"/>
    <w:rsid w:val="72175924"/>
    <w:rsid w:val="721B70D4"/>
    <w:rsid w:val="724A54B2"/>
    <w:rsid w:val="726A5B7C"/>
    <w:rsid w:val="72782169"/>
    <w:rsid w:val="728637B0"/>
    <w:rsid w:val="728C1207"/>
    <w:rsid w:val="72A854C4"/>
    <w:rsid w:val="72AC4DD6"/>
    <w:rsid w:val="72AF2536"/>
    <w:rsid w:val="72AF2EB6"/>
    <w:rsid w:val="72B501B9"/>
    <w:rsid w:val="72DE1825"/>
    <w:rsid w:val="72EC39C8"/>
    <w:rsid w:val="72F108FB"/>
    <w:rsid w:val="731D4A09"/>
    <w:rsid w:val="733B7362"/>
    <w:rsid w:val="734D371F"/>
    <w:rsid w:val="735F6D3B"/>
    <w:rsid w:val="73630713"/>
    <w:rsid w:val="738554F0"/>
    <w:rsid w:val="738934E2"/>
    <w:rsid w:val="73A429A0"/>
    <w:rsid w:val="73C90D71"/>
    <w:rsid w:val="741A2023"/>
    <w:rsid w:val="742C588C"/>
    <w:rsid w:val="742F09B9"/>
    <w:rsid w:val="74494BFE"/>
    <w:rsid w:val="745F303D"/>
    <w:rsid w:val="74615356"/>
    <w:rsid w:val="74617921"/>
    <w:rsid w:val="747003B0"/>
    <w:rsid w:val="74720F64"/>
    <w:rsid w:val="74841061"/>
    <w:rsid w:val="749227B0"/>
    <w:rsid w:val="74933A8C"/>
    <w:rsid w:val="74995A34"/>
    <w:rsid w:val="75090170"/>
    <w:rsid w:val="751B72A6"/>
    <w:rsid w:val="7533039D"/>
    <w:rsid w:val="75377406"/>
    <w:rsid w:val="754125A5"/>
    <w:rsid w:val="7555542C"/>
    <w:rsid w:val="75627476"/>
    <w:rsid w:val="75804761"/>
    <w:rsid w:val="75DC4673"/>
    <w:rsid w:val="75E13959"/>
    <w:rsid w:val="760F0660"/>
    <w:rsid w:val="761667E3"/>
    <w:rsid w:val="76276370"/>
    <w:rsid w:val="762D4FA1"/>
    <w:rsid w:val="764869A5"/>
    <w:rsid w:val="765727AA"/>
    <w:rsid w:val="76593906"/>
    <w:rsid w:val="76880357"/>
    <w:rsid w:val="76911D29"/>
    <w:rsid w:val="76913B8A"/>
    <w:rsid w:val="76BE58B2"/>
    <w:rsid w:val="76CC22E8"/>
    <w:rsid w:val="76CF6AC4"/>
    <w:rsid w:val="76E24248"/>
    <w:rsid w:val="77227B28"/>
    <w:rsid w:val="77427801"/>
    <w:rsid w:val="77716907"/>
    <w:rsid w:val="77765AFE"/>
    <w:rsid w:val="777828DC"/>
    <w:rsid w:val="7798281C"/>
    <w:rsid w:val="77A46596"/>
    <w:rsid w:val="77D76B8C"/>
    <w:rsid w:val="78252AC4"/>
    <w:rsid w:val="78261F13"/>
    <w:rsid w:val="783C7A06"/>
    <w:rsid w:val="783E7FCF"/>
    <w:rsid w:val="78517B68"/>
    <w:rsid w:val="78581C78"/>
    <w:rsid w:val="78683DE8"/>
    <w:rsid w:val="7872306D"/>
    <w:rsid w:val="78762B5D"/>
    <w:rsid w:val="78821A7A"/>
    <w:rsid w:val="788D79B8"/>
    <w:rsid w:val="78964670"/>
    <w:rsid w:val="78B7508F"/>
    <w:rsid w:val="78CC6C21"/>
    <w:rsid w:val="78F07340"/>
    <w:rsid w:val="78FF6D99"/>
    <w:rsid w:val="791B19B9"/>
    <w:rsid w:val="792F3F1C"/>
    <w:rsid w:val="794D6E35"/>
    <w:rsid w:val="795E3E80"/>
    <w:rsid w:val="79667A9F"/>
    <w:rsid w:val="798504CD"/>
    <w:rsid w:val="79892D64"/>
    <w:rsid w:val="799F62BB"/>
    <w:rsid w:val="79A06199"/>
    <w:rsid w:val="79DA5CA6"/>
    <w:rsid w:val="79E70551"/>
    <w:rsid w:val="7A1F205D"/>
    <w:rsid w:val="7A214DA2"/>
    <w:rsid w:val="7A455A1D"/>
    <w:rsid w:val="7A485B5F"/>
    <w:rsid w:val="7A4B1DA6"/>
    <w:rsid w:val="7A5033CF"/>
    <w:rsid w:val="7A554EA9"/>
    <w:rsid w:val="7A7144E8"/>
    <w:rsid w:val="7A8B3296"/>
    <w:rsid w:val="7A8E4E8D"/>
    <w:rsid w:val="7AAB0D1D"/>
    <w:rsid w:val="7AAF21FF"/>
    <w:rsid w:val="7AC7096B"/>
    <w:rsid w:val="7ADA78A7"/>
    <w:rsid w:val="7AEA63AF"/>
    <w:rsid w:val="7AEF105E"/>
    <w:rsid w:val="7AF3475A"/>
    <w:rsid w:val="7B02731A"/>
    <w:rsid w:val="7B241E85"/>
    <w:rsid w:val="7B6E317D"/>
    <w:rsid w:val="7B7D57DF"/>
    <w:rsid w:val="7B7E3E42"/>
    <w:rsid w:val="7B9C6190"/>
    <w:rsid w:val="7B9F459A"/>
    <w:rsid w:val="7BB92188"/>
    <w:rsid w:val="7BD91785"/>
    <w:rsid w:val="7BE610DE"/>
    <w:rsid w:val="7BE77886"/>
    <w:rsid w:val="7BF96ACC"/>
    <w:rsid w:val="7BFF58E2"/>
    <w:rsid w:val="7C063799"/>
    <w:rsid w:val="7C0C50BE"/>
    <w:rsid w:val="7C17293D"/>
    <w:rsid w:val="7C2143FC"/>
    <w:rsid w:val="7C3775FB"/>
    <w:rsid w:val="7C3A31A0"/>
    <w:rsid w:val="7C6649F7"/>
    <w:rsid w:val="7C8E5CB2"/>
    <w:rsid w:val="7C9C656A"/>
    <w:rsid w:val="7CAB2427"/>
    <w:rsid w:val="7CCE251F"/>
    <w:rsid w:val="7CD75486"/>
    <w:rsid w:val="7CE04106"/>
    <w:rsid w:val="7CE10434"/>
    <w:rsid w:val="7CEC2CBC"/>
    <w:rsid w:val="7D1C2233"/>
    <w:rsid w:val="7D1F3959"/>
    <w:rsid w:val="7D221FD2"/>
    <w:rsid w:val="7D3D5CD7"/>
    <w:rsid w:val="7D474EDF"/>
    <w:rsid w:val="7D4D1F8B"/>
    <w:rsid w:val="7D6272D6"/>
    <w:rsid w:val="7DA75A2B"/>
    <w:rsid w:val="7DAE008D"/>
    <w:rsid w:val="7DE27522"/>
    <w:rsid w:val="7E1B00DB"/>
    <w:rsid w:val="7E3B517F"/>
    <w:rsid w:val="7E5E2A42"/>
    <w:rsid w:val="7E6566F3"/>
    <w:rsid w:val="7E6D4A02"/>
    <w:rsid w:val="7E6E1636"/>
    <w:rsid w:val="7E771806"/>
    <w:rsid w:val="7E895587"/>
    <w:rsid w:val="7E9528BE"/>
    <w:rsid w:val="7E9C7E25"/>
    <w:rsid w:val="7EB529DB"/>
    <w:rsid w:val="7ED10B92"/>
    <w:rsid w:val="7EFE5474"/>
    <w:rsid w:val="7F054ED3"/>
    <w:rsid w:val="7F0C4A09"/>
    <w:rsid w:val="7F3E7213"/>
    <w:rsid w:val="7F4647CF"/>
    <w:rsid w:val="7F49727B"/>
    <w:rsid w:val="7F5C11AD"/>
    <w:rsid w:val="7F6F654E"/>
    <w:rsid w:val="7F71407E"/>
    <w:rsid w:val="7F7E7BC8"/>
    <w:rsid w:val="7FD833D8"/>
    <w:rsid w:val="7FFD5C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iPriority="39"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6">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7">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8">
    <w:name w:val="heading 3"/>
    <w:basedOn w:val="1"/>
    <w:next w:val="1"/>
    <w:qFormat/>
    <w:uiPriority w:val="9"/>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rPr>
      <w:rFonts w:ascii="Calibri" w:hAnsi="Calibri"/>
      <w:sz w:val="21"/>
      <w:szCs w:val="22"/>
    </w:rPr>
  </w:style>
  <w:style w:type="paragraph" w:styleId="3">
    <w:name w:val="Body Text"/>
    <w:basedOn w:val="1"/>
    <w:next w:val="4"/>
    <w:qFormat/>
    <w:uiPriority w:val="0"/>
  </w:style>
  <w:style w:type="paragraph" w:customStyle="1" w:styleId="4">
    <w:name w:val="Normal (Web)1"/>
    <w:basedOn w:val="1"/>
    <w:next w:val="5"/>
    <w:qFormat/>
    <w:uiPriority w:val="0"/>
    <w:pPr>
      <w:widowControl/>
    </w:pPr>
    <w:rPr>
      <w:rFonts w:ascii="宋体" w:eastAsia="宋体"/>
      <w:sz w:val="24"/>
      <w:szCs w:val="21"/>
    </w:rPr>
  </w:style>
  <w:style w:type="paragraph" w:customStyle="1" w:styleId="5">
    <w:name w:val="Date1"/>
    <w:basedOn w:val="1"/>
    <w:next w:val="1"/>
    <w:qFormat/>
    <w:uiPriority w:val="0"/>
    <w:pPr>
      <w:ind w:left="2500" w:leftChars="2500"/>
    </w:pPr>
  </w:style>
  <w:style w:type="paragraph" w:styleId="9">
    <w:name w:val="annotation text"/>
    <w:basedOn w:val="1"/>
    <w:qFormat/>
    <w:uiPriority w:val="0"/>
    <w:pPr>
      <w:jc w:val="left"/>
    </w:pPr>
  </w:style>
  <w:style w:type="paragraph" w:styleId="10">
    <w:name w:val="Body Text Indent"/>
    <w:basedOn w:val="1"/>
    <w:qFormat/>
    <w:uiPriority w:val="0"/>
    <w:pPr>
      <w:ind w:firstLine="435" w:firstLineChars="207"/>
    </w:pPr>
    <w:rPr>
      <w:kern w:val="0"/>
      <w:sz w:val="20"/>
    </w:rPr>
  </w:style>
  <w:style w:type="paragraph" w:styleId="11">
    <w:name w:val="toc 3"/>
    <w:basedOn w:val="1"/>
    <w:next w:val="1"/>
    <w:qFormat/>
    <w:uiPriority w:val="0"/>
    <w:pPr>
      <w:ind w:left="840" w:leftChars="400"/>
    </w:pPr>
  </w:style>
  <w:style w:type="paragraph" w:styleId="12">
    <w:name w:val="Plain Text"/>
    <w:basedOn w:val="1"/>
    <w:qFormat/>
    <w:uiPriority w:val="0"/>
    <w:pPr>
      <w:widowControl/>
      <w:spacing w:before="100" w:beforeAutospacing="1" w:after="100" w:afterAutospacing="1"/>
      <w:jc w:val="left"/>
    </w:pPr>
    <w:rPr>
      <w:rFonts w:ascii="ˎ̥" w:hAnsi="ˎ̥"/>
      <w:kern w:val="0"/>
      <w:sz w:val="18"/>
      <w:szCs w:val="18"/>
    </w:rPr>
  </w:style>
  <w:style w:type="paragraph" w:styleId="13">
    <w:name w:val="Body Text Indent 2"/>
    <w:basedOn w:val="1"/>
    <w:qFormat/>
    <w:uiPriority w:val="0"/>
    <w:pPr>
      <w:spacing w:after="120" w:afterLines="0" w:line="480" w:lineRule="auto"/>
      <w:ind w:left="420" w:leftChars="200"/>
    </w:pPr>
  </w:style>
  <w:style w:type="paragraph" w:styleId="14">
    <w:name w:val="footer"/>
    <w:basedOn w:val="1"/>
    <w:next w:val="1"/>
    <w:qFormat/>
    <w:uiPriority w:val="0"/>
    <w:pPr>
      <w:tabs>
        <w:tab w:val="center" w:pos="4153"/>
        <w:tab w:val="right" w:pos="8306"/>
      </w:tabs>
      <w:snapToGrid w:val="0"/>
      <w:jc w:val="left"/>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0"/>
  </w:style>
  <w:style w:type="paragraph" w:styleId="17">
    <w:name w:val="toc 6"/>
    <w:basedOn w:val="1"/>
    <w:next w:val="1"/>
    <w:semiHidden/>
    <w:unhideWhenUsed/>
    <w:qFormat/>
    <w:uiPriority w:val="39"/>
    <w:pPr>
      <w:ind w:left="2100" w:leftChars="1000"/>
    </w:pPr>
  </w:style>
  <w:style w:type="paragraph" w:styleId="18">
    <w:name w:val="toc 2"/>
    <w:basedOn w:val="1"/>
    <w:next w:val="1"/>
    <w:qFormat/>
    <w:uiPriority w:val="0"/>
    <w:pPr>
      <w:ind w:left="210"/>
      <w:jc w:val="left"/>
    </w:pPr>
    <w:rPr>
      <w:smallCaps/>
      <w:sz w:val="20"/>
      <w:szCs w:val="20"/>
    </w:rPr>
  </w:style>
  <w:style w:type="paragraph" w:styleId="19">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20">
    <w:name w:val="Body Text First Indent 2"/>
    <w:basedOn w:val="10"/>
    <w:next w:val="1"/>
    <w:qFormat/>
    <w:uiPriority w:val="0"/>
    <w:pPr>
      <w:spacing w:after="120"/>
      <w:ind w:left="420" w:leftChars="200" w:firstLine="420"/>
    </w:pPr>
    <w:rPr>
      <w:sz w:val="21"/>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Hyperlink"/>
    <w:basedOn w:val="23"/>
    <w:unhideWhenUsed/>
    <w:qFormat/>
    <w:uiPriority w:val="99"/>
    <w:rPr>
      <w:color w:val="0000FF"/>
      <w:u w:val="single"/>
    </w:rPr>
  </w:style>
  <w:style w:type="character" w:styleId="26">
    <w:name w:val="annotation reference"/>
    <w:basedOn w:val="23"/>
    <w:qFormat/>
    <w:uiPriority w:val="0"/>
    <w:rPr>
      <w:sz w:val="21"/>
      <w:szCs w:val="21"/>
    </w:rPr>
  </w:style>
  <w:style w:type="paragraph" w:customStyle="1" w:styleId="27">
    <w:name w:val="Default"/>
    <w:qFormat/>
    <w:uiPriority w:val="0"/>
    <w:pPr>
      <w:widowControl w:val="0"/>
      <w:autoSpaceDE w:val="0"/>
      <w:autoSpaceDN w:val="0"/>
      <w:adjustRightInd w:val="0"/>
    </w:pPr>
    <w:rPr>
      <w:rFonts w:asciiTheme="minorHAnsi" w:hAnsiTheme="minorHAnsi" w:eastAsiaTheme="minorEastAsia" w:cstheme="minorBidi"/>
      <w:color w:val="000000"/>
      <w:sz w:val="24"/>
      <w:szCs w:val="24"/>
      <w:lang w:val="en-US" w:eastAsia="zh-CN" w:bidi="ar-SA"/>
    </w:rPr>
  </w:style>
  <w:style w:type="paragraph" w:customStyle="1" w:styleId="28">
    <w:name w:val="xl27"/>
    <w:basedOn w:val="1"/>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kern w:val="0"/>
      <w:sz w:val="24"/>
      <w:szCs w:val="20"/>
    </w:rPr>
  </w:style>
  <w:style w:type="paragraph" w:customStyle="1" w:styleId="29">
    <w:name w:val="表格"/>
    <w:basedOn w:val="30"/>
    <w:next w:val="1"/>
    <w:qFormat/>
    <w:uiPriority w:val="0"/>
    <w:pPr>
      <w:spacing w:line="240" w:lineRule="auto"/>
    </w:pPr>
  </w:style>
  <w:style w:type="paragraph" w:customStyle="1" w:styleId="30">
    <w:name w:val="表格标题"/>
    <w:basedOn w:val="1"/>
    <w:qFormat/>
    <w:uiPriority w:val="0"/>
    <w:pPr>
      <w:jc w:val="center"/>
    </w:pPr>
    <w:rPr>
      <w:sz w:val="21"/>
    </w:rPr>
  </w:style>
  <w:style w:type="paragraph" w:customStyle="1" w:styleId="31">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32">
    <w:name w:val="Body Text Indent 2"/>
    <w:basedOn w:val="1"/>
    <w:qFormat/>
    <w:uiPriority w:val="0"/>
    <w:pPr>
      <w:widowControl w:val="0"/>
      <w:snapToGrid/>
      <w:spacing w:after="0" w:afterLines="0" w:line="312" w:lineRule="atLeast"/>
      <w:ind w:firstLine="570"/>
      <w:jc w:val="distribute"/>
      <w:textAlignment w:val="baseline"/>
    </w:pPr>
    <w:rPr>
      <w:rFonts w:ascii="Times New Roman" w:hAnsi="Times New Roman" w:eastAsia="仿宋_GB2312" w:cs="Times New Roman"/>
      <w:sz w:val="28"/>
      <w:szCs w:val="20"/>
    </w:rPr>
  </w:style>
  <w:style w:type="paragraph" w:customStyle="1" w:styleId="33">
    <w:name w:val="WPSOffice手动目录 1"/>
    <w:qFormat/>
    <w:uiPriority w:val="0"/>
    <w:pPr>
      <w:ind w:leftChars="0"/>
    </w:pPr>
    <w:rPr>
      <w:rFonts w:ascii="Times New Roman" w:hAnsi="Times New Roman" w:eastAsia="宋体" w:cs="Times New Roman"/>
      <w:sz w:val="20"/>
      <w:szCs w:val="20"/>
    </w:rPr>
  </w:style>
  <w:style w:type="paragraph" w:customStyle="1" w:styleId="34">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表中的文字"/>
    <w:basedOn w:val="36"/>
    <w:qFormat/>
    <w:uiPriority w:val="0"/>
    <w:pPr>
      <w:snapToGrid w:val="0"/>
      <w:spacing w:line="440" w:lineRule="exact"/>
      <w:ind w:firstLine="0" w:firstLineChars="0"/>
    </w:pPr>
    <w:rPr>
      <w:rFonts w:ascii="Times New Roman" w:hAnsi="Times New Roman" w:eastAsia="仿宋_GB2312"/>
      <w:bCs/>
      <w:color w:val="000000"/>
      <w:szCs w:val="21"/>
    </w:rPr>
  </w:style>
  <w:style w:type="paragraph" w:customStyle="1" w:styleId="36">
    <w:name w:val="表中文字"/>
    <w:basedOn w:val="1"/>
    <w:link w:val="37"/>
    <w:qFormat/>
    <w:uiPriority w:val="0"/>
    <w:pPr>
      <w:spacing w:line="240" w:lineRule="auto"/>
      <w:jc w:val="center"/>
    </w:pPr>
    <w:rPr>
      <w:rFonts w:ascii="Calibri" w:hAnsi="Calibri" w:eastAsia="宋体"/>
      <w:kern w:val="0"/>
      <w:sz w:val="20"/>
      <w:lang w:val="zh-CN" w:eastAsia="zh-CN"/>
    </w:rPr>
  </w:style>
  <w:style w:type="character" w:customStyle="1" w:styleId="37">
    <w:name w:val="表中文字 Char"/>
    <w:basedOn w:val="23"/>
    <w:link w:val="36"/>
    <w:qFormat/>
    <w:uiPriority w:val="0"/>
    <w:rPr>
      <w:rFonts w:ascii="Calibri" w:hAnsi="Calibri" w:eastAsia="宋体"/>
      <w:kern w:val="0"/>
      <w:sz w:val="20"/>
      <w:lang w:val="zh-CN" w:eastAsia="zh-CN"/>
    </w:rPr>
  </w:style>
  <w:style w:type="paragraph" w:customStyle="1" w:styleId="38">
    <w:name w:val="【表中文字】"/>
    <w:basedOn w:val="1"/>
    <w:qFormat/>
    <w:uiPriority w:val="0"/>
    <w:pPr>
      <w:adjustRightInd/>
      <w:snapToGrid/>
      <w:spacing w:line="240" w:lineRule="auto"/>
      <w:ind w:firstLine="0" w:firstLineChars="0"/>
      <w:jc w:val="center"/>
    </w:pPr>
    <w:rPr>
      <w:sz w:val="21"/>
    </w:rPr>
  </w:style>
  <w:style w:type="paragraph" w:customStyle="1" w:styleId="39">
    <w:name w:val="报告正文"/>
    <w:basedOn w:val="1"/>
    <w:qFormat/>
    <w:uiPriority w:val="0"/>
    <w:pPr>
      <w:adjustRightInd w:val="0"/>
      <w:spacing w:line="360" w:lineRule="auto"/>
      <w:ind w:firstLine="482"/>
      <w:textAlignment w:val="baseline"/>
    </w:pPr>
    <w:rPr>
      <w:rFonts w:ascii="Times New Roman" w:hAnsi="Times New Roman"/>
      <w:snapToGrid/>
      <w:kern w:val="24"/>
      <w:sz w:val="24"/>
      <w:szCs w:val="21"/>
    </w:rPr>
  </w:style>
  <w:style w:type="paragraph" w:customStyle="1" w:styleId="40">
    <w:name w:val="标题4"/>
    <w:basedOn w:val="1"/>
    <w:qFormat/>
    <w:uiPriority w:val="0"/>
    <w:pPr>
      <w:widowControl/>
      <w:spacing w:line="425" w:lineRule="atLeast"/>
      <w:ind w:left="51" w:leftChars="51" w:right="59" w:rightChars="59" w:firstLine="100" w:firstLineChars="100"/>
      <w:textAlignment w:val="baseline"/>
    </w:pPr>
    <w:rPr>
      <w:b/>
      <w:sz w:val="28"/>
      <w:szCs w:val="24"/>
      <w:u w:val="none" w:color="000000"/>
    </w:rPr>
  </w:style>
  <w:style w:type="character" w:customStyle="1" w:styleId="41">
    <w:name w:val="font11"/>
    <w:basedOn w:val="23"/>
    <w:qFormat/>
    <w:uiPriority w:val="0"/>
    <w:rPr>
      <w:rFonts w:hint="default" w:ascii="Times New Roman" w:hAnsi="Times New Roman" w:cs="Times New Roman"/>
      <w:color w:val="000000"/>
      <w:sz w:val="21"/>
      <w:szCs w:val="21"/>
      <w:u w:val="none"/>
    </w:rPr>
  </w:style>
  <w:style w:type="paragraph" w:customStyle="1" w:styleId="42">
    <w:name w:val="内容"/>
    <w:basedOn w:val="1"/>
    <w:qFormat/>
    <w:uiPriority w:val="0"/>
    <w:pPr>
      <w:spacing w:before="156" w:beforeLines="50" w:after="156" w:afterLines="50"/>
      <w:ind w:firstLine="200" w:firstLineChars="200"/>
    </w:pPr>
    <w:rPr>
      <w:rFonts w:cs="Times New Roman"/>
      <w:color w:val="000000"/>
      <w:sz w:val="24"/>
    </w:rPr>
  </w:style>
  <w:style w:type="paragraph" w:customStyle="1" w:styleId="43">
    <w:name w:val="表文"/>
    <w:basedOn w:val="1"/>
    <w:qFormat/>
    <w:uiPriority w:val="0"/>
    <w:pPr>
      <w:spacing w:line="240" w:lineRule="auto"/>
      <w:jc w:val="center"/>
    </w:pPr>
    <w:rPr>
      <w:szCs w:val="20"/>
    </w:rPr>
  </w:style>
  <w:style w:type="paragraph" w:customStyle="1" w:styleId="44">
    <w:name w:val="报告书表格"/>
    <w:basedOn w:val="1"/>
    <w:qFormat/>
    <w:uiPriority w:val="0"/>
    <w:pPr>
      <w:adjustRightInd w:val="0"/>
      <w:spacing w:before="60" w:after="60" w:line="240" w:lineRule="atLeast"/>
      <w:jc w:val="center"/>
    </w:pPr>
    <w:rPr>
      <w:kern w:val="0"/>
      <w:sz w:val="21"/>
      <w:szCs w:val="20"/>
    </w:rPr>
  </w:style>
  <w:style w:type="character" w:customStyle="1" w:styleId="45">
    <w:name w:val="Char Char1"/>
    <w:qFormat/>
    <w:uiPriority w:val="0"/>
    <w:rPr>
      <w:rFonts w:hint="eastAsia" w:ascii="宋体" w:hAnsi="宋体" w:eastAsia="宋体"/>
      <w:kern w:val="2"/>
      <w:sz w:val="28"/>
      <w:lang w:val="en-US" w:eastAsia="zh-CN"/>
    </w:rPr>
  </w:style>
  <w:style w:type="paragraph" w:customStyle="1" w:styleId="46">
    <w:name w:val="【正文】"/>
    <w:basedOn w:val="1"/>
    <w:qFormat/>
    <w:uiPriority w:val="0"/>
    <w:pPr>
      <w:adjustRightInd/>
      <w:snapToGrid/>
      <w:spacing w:line="500" w:lineRule="exact"/>
    </w:pPr>
  </w:style>
  <w:style w:type="paragraph" w:customStyle="1" w:styleId="47">
    <w:name w:val="表中文字（工大）"/>
    <w:basedOn w:val="1"/>
    <w:qFormat/>
    <w:uiPriority w:val="0"/>
    <w:pPr>
      <w:spacing w:line="440" w:lineRule="exact"/>
      <w:jc w:val="center"/>
    </w:pPr>
    <w:rPr>
      <w:szCs w:val="20"/>
    </w:rPr>
  </w:style>
  <w:style w:type="paragraph" w:customStyle="1" w:styleId="48">
    <w:name w:val="表头1"/>
    <w:basedOn w:val="1"/>
    <w:next w:val="1"/>
    <w:qFormat/>
    <w:uiPriority w:val="0"/>
    <w:pPr>
      <w:tabs>
        <w:tab w:val="left" w:pos="605"/>
      </w:tabs>
      <w:adjustRightInd w:val="0"/>
      <w:snapToGrid w:val="0"/>
      <w:spacing w:line="360" w:lineRule="auto"/>
      <w:jc w:val="center"/>
    </w:pPr>
    <w:rPr>
      <w:sz w:val="24"/>
      <w:szCs w:val="28"/>
    </w:rPr>
  </w:style>
  <w:style w:type="paragraph" w:customStyle="1" w:styleId="49">
    <w:name w:val="表头"/>
    <w:qFormat/>
    <w:uiPriority w:val="0"/>
    <w:pPr>
      <w:autoSpaceDE w:val="0"/>
      <w:autoSpaceDN w:val="0"/>
      <w:spacing w:line="360" w:lineRule="auto"/>
      <w:jc w:val="center"/>
    </w:pPr>
    <w:rPr>
      <w:rFonts w:eastAsia="黑体" w:cs="Times New Roman" w:asciiTheme="minorAscii" w:hAnsiTheme="minorAscii"/>
      <w:color w:val="000000"/>
      <w:sz w:val="24"/>
      <w:szCs w:val="24"/>
    </w:rPr>
  </w:style>
  <w:style w:type="paragraph" w:customStyle="1" w:styleId="50">
    <w:name w:val="表中字"/>
    <w:qFormat/>
    <w:uiPriority w:val="0"/>
    <w:pPr>
      <w:jc w:val="center"/>
    </w:pPr>
    <w:rPr>
      <w:rFonts w:ascii="Times New Roman" w:hAnsi="Times New Roman" w:eastAsia="宋体" w:cs="Times New Roman"/>
      <w:kern w:val="2"/>
      <w:sz w:val="21"/>
      <w:szCs w:val="22"/>
      <w:lang w:val="zh-CN" w:bidi="ar-SA"/>
    </w:rPr>
  </w:style>
  <w:style w:type="character" w:customStyle="1" w:styleId="51">
    <w:name w:val="font81"/>
    <w:basedOn w:val="23"/>
    <w:qFormat/>
    <w:uiPriority w:val="0"/>
    <w:rPr>
      <w:rFonts w:hint="eastAsia" w:ascii="宋体" w:hAnsi="宋体" w:eastAsia="宋体" w:cs="宋体"/>
      <w:color w:val="000000"/>
      <w:sz w:val="21"/>
      <w:szCs w:val="21"/>
      <w:u w:val="none"/>
    </w:rPr>
  </w:style>
  <w:style w:type="character" w:customStyle="1" w:styleId="52">
    <w:name w:val="font21"/>
    <w:basedOn w:val="23"/>
    <w:qFormat/>
    <w:uiPriority w:val="0"/>
    <w:rPr>
      <w:rFonts w:hint="eastAsia" w:ascii="宋体" w:hAnsi="宋体" w:eastAsia="宋体" w:cs="宋体"/>
      <w:color w:val="000000"/>
      <w:sz w:val="21"/>
      <w:szCs w:val="21"/>
      <w:u w:val="none"/>
      <w:vertAlign w:val="superscript"/>
    </w:rPr>
  </w:style>
  <w:style w:type="character" w:customStyle="1" w:styleId="53">
    <w:name w:val="font41"/>
    <w:basedOn w:val="23"/>
    <w:qFormat/>
    <w:uiPriority w:val="0"/>
    <w:rPr>
      <w:rFonts w:hint="eastAsia" w:ascii="宋体" w:hAnsi="宋体" w:eastAsia="宋体" w:cs="宋体"/>
      <w:color w:val="000000"/>
      <w:sz w:val="21"/>
      <w:szCs w:val="21"/>
      <w:u w:val="none"/>
      <w:vertAlign w:val="subscript"/>
    </w:rPr>
  </w:style>
  <w:style w:type="paragraph" w:customStyle="1" w:styleId="54">
    <w:name w:val="正文格式"/>
    <w:basedOn w:val="1"/>
    <w:qFormat/>
    <w:uiPriority w:val="0"/>
    <w:pPr>
      <w:spacing w:line="360" w:lineRule="auto"/>
      <w:ind w:firstLine="482"/>
    </w:pPr>
    <w:rPr>
      <w:sz w:val="24"/>
      <w:szCs w:val="24"/>
    </w:rPr>
  </w:style>
  <w:style w:type="paragraph" w:customStyle="1" w:styleId="55">
    <w:name w:val="_Style 4"/>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paragraph" w:customStyle="1" w:styleId="56">
    <w:name w:val="表"/>
    <w:qFormat/>
    <w:uiPriority w:val="0"/>
    <w:pPr>
      <w:spacing w:line="440" w:lineRule="exact"/>
      <w:ind w:firstLine="200" w:firstLineChars="200"/>
      <w:jc w:val="both"/>
    </w:pPr>
    <w:rPr>
      <w:rFonts w:ascii="Times New Roman" w:hAnsi="Times New Roman" w:eastAsia="宋体" w:cs="Times New Roman"/>
      <w:sz w:val="24"/>
      <w:szCs w:val="22"/>
      <w:lang w:val="en-US" w:eastAsia="zh-CN" w:bidi="ar-SA"/>
    </w:rPr>
  </w:style>
  <w:style w:type="paragraph" w:customStyle="1" w:styleId="57">
    <w:name w:val="huigel-正文"/>
    <w:basedOn w:val="1"/>
    <w:qFormat/>
    <w:uiPriority w:val="0"/>
    <w:pPr>
      <w:adjustRightInd w:val="0"/>
      <w:snapToGrid w:val="0"/>
      <w:jc w:val="left"/>
    </w:pPr>
    <w:rPr>
      <w:rFonts w:ascii="宋体" w:hAnsi="宋体"/>
      <w:sz w:val="28"/>
      <w:szCs w:val="28"/>
    </w:rPr>
  </w:style>
  <w:style w:type="paragraph" w:customStyle="1" w:styleId="58">
    <w:name w:val="【表中文字】-"/>
    <w:basedOn w:val="1"/>
    <w:qFormat/>
    <w:uiPriority w:val="0"/>
    <w:pPr>
      <w:adjustRightInd w:val="0"/>
      <w:snapToGrid w:val="0"/>
      <w:spacing w:line="240" w:lineRule="auto"/>
      <w:ind w:firstLine="0" w:firstLineChars="0"/>
      <w:jc w:val="center"/>
    </w:pPr>
    <w:rPr>
      <w:rFonts w:asciiTheme="minorHAnsi" w:hAnsiTheme="minorHAnsi" w:eastAsiaTheme="minorEastAsia" w:cstheme="minorBidi"/>
      <w:sz w:val="18"/>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12949</Words>
  <Characters>16340</Characters>
  <Lines>0</Lines>
  <Paragraphs>0</Paragraphs>
  <TotalTime>19</TotalTime>
  <ScaleCrop>false</ScaleCrop>
  <LinksUpToDate>false</LinksUpToDate>
  <CharactersWithSpaces>16715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Prejudice.</cp:lastModifiedBy>
  <cp:lastPrinted>2022-03-24T08:37:00Z</cp:lastPrinted>
  <dcterms:modified xsi:type="dcterms:W3CDTF">2023-09-07T08:14:20Z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86788B7D066A4B65B7DF55CA14503AE7</vt:lpwstr>
  </property>
</Properties>
</file>