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spacing w:beforeAutospacing="0" w:afterAutospacing="0"/>
        <w:ind w:left="0" w:leftChars="0" w:right="0" w:rightChars="0"/>
        <w:rPr>
          <w:rFonts w:hint="default" w:ascii="Times New Roman" w:hAnsi="Times New Roman" w:eastAsia="宋体" w:cs="Times New Roman"/>
          <w:color w:val="auto"/>
          <w:sz w:val="36"/>
          <w:szCs w:val="36"/>
        </w:rPr>
      </w:pPr>
    </w:p>
    <w:p>
      <w:pPr>
        <w:bidi w:val="0"/>
        <w:spacing w:beforeAutospacing="0" w:afterAutospacing="0"/>
        <w:ind w:left="0" w:leftChars="0" w:right="0" w:rightChars="0"/>
        <w:rPr>
          <w:rFonts w:hint="default" w:ascii="Times New Roman" w:hAnsi="Times New Roman" w:eastAsia="宋体" w:cs="Times New Roman"/>
          <w:color w:val="auto"/>
          <w:sz w:val="36"/>
          <w:szCs w:val="36"/>
        </w:rPr>
      </w:pPr>
    </w:p>
    <w:p>
      <w:pPr>
        <w:bidi w:val="0"/>
        <w:spacing w:beforeAutospacing="0" w:afterAutospacing="0"/>
        <w:ind w:left="0" w:leftChars="0" w:right="0" w:rightChars="0"/>
        <w:rPr>
          <w:rFonts w:hint="default" w:ascii="Times New Roman" w:hAnsi="Times New Roman" w:eastAsia="宋体" w:cs="Times New Roman"/>
          <w:color w:val="auto"/>
          <w:sz w:val="36"/>
          <w:szCs w:val="36"/>
        </w:rPr>
      </w:pPr>
    </w:p>
    <w:p>
      <w:pPr>
        <w:bidi w:val="0"/>
        <w:spacing w:beforeAutospacing="0" w:afterAutospacing="0"/>
        <w:ind w:left="0" w:leftChars="0" w:right="0" w:rightChars="0"/>
        <w:rPr>
          <w:rFonts w:hint="default" w:ascii="Times New Roman" w:hAnsi="Times New Roman" w:eastAsia="宋体" w:cs="Times New Roman"/>
          <w:color w:val="auto"/>
          <w:sz w:val="36"/>
          <w:szCs w:val="36"/>
        </w:rPr>
      </w:pPr>
    </w:p>
    <w:p>
      <w:pPr>
        <w:bidi w:val="0"/>
        <w:spacing w:beforeAutospacing="0" w:afterAutospacing="0"/>
        <w:ind w:left="0" w:leftChars="0" w:right="0" w:rightChars="0"/>
        <w:rPr>
          <w:rFonts w:hint="default" w:ascii="Times New Roman" w:hAnsi="Times New Roman" w:eastAsia="宋体" w:cs="Times New Roman"/>
          <w:color w:val="auto"/>
          <w:sz w:val="36"/>
          <w:szCs w:val="36"/>
        </w:rPr>
      </w:pPr>
    </w:p>
    <w:p>
      <w:pPr>
        <w:bidi w:val="0"/>
        <w:adjustRightInd w:val="0"/>
        <w:snapToGrid w:val="0"/>
        <w:spacing w:beforeAutospacing="0" w:afterAutospacing="0"/>
        <w:ind w:left="0" w:leftChars="0" w:right="0" w:rightChars="0"/>
        <w:jc w:val="center"/>
        <w:outlineLvl w:val="0"/>
        <w:rPr>
          <w:rFonts w:hint="default" w:ascii="Times New Roman" w:hAnsi="Times New Roman" w:eastAsia="宋体" w:cs="Times New Roman"/>
          <w:bCs/>
          <w:color w:val="auto"/>
          <w:sz w:val="72"/>
          <w:szCs w:val="72"/>
        </w:rPr>
      </w:pPr>
      <w:bookmarkStart w:id="0" w:name="_Toc28869"/>
      <w:bookmarkStart w:id="1" w:name="_Toc2516"/>
      <w:bookmarkStart w:id="2" w:name="_Toc3733"/>
      <w:bookmarkStart w:id="3" w:name="_Toc5577"/>
      <w:bookmarkStart w:id="4" w:name="_Toc12619"/>
      <w:bookmarkStart w:id="5" w:name="_Toc26373"/>
      <w:bookmarkStart w:id="6" w:name="_Toc30089"/>
      <w:bookmarkStart w:id="7" w:name="_Toc85913389"/>
      <w:r>
        <w:rPr>
          <w:rFonts w:hint="default" w:ascii="Times New Roman" w:hAnsi="Times New Roman" w:eastAsia="宋体" w:cs="Times New Roman"/>
          <w:bCs/>
          <w:color w:val="auto"/>
          <w:sz w:val="72"/>
          <w:szCs w:val="72"/>
        </w:rPr>
        <w:t>建设项目环境影响报告表</w:t>
      </w:r>
      <w:bookmarkEnd w:id="0"/>
      <w:bookmarkEnd w:id="1"/>
      <w:bookmarkEnd w:id="2"/>
      <w:bookmarkEnd w:id="3"/>
      <w:bookmarkEnd w:id="4"/>
      <w:bookmarkEnd w:id="5"/>
      <w:bookmarkEnd w:id="6"/>
      <w:bookmarkEnd w:id="7"/>
    </w:p>
    <w:p>
      <w:pPr>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48"/>
          <w:szCs w:val="48"/>
        </w:rPr>
      </w:pPr>
      <w:r>
        <w:rPr>
          <w:rFonts w:hint="default" w:ascii="Times New Roman" w:hAnsi="Times New Roman" w:eastAsia="宋体" w:cs="Times New Roman"/>
          <w:bCs/>
          <w:color w:val="auto"/>
          <w:sz w:val="48"/>
          <w:szCs w:val="48"/>
        </w:rPr>
        <w:t>（污染影响类）</w:t>
      </w:r>
    </w:p>
    <w:p>
      <w:pPr>
        <w:bidi w:val="0"/>
        <w:adjustRightInd w:val="0"/>
        <w:snapToGrid w:val="0"/>
        <w:spacing w:beforeAutospacing="0" w:afterAutospacing="0" w:line="288" w:lineRule="auto"/>
        <w:ind w:left="0" w:leftChars="0" w:right="0" w:rightChars="0"/>
        <w:jc w:val="center"/>
        <w:outlineLvl w:val="0"/>
        <w:rPr>
          <w:rFonts w:hint="default" w:ascii="Times New Roman" w:hAnsi="Times New Roman" w:eastAsia="宋体" w:cs="Times New Roman"/>
          <w:color w:val="auto"/>
          <w:kern w:val="44"/>
          <w:sz w:val="44"/>
          <w:szCs w:val="44"/>
        </w:rPr>
      </w:pPr>
    </w:p>
    <w:p>
      <w:pPr>
        <w:bidi w:val="0"/>
        <w:spacing w:beforeAutospacing="0" w:afterAutospacing="0"/>
        <w:ind w:left="0" w:leftChars="0" w:right="0" w:rightChars="0"/>
        <w:jc w:val="center"/>
        <w:rPr>
          <w:rFonts w:hint="default" w:ascii="Times New Roman" w:hAnsi="Times New Roman" w:eastAsia="宋体" w:cs="Times New Roman"/>
          <w:color w:val="auto"/>
          <w:sz w:val="52"/>
          <w:szCs w:val="52"/>
        </w:rPr>
      </w:pPr>
    </w:p>
    <w:p>
      <w:pPr>
        <w:bidi w:val="0"/>
        <w:spacing w:beforeAutospacing="0" w:afterAutospacing="0"/>
        <w:ind w:right="0" w:rightChars="0"/>
        <w:jc w:val="center"/>
        <w:rPr>
          <w:rFonts w:hint="default" w:ascii="Times New Roman" w:hAnsi="Times New Roman" w:eastAsia="宋体" w:cs="Times New Roman"/>
          <w:color w:val="auto"/>
          <w:sz w:val="44"/>
          <w:szCs w:val="44"/>
        </w:rPr>
      </w:pPr>
    </w:p>
    <w:p>
      <w:pPr>
        <w:bidi w:val="0"/>
        <w:spacing w:beforeAutospacing="0" w:afterAutospacing="0"/>
        <w:ind w:right="0" w:rightChars="0"/>
        <w:jc w:val="center"/>
        <w:rPr>
          <w:rFonts w:hint="default" w:ascii="Times New Roman" w:hAnsi="Times New Roman" w:eastAsia="宋体" w:cs="Times New Roman"/>
          <w:color w:val="auto"/>
          <w:sz w:val="44"/>
          <w:szCs w:val="44"/>
        </w:rPr>
      </w:pPr>
    </w:p>
    <w:p>
      <w:pPr>
        <w:bidi w:val="0"/>
        <w:spacing w:beforeAutospacing="0" w:afterAutospacing="0"/>
        <w:ind w:right="0" w:rightChars="0"/>
        <w:jc w:val="center"/>
        <w:rPr>
          <w:rFonts w:hint="default" w:ascii="Times New Roman" w:hAnsi="Times New Roman" w:eastAsia="宋体" w:cs="Times New Roman"/>
          <w:color w:val="auto"/>
          <w:sz w:val="44"/>
          <w:szCs w:val="44"/>
        </w:rPr>
      </w:pPr>
    </w:p>
    <w:p>
      <w:pPr>
        <w:bidi w:val="0"/>
        <w:spacing w:beforeAutospacing="0" w:afterAutospacing="0"/>
        <w:ind w:left="0" w:leftChars="0" w:right="0" w:rightChars="0" w:firstLine="1040"/>
        <w:jc w:val="center"/>
        <w:rPr>
          <w:rFonts w:hint="default" w:ascii="Times New Roman" w:hAnsi="Times New Roman" w:eastAsia="宋体" w:cs="Times New Roman"/>
          <w:color w:val="auto"/>
          <w:sz w:val="44"/>
          <w:szCs w:val="44"/>
        </w:rPr>
      </w:pPr>
    </w:p>
    <w:p>
      <w:pPr>
        <w:keepNext w:val="0"/>
        <w:keepLines w:val="0"/>
        <w:pageBreakBefore w:val="0"/>
        <w:widowControl w:val="0"/>
        <w:kinsoku/>
        <w:wordWrap/>
        <w:overflowPunct/>
        <w:topLinePunct w:val="0"/>
        <w:autoSpaceDE/>
        <w:autoSpaceDN/>
        <w:bidi w:val="0"/>
        <w:adjustRightInd w:val="0"/>
        <w:snapToGrid w:val="0"/>
        <w:spacing w:beforeAutospacing="0" w:afterAutospacing="0" w:line="288" w:lineRule="auto"/>
        <w:ind w:right="0" w:rightChars="0"/>
        <w:textAlignment w:val="auto"/>
        <w:rPr>
          <w:rFonts w:hint="default" w:ascii="Times New Roman" w:hAnsi="Times New Roman" w:eastAsia="宋体" w:cs="Times New Roman"/>
          <w:color w:val="auto"/>
          <w:sz w:val="36"/>
          <w:szCs w:val="36"/>
          <w:lang w:val="en-US" w:eastAsia="zh-CN"/>
        </w:rPr>
      </w:pPr>
      <w:r>
        <w:rPr>
          <w:rFonts w:hint="default" w:ascii="Times New Roman" w:hAnsi="Times New Roman" w:eastAsia="宋体" w:cs="Times New Roman"/>
          <w:color w:val="auto"/>
          <w:sz w:val="36"/>
          <w:szCs w:val="36"/>
        </w:rPr>
        <w:t>项目名称：</w:t>
      </w:r>
      <w:r>
        <w:rPr>
          <w:rFonts w:hint="default" w:ascii="Times New Roman" w:hAnsi="Times New Roman" w:eastAsia="宋体" w:cs="Times New Roman"/>
          <w:color w:val="auto"/>
          <w:sz w:val="36"/>
          <w:szCs w:val="36"/>
          <w:u w:val="single"/>
        </w:rPr>
        <w:t>哈尔滨</w:t>
      </w:r>
      <w:r>
        <w:rPr>
          <w:rFonts w:hint="eastAsia" w:cs="Times New Roman"/>
          <w:color w:val="auto"/>
          <w:sz w:val="36"/>
          <w:szCs w:val="36"/>
          <w:u w:val="single"/>
          <w:lang w:val="en-US" w:eastAsia="zh-CN"/>
        </w:rPr>
        <w:t>众诚</w:t>
      </w:r>
      <w:r>
        <w:rPr>
          <w:rFonts w:hint="default" w:ascii="Times New Roman" w:hAnsi="Times New Roman" w:eastAsia="宋体" w:cs="Times New Roman"/>
          <w:color w:val="auto"/>
          <w:sz w:val="36"/>
          <w:szCs w:val="36"/>
          <w:u w:val="single"/>
        </w:rPr>
        <w:t>牧</w:t>
      </w:r>
      <w:r>
        <w:rPr>
          <w:rFonts w:hint="eastAsia" w:cs="Times New Roman"/>
          <w:color w:val="auto"/>
          <w:sz w:val="36"/>
          <w:szCs w:val="36"/>
          <w:u w:val="single"/>
          <w:lang w:val="en-US" w:eastAsia="zh-CN"/>
        </w:rPr>
        <w:t>业</w:t>
      </w:r>
      <w:r>
        <w:rPr>
          <w:rFonts w:hint="default" w:ascii="Times New Roman" w:hAnsi="Times New Roman" w:eastAsia="宋体" w:cs="Times New Roman"/>
          <w:color w:val="auto"/>
          <w:sz w:val="36"/>
          <w:szCs w:val="36"/>
          <w:u w:val="single"/>
        </w:rPr>
        <w:t>有限公司饲料厂建设项目</w:t>
      </w:r>
      <w:r>
        <w:rPr>
          <w:rFonts w:hint="eastAsia" w:cs="Times New Roman"/>
          <w:color w:val="auto"/>
          <w:sz w:val="36"/>
          <w:szCs w:val="36"/>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beforeAutospacing="0" w:afterAutospacing="0" w:line="288" w:lineRule="auto"/>
        <w:ind w:right="0" w:rightChars="0"/>
        <w:textAlignment w:val="auto"/>
        <w:rPr>
          <w:rFonts w:hint="default" w:ascii="Times New Roman" w:hAnsi="Times New Roman" w:eastAsia="宋体" w:cs="Times New Roman"/>
          <w:color w:val="auto"/>
          <w:sz w:val="36"/>
          <w:szCs w:val="36"/>
          <w:u w:val="single"/>
          <w:lang w:val="en-US" w:eastAsia="zh-CN"/>
        </w:rPr>
      </w:pPr>
      <w:r>
        <w:rPr>
          <w:rFonts w:hint="default" w:ascii="Times New Roman" w:hAnsi="Times New Roman" w:eastAsia="宋体" w:cs="Times New Roman"/>
          <w:color w:val="auto"/>
          <w:sz w:val="36"/>
          <w:szCs w:val="36"/>
        </w:rPr>
        <w:t>建设单位（盖章）：</w:t>
      </w:r>
      <w:r>
        <w:rPr>
          <w:rFonts w:hint="eastAsia"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rPr>
        <w:t>哈尔滨</w:t>
      </w:r>
      <w:r>
        <w:rPr>
          <w:rFonts w:hint="eastAsia" w:cs="Times New Roman"/>
          <w:color w:val="auto"/>
          <w:sz w:val="36"/>
          <w:szCs w:val="36"/>
          <w:u w:val="single"/>
          <w:lang w:val="en-US" w:eastAsia="zh-CN"/>
        </w:rPr>
        <w:t>众诚</w:t>
      </w:r>
      <w:r>
        <w:rPr>
          <w:rFonts w:hint="default" w:ascii="Times New Roman" w:hAnsi="Times New Roman" w:eastAsia="宋体" w:cs="Times New Roman"/>
          <w:color w:val="auto"/>
          <w:sz w:val="36"/>
          <w:szCs w:val="36"/>
          <w:u w:val="single"/>
        </w:rPr>
        <w:t>牧</w:t>
      </w:r>
      <w:r>
        <w:rPr>
          <w:rFonts w:hint="eastAsia" w:cs="Times New Roman"/>
          <w:color w:val="auto"/>
          <w:sz w:val="36"/>
          <w:szCs w:val="36"/>
          <w:u w:val="single"/>
          <w:lang w:val="en-US" w:eastAsia="zh-CN"/>
        </w:rPr>
        <w:t>业</w:t>
      </w:r>
      <w:r>
        <w:rPr>
          <w:rFonts w:hint="default" w:ascii="Times New Roman" w:hAnsi="Times New Roman" w:eastAsia="宋体" w:cs="Times New Roman"/>
          <w:color w:val="auto"/>
          <w:sz w:val="36"/>
          <w:szCs w:val="36"/>
          <w:u w:val="single"/>
        </w:rPr>
        <w:t>有限公司</w:t>
      </w:r>
      <w:r>
        <w:rPr>
          <w:rFonts w:hint="eastAsia" w:cs="Times New Roman"/>
          <w:color w:val="auto"/>
          <w:sz w:val="36"/>
          <w:szCs w:val="36"/>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beforeAutospacing="0" w:afterAutospacing="0" w:line="288" w:lineRule="auto"/>
        <w:ind w:right="0" w:rightChars="0"/>
        <w:textAlignment w:val="auto"/>
        <w:rPr>
          <w:rFonts w:hint="default" w:ascii="Times New Roman" w:hAnsi="Times New Roman" w:eastAsia="宋体" w:cs="Times New Roman"/>
          <w:color w:val="auto"/>
          <w:sz w:val="36"/>
          <w:szCs w:val="36"/>
          <w:u w:val="single"/>
          <w:lang w:val="en-US" w:eastAsia="zh-CN"/>
        </w:rPr>
      </w:pPr>
      <w:r>
        <w:rPr>
          <w:rFonts w:hint="default" w:ascii="Times New Roman" w:hAnsi="Times New Roman" w:eastAsia="宋体" w:cs="Times New Roman"/>
          <w:color w:val="auto"/>
          <w:sz w:val="36"/>
          <w:szCs w:val="36"/>
        </w:rPr>
        <w:t>编制日期：</w:t>
      </w:r>
      <w:r>
        <w:rPr>
          <w:rFonts w:hint="eastAsia"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rPr>
        <w:t>202</w:t>
      </w:r>
      <w:r>
        <w:rPr>
          <w:rFonts w:hint="eastAsia" w:cs="Times New Roman"/>
          <w:color w:val="auto"/>
          <w:sz w:val="36"/>
          <w:szCs w:val="36"/>
          <w:u w:val="single"/>
          <w:lang w:val="en-US" w:eastAsia="zh-CN"/>
        </w:rPr>
        <w:t>3</w:t>
      </w:r>
      <w:r>
        <w:rPr>
          <w:rFonts w:hint="default" w:ascii="Times New Roman" w:hAnsi="Times New Roman" w:eastAsia="宋体" w:cs="Times New Roman"/>
          <w:color w:val="auto"/>
          <w:sz w:val="36"/>
          <w:szCs w:val="36"/>
          <w:u w:val="single"/>
        </w:rPr>
        <w:t>年</w:t>
      </w:r>
      <w:r>
        <w:rPr>
          <w:rFonts w:hint="eastAsia" w:cs="Times New Roman"/>
          <w:color w:val="auto"/>
          <w:sz w:val="36"/>
          <w:szCs w:val="36"/>
          <w:u w:val="single"/>
          <w:lang w:val="en-US" w:eastAsia="zh-CN"/>
        </w:rPr>
        <w:t>2</w:t>
      </w:r>
      <w:r>
        <w:rPr>
          <w:rFonts w:hint="default" w:ascii="Times New Roman" w:hAnsi="Times New Roman" w:eastAsia="宋体" w:cs="Times New Roman"/>
          <w:color w:val="auto"/>
          <w:sz w:val="36"/>
          <w:szCs w:val="36"/>
          <w:u w:val="single"/>
        </w:rPr>
        <w:t>月</w:t>
      </w:r>
      <w:r>
        <w:rPr>
          <w:rFonts w:hint="eastAsia" w:cs="Times New Roman"/>
          <w:color w:val="auto"/>
          <w:sz w:val="36"/>
          <w:szCs w:val="36"/>
          <w:u w:val="single"/>
          <w:lang w:val="en-US" w:eastAsia="zh-CN"/>
        </w:rPr>
        <w:t xml:space="preserve">             </w:t>
      </w:r>
    </w:p>
    <w:p>
      <w:pPr>
        <w:bidi w:val="0"/>
        <w:adjustRightInd w:val="0"/>
        <w:snapToGrid w:val="0"/>
        <w:spacing w:beforeAutospacing="0" w:afterAutospacing="0" w:line="288" w:lineRule="auto"/>
        <w:ind w:left="0" w:leftChars="0" w:right="0" w:rightChars="0" w:firstLine="1040"/>
        <w:rPr>
          <w:rFonts w:hint="default" w:ascii="Times New Roman" w:hAnsi="Times New Roman" w:eastAsia="宋体" w:cs="Times New Roman"/>
          <w:color w:val="auto"/>
          <w:sz w:val="36"/>
          <w:szCs w:val="36"/>
          <w:u w:val="single"/>
        </w:rPr>
      </w:pPr>
      <w:bookmarkStart w:id="8" w:name="_Hlk57884087"/>
    </w:p>
    <w:p>
      <w:pPr>
        <w:pStyle w:val="16"/>
        <w:bidi w:val="0"/>
        <w:spacing w:beforeAutospacing="0" w:after="0" w:afterAutospacing="0"/>
        <w:ind w:left="0" w:leftChars="0" w:right="0" w:rightChars="0"/>
        <w:rPr>
          <w:rFonts w:hint="default" w:ascii="Times New Roman" w:hAnsi="Times New Roman" w:eastAsia="宋体" w:cs="Times New Roman"/>
          <w:color w:val="auto"/>
          <w:sz w:val="36"/>
          <w:szCs w:val="36"/>
          <w:u w:val="single"/>
        </w:rPr>
      </w:pPr>
    </w:p>
    <w:p>
      <w:pPr>
        <w:bidi w:val="0"/>
        <w:spacing w:beforeAutospacing="0" w:afterAutospacing="0"/>
        <w:ind w:left="0" w:leftChars="0" w:right="0" w:rightChars="0"/>
        <w:rPr>
          <w:rFonts w:hint="default" w:ascii="Times New Roman" w:hAnsi="Times New Roman" w:eastAsia="宋体" w:cs="Times New Roman"/>
          <w:color w:val="auto"/>
        </w:rPr>
      </w:pPr>
    </w:p>
    <w:bookmarkEnd w:id="8"/>
    <w:p>
      <w:pPr>
        <w:bidi w:val="0"/>
        <w:adjustRightInd w:val="0"/>
        <w:snapToGrid w:val="0"/>
        <w:spacing w:beforeAutospacing="0" w:afterAutospacing="0" w:line="288" w:lineRule="auto"/>
        <w:ind w:left="0" w:leftChars="0" w:right="0" w:rightChars="0"/>
        <w:jc w:val="center"/>
        <w:rPr>
          <w:rFonts w:hint="default" w:ascii="Times New Roman" w:hAnsi="Times New Roman" w:eastAsia="宋体" w:cs="Times New Roman"/>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宋体" w:cs="Times New Roman"/>
          <w:color w:val="auto"/>
          <w:sz w:val="36"/>
          <w:szCs w:val="36"/>
        </w:rPr>
        <w:t>中华人民共和国生态环境部制</w:t>
      </w:r>
    </w:p>
    <w:p>
      <w:pPr>
        <w:pStyle w:val="23"/>
        <w:rPr>
          <w:rFonts w:hint="eastAsia" w:eastAsia="仿宋_GB2312"/>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eastAsia="仿宋_GB2312"/>
          <w:lang w:eastAsia="zh-CN"/>
        </w:rPr>
        <w:drawing>
          <wp:inline distT="0" distB="0" distL="114300" distR="114300">
            <wp:extent cx="6240780" cy="8831580"/>
            <wp:effectExtent l="0" t="0" r="7620" b="7620"/>
            <wp:docPr id="41" name="图片 41" descr="资质-哈尔滨众诚牧业有限公司饲料厂建设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资质-哈尔滨众诚牧业有限公司饲料厂建设项目_00"/>
                    <pic:cNvPicPr>
                      <a:picLocks noChangeAspect="1"/>
                    </pic:cNvPicPr>
                  </pic:nvPicPr>
                  <pic:blipFill>
                    <a:blip r:embed="rId8"/>
                    <a:stretch>
                      <a:fillRect/>
                    </a:stretch>
                  </pic:blipFill>
                  <pic:spPr>
                    <a:xfrm>
                      <a:off x="0" y="0"/>
                      <a:ext cx="6240780" cy="8831580"/>
                    </a:xfrm>
                    <a:prstGeom prst="rect">
                      <a:avLst/>
                    </a:prstGeom>
                  </pic:spPr>
                </pic:pic>
              </a:graphicData>
            </a:graphic>
          </wp:inline>
        </w:drawing>
      </w:r>
    </w:p>
    <w:p>
      <w:pPr>
        <w:pStyle w:val="11"/>
        <w:bidi w:val="0"/>
        <w:adjustRightInd w:val="0"/>
        <w:snapToGrid w:val="0"/>
        <w:spacing w:beforeAutospacing="0" w:afterAutospacing="0" w:line="288" w:lineRule="auto"/>
        <w:ind w:left="0" w:leftChars="0" w:right="0" w:rightChars="0"/>
        <w:jc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sz w:val="36"/>
          <w:szCs w:val="36"/>
        </w:rPr>
        <w:t>目  录</w:t>
      </w: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TOC \o "1-2" \h \z \u </w:instrText>
      </w:r>
      <w:r>
        <w:rPr>
          <w:rFonts w:hint="default" w:ascii="Times New Roman" w:hAnsi="Times New Roman" w:eastAsia="宋体" w:cs="Times New Roman"/>
          <w:b/>
          <w:color w:val="auto"/>
          <w:sz w:val="24"/>
          <w:szCs w:val="24"/>
        </w:rPr>
        <w:fldChar w:fldCharType="separate"/>
      </w:r>
    </w:p>
    <w:p>
      <w:pPr>
        <w:pStyle w:val="11"/>
        <w:tabs>
          <w:tab w:val="right" w:leader="dot" w:pos="8844"/>
          <w:tab w:val="clear" w:pos="8834"/>
        </w:tabs>
      </w:pP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_Toc22779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napToGrid w:val="0"/>
          <w:szCs w:val="30"/>
          <w:lang w:val="en-US" w:eastAsia="zh-CN"/>
        </w:rPr>
        <w:t>一、</w:t>
      </w:r>
      <w:r>
        <w:rPr>
          <w:rFonts w:hint="default" w:ascii="Times New Roman" w:hAnsi="Times New Roman" w:eastAsia="宋体" w:cs="Times New Roman"/>
          <w:snapToGrid w:val="0"/>
          <w:szCs w:val="30"/>
        </w:rPr>
        <w:t>建设项目基本情况</w:t>
      </w:r>
      <w:r>
        <w:tab/>
      </w:r>
      <w:r>
        <w:fldChar w:fldCharType="begin"/>
      </w:r>
      <w:r>
        <w:instrText xml:space="preserve"> PAGEREF _Toc22779 \h </w:instrText>
      </w:r>
      <w:r>
        <w:fldChar w:fldCharType="separate"/>
      </w:r>
      <w:r>
        <w:t>- 1 -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_Toc13445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napToGrid w:val="0"/>
          <w:spacing w:val="0"/>
          <w:szCs w:val="30"/>
          <w:lang w:val="en-US" w:eastAsia="zh-CN"/>
        </w:rPr>
        <w:t>二、</w:t>
      </w:r>
      <w:r>
        <w:rPr>
          <w:rFonts w:hint="default" w:ascii="Times New Roman" w:hAnsi="Times New Roman" w:eastAsia="宋体" w:cs="Times New Roman"/>
          <w:snapToGrid w:val="0"/>
          <w:spacing w:val="0"/>
          <w:szCs w:val="30"/>
        </w:rPr>
        <w:t>建设项目工程分析</w:t>
      </w:r>
      <w:r>
        <w:tab/>
      </w:r>
      <w:r>
        <w:fldChar w:fldCharType="begin"/>
      </w:r>
      <w:r>
        <w:instrText xml:space="preserve"> PAGEREF _Toc13445 \h </w:instrText>
      </w:r>
      <w:r>
        <w:fldChar w:fldCharType="separate"/>
      </w:r>
      <w:r>
        <w:t>- 7 -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_Toc12229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napToGrid w:val="0"/>
          <w:szCs w:val="30"/>
        </w:rPr>
        <w:t>三、区域环境质量现状、环境保护目标及评价标准</w:t>
      </w:r>
      <w:r>
        <w:tab/>
      </w:r>
      <w:r>
        <w:fldChar w:fldCharType="begin"/>
      </w:r>
      <w:r>
        <w:instrText xml:space="preserve"> PAGEREF _Toc12229 \h </w:instrText>
      </w:r>
      <w:r>
        <w:fldChar w:fldCharType="separate"/>
      </w:r>
      <w:r>
        <w:t>- 22 -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_Toc29599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napToGrid w:val="0"/>
          <w:szCs w:val="30"/>
        </w:rPr>
        <w:t>四、主要环境影响和保护措施</w:t>
      </w:r>
      <w:r>
        <w:tab/>
      </w:r>
      <w:r>
        <w:fldChar w:fldCharType="begin"/>
      </w:r>
      <w:r>
        <w:instrText xml:space="preserve"> PAGEREF _Toc29599 \h </w:instrText>
      </w:r>
      <w:r>
        <w:fldChar w:fldCharType="separate"/>
      </w:r>
      <w:r>
        <w:t>- 30 -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_Toc15573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napToGrid w:val="0"/>
          <w:szCs w:val="30"/>
        </w:rPr>
        <w:t>五、环境保护措施监督检查清单</w:t>
      </w:r>
      <w:r>
        <w:tab/>
      </w:r>
      <w:r>
        <w:fldChar w:fldCharType="begin"/>
      </w:r>
      <w:r>
        <w:instrText xml:space="preserve"> PAGEREF _Toc15573 \h </w:instrText>
      </w:r>
      <w:r>
        <w:fldChar w:fldCharType="separate"/>
      </w:r>
      <w:r>
        <w:t>- 45 -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_Toc1848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napToGrid w:val="0"/>
          <w:szCs w:val="30"/>
        </w:rPr>
        <w:t>六、结论</w:t>
      </w:r>
      <w:r>
        <w:tab/>
      </w:r>
      <w:r>
        <w:fldChar w:fldCharType="begin"/>
      </w:r>
      <w:r>
        <w:instrText xml:space="preserve"> PAGEREF _Toc1848 \h </w:instrText>
      </w:r>
      <w:r>
        <w:fldChar w:fldCharType="separate"/>
      </w:r>
      <w:r>
        <w:t>- 48 -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_Toc28938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napToGrid w:val="0"/>
          <w:szCs w:val="32"/>
        </w:rPr>
        <w:t>附表</w:t>
      </w:r>
      <w:r>
        <w:tab/>
      </w:r>
      <w:r>
        <w:fldChar w:fldCharType="begin"/>
      </w:r>
      <w:r>
        <w:instrText xml:space="preserve"> PAGEREF _Toc28938 \h </w:instrText>
      </w:r>
      <w:r>
        <w:fldChar w:fldCharType="separate"/>
      </w:r>
      <w:r>
        <w:t>- 49 -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_Toc32654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附图1  项目地理位置图</w:t>
      </w:r>
      <w:r>
        <w:tab/>
      </w:r>
      <w:r>
        <w:fldChar w:fldCharType="begin"/>
      </w:r>
      <w:r>
        <w:instrText xml:space="preserve"> PAGEREF _Toc32654 \h </w:instrText>
      </w:r>
      <w:r>
        <w:fldChar w:fldCharType="separate"/>
      </w:r>
      <w:r>
        <w:t>- 50 -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_Toc15175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附图</w:t>
      </w:r>
      <w:r>
        <w:rPr>
          <w:rFonts w:hint="eastAsia" w:cs="Times New Roman"/>
          <w:bCs/>
          <w:snapToGrid w:val="0"/>
          <w:szCs w:val="28"/>
          <w:lang w:val="en-US" w:eastAsia="zh-CN"/>
        </w:rPr>
        <w:t>2</w:t>
      </w:r>
      <w:r>
        <w:rPr>
          <w:rFonts w:hint="default" w:ascii="Times New Roman" w:hAnsi="Times New Roman" w:eastAsia="宋体" w:cs="Times New Roman"/>
          <w:bCs/>
          <w:snapToGrid w:val="0"/>
          <w:szCs w:val="28"/>
          <w:lang w:val="en-US" w:eastAsia="zh-CN"/>
        </w:rPr>
        <w:t xml:space="preserve">  项目平面布置</w:t>
      </w:r>
      <w:r>
        <w:rPr>
          <w:rFonts w:hint="eastAsia" w:cs="Times New Roman"/>
          <w:bCs/>
          <w:snapToGrid w:val="0"/>
          <w:szCs w:val="28"/>
          <w:lang w:val="en-US" w:eastAsia="zh-CN"/>
        </w:rPr>
        <w:t>示意</w:t>
      </w:r>
      <w:r>
        <w:rPr>
          <w:rFonts w:hint="default" w:ascii="Times New Roman" w:hAnsi="Times New Roman" w:eastAsia="宋体" w:cs="Times New Roman"/>
          <w:bCs/>
          <w:snapToGrid w:val="0"/>
          <w:szCs w:val="28"/>
          <w:lang w:val="en-US" w:eastAsia="zh-CN"/>
        </w:rPr>
        <w:t>图</w:t>
      </w:r>
      <w:r>
        <w:tab/>
      </w:r>
      <w:r>
        <w:fldChar w:fldCharType="begin"/>
      </w:r>
      <w:r>
        <w:instrText xml:space="preserve"> PAGEREF _Toc15175 \h </w:instrText>
      </w:r>
      <w:r>
        <w:fldChar w:fldCharType="separate"/>
      </w:r>
      <w:r>
        <w:t>- 51 -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_Toc31526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附图</w:t>
      </w:r>
      <w:r>
        <w:rPr>
          <w:rFonts w:hint="eastAsia" w:ascii="Times New Roman" w:hAnsi="Times New Roman" w:cs="Times New Roman"/>
          <w:bCs/>
          <w:snapToGrid w:val="0"/>
          <w:szCs w:val="28"/>
          <w:lang w:val="en-US" w:eastAsia="zh-CN"/>
        </w:rPr>
        <w:t>3</w:t>
      </w:r>
      <w:r>
        <w:rPr>
          <w:rFonts w:hint="default" w:ascii="Times New Roman" w:hAnsi="Times New Roman" w:eastAsia="宋体" w:cs="Times New Roman"/>
          <w:bCs/>
          <w:snapToGrid w:val="0"/>
          <w:szCs w:val="28"/>
          <w:lang w:val="en-US" w:eastAsia="zh-CN"/>
        </w:rPr>
        <w:t xml:space="preserve">  环境管控单元分布图</w:t>
      </w:r>
      <w:r>
        <w:tab/>
      </w:r>
      <w:r>
        <w:fldChar w:fldCharType="begin"/>
      </w:r>
      <w:r>
        <w:instrText xml:space="preserve"> PAGEREF _Toc31526 \h </w:instrText>
      </w:r>
      <w:r>
        <w:fldChar w:fldCharType="separate"/>
      </w:r>
      <w:r>
        <w:t>- 52 -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_Toc27657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附件1  营业执照</w:t>
      </w:r>
      <w:r>
        <w:tab/>
      </w:r>
      <w:r>
        <w:fldChar w:fldCharType="begin"/>
      </w:r>
      <w:r>
        <w:instrText xml:space="preserve"> PAGEREF _Toc27657 \h </w:instrText>
      </w:r>
      <w:r>
        <w:fldChar w:fldCharType="separate"/>
      </w:r>
      <w:r>
        <w:t>- 54 -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_Toc20781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 xml:space="preserve">附件2  </w:t>
      </w:r>
      <w:r>
        <w:rPr>
          <w:rFonts w:hint="eastAsia" w:ascii="Times New Roman" w:hAnsi="Times New Roman" w:cs="Times New Roman"/>
          <w:bCs/>
          <w:snapToGrid w:val="0"/>
          <w:szCs w:val="28"/>
          <w:lang w:val="en-US" w:eastAsia="zh-CN"/>
        </w:rPr>
        <w:t>用地证明</w:t>
      </w:r>
      <w:r>
        <w:tab/>
      </w:r>
      <w:r>
        <w:fldChar w:fldCharType="begin"/>
      </w:r>
      <w:r>
        <w:instrText xml:space="preserve"> PAGEREF _Toc20781 \h </w:instrText>
      </w:r>
      <w:r>
        <w:fldChar w:fldCharType="separate"/>
      </w:r>
      <w:r>
        <w:t>- 55 -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_Toc6905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附件</w:t>
      </w:r>
      <w:r>
        <w:rPr>
          <w:rFonts w:hint="eastAsia" w:ascii="Times New Roman" w:hAnsi="Times New Roman" w:cs="Times New Roman"/>
          <w:bCs/>
          <w:snapToGrid w:val="0"/>
          <w:szCs w:val="28"/>
          <w:lang w:val="en-US" w:eastAsia="zh-CN"/>
        </w:rPr>
        <w:t>3</w:t>
      </w:r>
      <w:r>
        <w:rPr>
          <w:rFonts w:hint="default" w:ascii="Times New Roman" w:hAnsi="Times New Roman" w:eastAsia="宋体" w:cs="Times New Roman"/>
          <w:bCs/>
          <w:snapToGrid w:val="0"/>
          <w:szCs w:val="28"/>
          <w:lang w:val="en-US" w:eastAsia="zh-CN"/>
        </w:rPr>
        <w:t xml:space="preserve">  </w:t>
      </w:r>
      <w:r>
        <w:rPr>
          <w:rFonts w:hint="eastAsia" w:ascii="Times New Roman" w:hAnsi="Times New Roman" w:cs="Times New Roman"/>
          <w:bCs/>
          <w:snapToGrid w:val="0"/>
          <w:szCs w:val="28"/>
          <w:lang w:val="en-US" w:eastAsia="zh-CN"/>
        </w:rPr>
        <w:t>租赁合同</w:t>
      </w:r>
      <w:r>
        <w:tab/>
      </w:r>
      <w:r>
        <w:fldChar w:fldCharType="begin"/>
      </w:r>
      <w:r>
        <w:instrText xml:space="preserve"> PAGEREF _Toc6905 \h </w:instrText>
      </w:r>
      <w:r>
        <w:fldChar w:fldCharType="separate"/>
      </w:r>
      <w:r>
        <w:t>- 56 -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_Toc16097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附件</w:t>
      </w:r>
      <w:r>
        <w:rPr>
          <w:rFonts w:hint="eastAsia" w:ascii="Times New Roman" w:hAnsi="Times New Roman" w:cs="Times New Roman"/>
          <w:bCs/>
          <w:snapToGrid w:val="0"/>
          <w:szCs w:val="28"/>
          <w:lang w:val="en-US" w:eastAsia="zh-CN"/>
        </w:rPr>
        <w:t>4</w:t>
      </w:r>
      <w:r>
        <w:rPr>
          <w:rFonts w:hint="default" w:ascii="Times New Roman" w:hAnsi="Times New Roman" w:eastAsia="宋体" w:cs="Times New Roman"/>
          <w:bCs/>
          <w:snapToGrid w:val="0"/>
          <w:szCs w:val="28"/>
          <w:lang w:val="en-US" w:eastAsia="zh-CN"/>
        </w:rPr>
        <w:t xml:space="preserve">  </w:t>
      </w:r>
      <w:r>
        <w:rPr>
          <w:rFonts w:hint="eastAsia" w:ascii="Times New Roman" w:hAnsi="Times New Roman" w:cs="Times New Roman"/>
          <w:bCs/>
          <w:snapToGrid w:val="0"/>
          <w:szCs w:val="28"/>
          <w:lang w:val="en-US" w:eastAsia="zh-CN"/>
        </w:rPr>
        <w:t>燃料</w:t>
      </w:r>
      <w:r>
        <w:rPr>
          <w:rFonts w:hint="default" w:ascii="Times New Roman" w:hAnsi="Times New Roman" w:eastAsia="宋体" w:cs="Times New Roman"/>
          <w:bCs/>
          <w:snapToGrid w:val="0"/>
          <w:szCs w:val="28"/>
          <w:lang w:val="en-US" w:eastAsia="zh-CN"/>
        </w:rPr>
        <w:t>成分分析报告</w:t>
      </w:r>
      <w:r>
        <w:tab/>
      </w:r>
      <w:r>
        <w:fldChar w:fldCharType="begin"/>
      </w:r>
      <w:r>
        <w:instrText xml:space="preserve"> PAGEREF _Toc16097 \h </w:instrText>
      </w:r>
      <w:r>
        <w:fldChar w:fldCharType="separate"/>
      </w:r>
      <w:r>
        <w:t>- 57 -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_Toc18546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附件</w:t>
      </w:r>
      <w:r>
        <w:rPr>
          <w:rFonts w:hint="eastAsia" w:ascii="Times New Roman" w:hAnsi="Times New Roman" w:cs="Times New Roman"/>
          <w:bCs/>
          <w:snapToGrid w:val="0"/>
          <w:szCs w:val="28"/>
          <w:lang w:val="en-US" w:eastAsia="zh-CN"/>
        </w:rPr>
        <w:t>5</w:t>
      </w:r>
      <w:r>
        <w:rPr>
          <w:rFonts w:hint="default" w:ascii="Times New Roman" w:hAnsi="Times New Roman" w:eastAsia="宋体" w:cs="Times New Roman"/>
          <w:bCs/>
          <w:snapToGrid w:val="0"/>
          <w:szCs w:val="28"/>
          <w:lang w:val="en-US" w:eastAsia="zh-CN"/>
        </w:rPr>
        <w:t xml:space="preserve">  </w:t>
      </w:r>
      <w:r>
        <w:rPr>
          <w:rFonts w:hint="eastAsia" w:ascii="Times New Roman" w:hAnsi="Times New Roman" w:cs="Times New Roman"/>
          <w:bCs/>
          <w:snapToGrid w:val="0"/>
          <w:szCs w:val="28"/>
          <w:lang w:val="en-US" w:eastAsia="zh-CN"/>
        </w:rPr>
        <w:t>现状</w:t>
      </w:r>
      <w:r>
        <w:rPr>
          <w:rFonts w:hint="eastAsia" w:ascii="Times New Roman" w:hAnsi="Times New Roman" w:eastAsia="宋体" w:cs="Times New Roman"/>
          <w:bCs/>
          <w:snapToGrid w:val="0"/>
          <w:szCs w:val="28"/>
          <w:lang w:val="en-US" w:eastAsia="zh-CN"/>
        </w:rPr>
        <w:t>监测报告</w:t>
      </w:r>
      <w:r>
        <w:tab/>
      </w:r>
      <w:r>
        <w:fldChar w:fldCharType="begin"/>
      </w:r>
      <w:r>
        <w:instrText xml:space="preserve"> PAGEREF _Toc18546 \h </w:instrText>
      </w:r>
      <w:r>
        <w:fldChar w:fldCharType="separate"/>
      </w:r>
      <w:r>
        <w:t>- 58 -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_Toc8274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附件</w:t>
      </w:r>
      <w:r>
        <w:rPr>
          <w:rFonts w:hint="eastAsia" w:ascii="Times New Roman" w:hAnsi="Times New Roman" w:cs="Times New Roman"/>
          <w:bCs/>
          <w:snapToGrid w:val="0"/>
          <w:szCs w:val="28"/>
          <w:lang w:val="en-US" w:eastAsia="zh-CN"/>
        </w:rPr>
        <w:t xml:space="preserve">6 </w:t>
      </w:r>
      <w:r>
        <w:rPr>
          <w:rFonts w:hint="default" w:ascii="Times New Roman" w:hAnsi="Times New Roman" w:eastAsia="宋体" w:cs="Times New Roman"/>
          <w:bCs/>
          <w:snapToGrid w:val="0"/>
          <w:szCs w:val="28"/>
          <w:lang w:val="en-US" w:eastAsia="zh-CN"/>
        </w:rPr>
        <w:t xml:space="preserve"> </w:t>
      </w:r>
      <w:r>
        <w:rPr>
          <w:rFonts w:hint="eastAsia" w:ascii="Times New Roman" w:hAnsi="Times New Roman" w:cs="Times New Roman"/>
          <w:bCs/>
          <w:snapToGrid w:val="0"/>
          <w:szCs w:val="28"/>
          <w:lang w:val="en-US" w:eastAsia="zh-CN"/>
        </w:rPr>
        <w:t>白水牧原农牧有限公司雷村分场年加工6万吨饲料项目检测报告</w:t>
      </w:r>
      <w:r>
        <w:tab/>
      </w:r>
      <w:r>
        <w:fldChar w:fldCharType="begin"/>
      </w:r>
      <w:r>
        <w:instrText xml:space="preserve"> PAGEREF _Toc8274 \h </w:instrText>
      </w:r>
      <w:r>
        <w:fldChar w:fldCharType="separate"/>
      </w:r>
      <w:r>
        <w:t>- 64 -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_Toc4881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附件</w:t>
      </w:r>
      <w:r>
        <w:rPr>
          <w:rFonts w:hint="eastAsia" w:ascii="Times New Roman" w:hAnsi="Times New Roman" w:cs="Times New Roman"/>
          <w:bCs/>
          <w:snapToGrid w:val="0"/>
          <w:szCs w:val="28"/>
          <w:lang w:val="en-US" w:eastAsia="zh-CN"/>
        </w:rPr>
        <w:t>7</w:t>
      </w:r>
      <w:r>
        <w:rPr>
          <w:rFonts w:hint="default" w:ascii="Times New Roman" w:hAnsi="Times New Roman" w:eastAsia="宋体" w:cs="Times New Roman"/>
          <w:bCs/>
          <w:snapToGrid w:val="0"/>
          <w:szCs w:val="28"/>
          <w:lang w:val="en-US" w:eastAsia="zh-CN"/>
        </w:rPr>
        <w:t xml:space="preserve">  </w:t>
      </w:r>
      <w:r>
        <w:rPr>
          <w:rFonts w:hint="eastAsia" w:ascii="Times New Roman" w:hAnsi="Times New Roman" w:cs="Times New Roman"/>
          <w:bCs/>
          <w:snapToGrid w:val="0"/>
          <w:szCs w:val="28"/>
          <w:lang w:val="en-US" w:eastAsia="zh-CN"/>
        </w:rPr>
        <w:t>临沂群帮饲料有限公司年产30000吨饲料建设项目检测报告</w:t>
      </w:r>
      <w:r>
        <w:tab/>
      </w:r>
      <w:r>
        <w:fldChar w:fldCharType="begin"/>
      </w:r>
      <w:r>
        <w:instrText xml:space="preserve"> PAGEREF _Toc4881 \h </w:instrText>
      </w:r>
      <w:r>
        <w:fldChar w:fldCharType="separate"/>
      </w:r>
      <w:r>
        <w:t>- 83 -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_Toc3708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附件</w:t>
      </w:r>
      <w:r>
        <w:rPr>
          <w:rFonts w:hint="eastAsia" w:ascii="Times New Roman" w:hAnsi="Times New Roman" w:cs="Times New Roman"/>
          <w:bCs/>
          <w:snapToGrid w:val="0"/>
          <w:szCs w:val="28"/>
          <w:lang w:val="en-US" w:eastAsia="zh-CN"/>
        </w:rPr>
        <w:t>8</w:t>
      </w:r>
      <w:r>
        <w:rPr>
          <w:rFonts w:hint="default" w:ascii="Times New Roman" w:hAnsi="Times New Roman" w:eastAsia="宋体" w:cs="Times New Roman"/>
          <w:bCs/>
          <w:snapToGrid w:val="0"/>
          <w:szCs w:val="28"/>
          <w:lang w:val="en-US" w:eastAsia="zh-CN"/>
        </w:rPr>
        <w:t xml:space="preserve">  </w:t>
      </w:r>
      <w:r>
        <w:rPr>
          <w:rFonts w:hint="eastAsia" w:ascii="Times New Roman" w:hAnsi="Times New Roman" w:cs="Times New Roman"/>
          <w:bCs/>
          <w:snapToGrid w:val="0"/>
          <w:szCs w:val="28"/>
          <w:lang w:val="en-US" w:eastAsia="zh-CN"/>
        </w:rPr>
        <w:t>公示截图</w:t>
      </w:r>
      <w:r>
        <w:tab/>
      </w:r>
      <w:r>
        <w:fldChar w:fldCharType="begin"/>
      </w:r>
      <w:r>
        <w:instrText xml:space="preserve"> PAGEREF _Toc3708 \h </w:instrText>
      </w:r>
      <w:r>
        <w:fldChar w:fldCharType="separate"/>
      </w:r>
      <w:r>
        <w:t>- 98 -</w:t>
      </w:r>
      <w:r>
        <w:fldChar w:fldCharType="end"/>
      </w:r>
      <w:r>
        <w:rPr>
          <w:rFonts w:hint="default" w:ascii="Times New Roman" w:hAnsi="Times New Roman" w:eastAsia="宋体" w:cs="Times New Roman"/>
          <w:color w:val="auto"/>
          <w:szCs w:val="24"/>
        </w:rPr>
        <w:fldChar w:fldCharType="end"/>
      </w:r>
    </w:p>
    <w:p>
      <w:pPr>
        <w:pStyle w:val="11"/>
        <w:tabs>
          <w:tab w:val="right" w:leader="dot" w:pos="8844"/>
          <w:tab w:val="clear" w:pos="8834"/>
        </w:tabs>
      </w:pPr>
      <w:r>
        <w:rPr>
          <w:rFonts w:hint="default" w:ascii="Times New Roman" w:hAnsi="Times New Roman" w:eastAsia="宋体" w:cs="Times New Roman"/>
          <w:color w:val="auto"/>
          <w:szCs w:val="24"/>
        </w:rPr>
        <w:fldChar w:fldCharType="begin"/>
      </w:r>
      <w:r>
        <w:rPr>
          <w:rFonts w:hint="default" w:ascii="Times New Roman" w:hAnsi="Times New Roman" w:eastAsia="宋体" w:cs="Times New Roman"/>
          <w:szCs w:val="24"/>
        </w:rPr>
        <w:instrText xml:space="preserve"> HYPERLINK \l _Toc1625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bCs/>
          <w:snapToGrid w:val="0"/>
          <w:szCs w:val="28"/>
          <w:lang w:val="en-US" w:eastAsia="zh-CN"/>
        </w:rPr>
        <w:t>附件</w:t>
      </w:r>
      <w:r>
        <w:rPr>
          <w:rFonts w:hint="eastAsia" w:ascii="Times New Roman" w:hAnsi="Times New Roman" w:cs="Times New Roman"/>
          <w:bCs/>
          <w:snapToGrid w:val="0"/>
          <w:szCs w:val="28"/>
          <w:lang w:val="en-US" w:eastAsia="zh-CN"/>
        </w:rPr>
        <w:t>9</w:t>
      </w:r>
      <w:r>
        <w:rPr>
          <w:rFonts w:hint="default" w:ascii="Times New Roman" w:hAnsi="Times New Roman" w:eastAsia="宋体" w:cs="Times New Roman"/>
          <w:bCs/>
          <w:snapToGrid w:val="0"/>
          <w:szCs w:val="28"/>
          <w:lang w:val="en-US" w:eastAsia="zh-CN"/>
        </w:rPr>
        <w:t xml:space="preserve">  核定排放量计算说明</w:t>
      </w:r>
      <w:r>
        <w:tab/>
      </w:r>
      <w:r>
        <w:fldChar w:fldCharType="begin"/>
      </w:r>
      <w:r>
        <w:instrText xml:space="preserve"> PAGEREF _Toc1625 \h </w:instrText>
      </w:r>
      <w:r>
        <w:fldChar w:fldCharType="separate"/>
      </w:r>
      <w:r>
        <w:t>- 99 -</w:t>
      </w:r>
      <w:r>
        <w:fldChar w:fldCharType="end"/>
      </w:r>
      <w:r>
        <w:rPr>
          <w:rFonts w:hint="default" w:ascii="Times New Roman" w:hAnsi="Times New Roman" w:eastAsia="宋体" w:cs="Times New Roman"/>
          <w:color w:val="auto"/>
          <w:szCs w:val="24"/>
        </w:rPr>
        <w:fldChar w:fldCharType="end"/>
      </w:r>
    </w:p>
    <w:p>
      <w:pPr>
        <w:tabs>
          <w:tab w:val="right" w:leader="dot" w:pos="8834"/>
        </w:tabs>
        <w:bidi w:val="0"/>
        <w:adjustRightInd w:val="0"/>
        <w:snapToGrid w:val="0"/>
        <w:spacing w:beforeAutospacing="0" w:afterAutospacing="0" w:line="288" w:lineRule="auto"/>
        <w:ind w:left="0" w:leftChars="0" w:right="0" w:rightChars="0"/>
        <w:jc w:val="center"/>
        <w:rPr>
          <w:rFonts w:hint="default" w:ascii="Times New Roman" w:hAnsi="Times New Roman" w:eastAsia="宋体" w:cs="Times New Roman"/>
          <w:color w:val="auto"/>
          <w:sz w:val="24"/>
          <w:szCs w:val="24"/>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宋体" w:cs="Times New Roman"/>
          <w:b/>
          <w:color w:val="auto"/>
          <w:sz w:val="24"/>
          <w:szCs w:val="24"/>
        </w:rPr>
        <w:fldChar w:fldCharType="end"/>
      </w:r>
    </w:p>
    <w:p>
      <w:pPr>
        <w:pStyle w:val="14"/>
        <w:bidi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z w:val="30"/>
          <w:szCs w:val="30"/>
        </w:rPr>
      </w:pPr>
      <w:bookmarkStart w:id="9" w:name="_Toc22779"/>
      <w:r>
        <w:rPr>
          <w:rFonts w:hint="default" w:ascii="Times New Roman" w:hAnsi="Times New Roman" w:eastAsia="宋体" w:cs="Times New Roman"/>
          <w:snapToGrid w:val="0"/>
          <w:color w:val="auto"/>
          <w:sz w:val="30"/>
          <w:szCs w:val="30"/>
          <w:lang w:val="en-US" w:eastAsia="zh-CN"/>
        </w:rPr>
        <w:t>一、</w:t>
      </w:r>
      <w:r>
        <w:rPr>
          <w:rFonts w:hint="default" w:ascii="Times New Roman" w:hAnsi="Times New Roman" w:eastAsia="宋体" w:cs="Times New Roman"/>
          <w:snapToGrid w:val="0"/>
          <w:color w:val="auto"/>
          <w:sz w:val="30"/>
          <w:szCs w:val="30"/>
        </w:rPr>
        <w:t>建设项目基本情况</w:t>
      </w:r>
      <w:bookmarkEnd w:id="9"/>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382"/>
        <w:gridCol w:w="1637"/>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建设项目名称</w:t>
            </w:r>
          </w:p>
        </w:tc>
        <w:tc>
          <w:tcPr>
            <w:tcW w:w="6488" w:type="dxa"/>
            <w:gridSpan w:val="3"/>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lang w:eastAsia="zh-CN"/>
              </w:rPr>
            </w:pPr>
            <w:r>
              <w:rPr>
                <w:rFonts w:hint="default" w:ascii="Times New Roman" w:hAnsi="Times New Roman" w:eastAsia="宋体" w:cs="Times New Roman"/>
                <w:color w:val="auto"/>
                <w:sz w:val="24"/>
                <w:szCs w:val="21"/>
                <w:lang w:eastAsia="zh-CN"/>
              </w:rPr>
              <w:t>哈尔滨</w:t>
            </w:r>
            <w:r>
              <w:rPr>
                <w:rFonts w:hint="eastAsia" w:ascii="Times New Roman" w:hAnsi="Times New Roman" w:eastAsia="宋体" w:cs="Times New Roman"/>
                <w:color w:val="auto"/>
                <w:sz w:val="24"/>
                <w:szCs w:val="21"/>
                <w:lang w:val="en-US" w:eastAsia="zh-CN"/>
              </w:rPr>
              <w:t>众诚</w:t>
            </w:r>
            <w:r>
              <w:rPr>
                <w:rFonts w:hint="default" w:ascii="Times New Roman" w:hAnsi="Times New Roman" w:eastAsia="宋体" w:cs="Times New Roman"/>
                <w:color w:val="auto"/>
                <w:sz w:val="24"/>
                <w:szCs w:val="21"/>
                <w:lang w:eastAsia="zh-CN"/>
              </w:rPr>
              <w:t>牧</w:t>
            </w:r>
            <w:r>
              <w:rPr>
                <w:rFonts w:hint="eastAsia" w:ascii="Times New Roman" w:hAnsi="Times New Roman" w:eastAsia="宋体" w:cs="Times New Roman"/>
                <w:color w:val="auto"/>
                <w:sz w:val="24"/>
                <w:szCs w:val="21"/>
                <w:lang w:val="en-US" w:eastAsia="zh-CN"/>
              </w:rPr>
              <w:t>业</w:t>
            </w:r>
            <w:r>
              <w:rPr>
                <w:rFonts w:hint="default" w:ascii="Times New Roman" w:hAnsi="Times New Roman" w:eastAsia="宋体" w:cs="Times New Roman"/>
                <w:color w:val="auto"/>
                <w:sz w:val="24"/>
                <w:szCs w:val="21"/>
                <w:lang w:eastAsia="zh-CN"/>
              </w:rPr>
              <w:t>发展公司饲料厂建设项目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项目代码</w:t>
            </w:r>
          </w:p>
        </w:tc>
        <w:tc>
          <w:tcPr>
            <w:tcW w:w="6488" w:type="dxa"/>
            <w:gridSpan w:val="3"/>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建设单位联系人</w:t>
            </w:r>
          </w:p>
        </w:tc>
        <w:tc>
          <w:tcPr>
            <w:tcW w:w="1637"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lang w:val="en-US" w:eastAsia="zh-CN"/>
              </w:rPr>
            </w:pPr>
            <w:r>
              <w:rPr>
                <w:rFonts w:hint="eastAsia" w:ascii="Times New Roman" w:hAnsi="Times New Roman" w:eastAsia="宋体" w:cs="Times New Roman"/>
                <w:color w:val="auto"/>
                <w:sz w:val="24"/>
                <w:szCs w:val="21"/>
                <w:lang w:val="en-US" w:eastAsia="zh-CN"/>
              </w:rPr>
              <w:t>牟学利</w:t>
            </w:r>
          </w:p>
        </w:tc>
        <w:tc>
          <w:tcPr>
            <w:tcW w:w="2212"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lang w:eastAsia="zh-CN"/>
              </w:rPr>
            </w:pPr>
            <w:r>
              <w:rPr>
                <w:rFonts w:hint="default" w:ascii="Times New Roman" w:hAnsi="Times New Roman" w:eastAsia="宋体" w:cs="Times New Roman"/>
                <w:color w:val="auto"/>
                <w:sz w:val="24"/>
                <w:szCs w:val="21"/>
                <w:lang w:eastAsia="zh-CN"/>
              </w:rPr>
              <w:t>联系方式</w:t>
            </w:r>
          </w:p>
        </w:tc>
        <w:tc>
          <w:tcPr>
            <w:tcW w:w="2639"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lang w:val="en-US" w:eastAsia="zh-CN"/>
              </w:rPr>
            </w:pPr>
            <w:r>
              <w:rPr>
                <w:rFonts w:hint="eastAsia" w:ascii="Times New Roman" w:hAnsi="Times New Roman" w:eastAsia="宋体" w:cs="Times New Roman"/>
                <w:color w:val="auto"/>
                <w:sz w:val="24"/>
                <w:szCs w:val="21"/>
                <w:lang w:val="en-US" w:eastAsia="zh-CN"/>
              </w:rPr>
              <w:t>15244619808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建设地点</w:t>
            </w:r>
          </w:p>
        </w:tc>
        <w:tc>
          <w:tcPr>
            <w:tcW w:w="6488" w:type="dxa"/>
            <w:gridSpan w:val="3"/>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lang w:eastAsia="zh-CN"/>
              </w:rPr>
            </w:pPr>
            <w:r>
              <w:rPr>
                <w:rFonts w:hint="eastAsia" w:ascii="Times New Roman" w:hAnsi="Times New Roman" w:eastAsia="宋体" w:cs="Times New Roman"/>
                <w:color w:val="auto"/>
                <w:sz w:val="24"/>
                <w:szCs w:val="21"/>
                <w:lang w:val="en-US" w:eastAsia="zh-CN"/>
              </w:rPr>
              <w:t>黑龙江省哈尔滨市双城区联兴乡兴功村1号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地理坐标</w:t>
            </w:r>
          </w:p>
        </w:tc>
        <w:tc>
          <w:tcPr>
            <w:tcW w:w="6488" w:type="dxa"/>
            <w:gridSpan w:val="3"/>
            <w:noWrap w:val="0"/>
            <w:vAlign w:val="center"/>
          </w:tcPr>
          <w:p>
            <w:pPr>
              <w:keepNext w:val="0"/>
              <w:keepLines w:val="0"/>
              <w:pageBreakBefore w:val="0"/>
              <w:kinsoku/>
              <w:wordWrap/>
              <w:overflowPunct/>
              <w:topLinePunct w:val="0"/>
              <w:bidi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u w:val="single"/>
              </w:rPr>
              <w:t>12</w:t>
            </w:r>
            <w:r>
              <w:rPr>
                <w:rFonts w:hint="eastAsia" w:cs="Times New Roman"/>
                <w:color w:val="auto"/>
                <w:sz w:val="24"/>
                <w:szCs w:val="21"/>
                <w:u w:val="single"/>
                <w:lang w:val="en-US" w:eastAsia="zh-CN"/>
              </w:rPr>
              <w:t>6</w:t>
            </w:r>
            <w:r>
              <w:rPr>
                <w:rFonts w:hint="default" w:ascii="Times New Roman" w:hAnsi="Times New Roman" w:eastAsia="宋体" w:cs="Times New Roman"/>
                <w:color w:val="auto"/>
                <w:sz w:val="24"/>
                <w:szCs w:val="21"/>
              </w:rPr>
              <w:t>度</w:t>
            </w:r>
            <w:r>
              <w:rPr>
                <w:rFonts w:hint="eastAsia" w:cs="Times New Roman"/>
                <w:color w:val="auto"/>
                <w:sz w:val="24"/>
                <w:szCs w:val="21"/>
                <w:u w:val="single"/>
                <w:lang w:val="en-US" w:eastAsia="zh-CN"/>
              </w:rPr>
              <w:t>29</w:t>
            </w:r>
            <w:r>
              <w:rPr>
                <w:rFonts w:hint="default" w:ascii="Times New Roman" w:hAnsi="Times New Roman" w:eastAsia="宋体" w:cs="Times New Roman"/>
                <w:color w:val="auto"/>
                <w:sz w:val="24"/>
                <w:szCs w:val="21"/>
              </w:rPr>
              <w:t>分</w:t>
            </w:r>
            <w:r>
              <w:rPr>
                <w:rFonts w:hint="eastAsia" w:cs="Times New Roman"/>
                <w:color w:val="auto"/>
                <w:sz w:val="24"/>
                <w:szCs w:val="21"/>
                <w:u w:val="single"/>
                <w:lang w:val="en-US" w:eastAsia="zh-CN"/>
              </w:rPr>
              <w:t>5.151</w:t>
            </w:r>
            <w:r>
              <w:rPr>
                <w:rFonts w:hint="default" w:ascii="Times New Roman" w:hAnsi="Times New Roman" w:eastAsia="宋体" w:cs="Times New Roman"/>
                <w:color w:val="auto"/>
                <w:sz w:val="24"/>
                <w:szCs w:val="21"/>
              </w:rPr>
              <w:t>秒，</w:t>
            </w:r>
            <w:r>
              <w:rPr>
                <w:rFonts w:hint="default" w:ascii="Times New Roman" w:hAnsi="Times New Roman" w:eastAsia="宋体" w:cs="Times New Roman"/>
                <w:color w:val="auto"/>
                <w:sz w:val="24"/>
                <w:szCs w:val="21"/>
                <w:u w:val="single"/>
              </w:rPr>
              <w:t>45</w:t>
            </w:r>
            <w:r>
              <w:rPr>
                <w:rFonts w:hint="default" w:ascii="Times New Roman" w:hAnsi="Times New Roman" w:eastAsia="宋体" w:cs="Times New Roman"/>
                <w:color w:val="auto"/>
                <w:sz w:val="24"/>
                <w:szCs w:val="21"/>
              </w:rPr>
              <w:t>度</w:t>
            </w:r>
            <w:r>
              <w:rPr>
                <w:rFonts w:hint="eastAsia" w:cs="Times New Roman"/>
                <w:color w:val="auto"/>
                <w:sz w:val="24"/>
                <w:szCs w:val="21"/>
                <w:u w:val="single"/>
                <w:lang w:val="en-US" w:eastAsia="zh-CN"/>
              </w:rPr>
              <w:t>21</w:t>
            </w:r>
            <w:r>
              <w:rPr>
                <w:rFonts w:hint="default" w:ascii="Times New Roman" w:hAnsi="Times New Roman" w:eastAsia="宋体" w:cs="Times New Roman"/>
                <w:color w:val="auto"/>
                <w:sz w:val="24"/>
                <w:szCs w:val="21"/>
              </w:rPr>
              <w:t>分</w:t>
            </w:r>
            <w:r>
              <w:rPr>
                <w:rFonts w:hint="eastAsia" w:cs="Times New Roman"/>
                <w:color w:val="auto"/>
                <w:sz w:val="24"/>
                <w:szCs w:val="21"/>
                <w:u w:val="single"/>
                <w:lang w:val="en-US" w:eastAsia="zh-CN"/>
              </w:rPr>
              <w:t>29.721</w:t>
            </w:r>
            <w:r>
              <w:rPr>
                <w:rFonts w:hint="default" w:ascii="Times New Roman" w:hAnsi="Times New Roman" w:eastAsia="宋体" w:cs="Times New Roman"/>
                <w:color w:val="auto"/>
                <w:sz w:val="24"/>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国民经济</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行业类别</w:t>
            </w:r>
          </w:p>
        </w:tc>
        <w:tc>
          <w:tcPr>
            <w:tcW w:w="1637"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C1329其他饲料加工</w:t>
            </w:r>
          </w:p>
        </w:tc>
        <w:tc>
          <w:tcPr>
            <w:tcW w:w="2212"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bookmarkStart w:id="10" w:name="_Hlk49843745"/>
            <w:r>
              <w:rPr>
                <w:rFonts w:hint="default" w:ascii="Times New Roman" w:hAnsi="Times New Roman" w:eastAsia="宋体" w:cs="Times New Roman"/>
                <w:color w:val="auto"/>
                <w:sz w:val="24"/>
                <w:szCs w:val="21"/>
              </w:rPr>
              <w:t>建设项目</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行业类别</w:t>
            </w:r>
            <w:bookmarkEnd w:id="10"/>
          </w:p>
        </w:tc>
        <w:tc>
          <w:tcPr>
            <w:tcW w:w="2639"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十、农副食品加工业：15、饲料加工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建设性质</w:t>
            </w:r>
          </w:p>
        </w:tc>
        <w:tc>
          <w:tcPr>
            <w:tcW w:w="1637" w:type="dxa"/>
            <w:noWrap w:val="0"/>
            <w:vAlign w:val="center"/>
          </w:tcPr>
          <w:p>
            <w:pPr>
              <w:keepNext w:val="0"/>
              <w:keepLines w:val="0"/>
              <w:pageBreakBefore w:val="0"/>
              <w:kinsoku/>
              <w:wordWrap/>
              <w:overflowPunct/>
              <w:topLinePunct w:val="0"/>
              <w:bidi w:val="0"/>
              <w:spacing w:beforeAutospacing="0" w:afterAutospacing="0"/>
              <w:ind w:left="0" w:leftChars="0" w:right="0" w:rightChars="0"/>
              <w:jc w:val="left"/>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☑新建（迁建）</w:t>
            </w:r>
          </w:p>
          <w:p>
            <w:pPr>
              <w:keepNext w:val="0"/>
              <w:keepLines w:val="0"/>
              <w:pageBreakBefore w:val="0"/>
              <w:kinsoku/>
              <w:wordWrap/>
              <w:overflowPunct/>
              <w:topLinePunct w:val="0"/>
              <w:bidi w:val="0"/>
              <w:spacing w:beforeAutospacing="0" w:afterAutospacing="0"/>
              <w:ind w:left="0" w:leftChars="0" w:right="0" w:rightChars="0"/>
              <w:jc w:val="left"/>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sym w:font="Wingdings 2" w:char="00A3"/>
            </w:r>
            <w:r>
              <w:rPr>
                <w:rFonts w:hint="default" w:ascii="Times New Roman" w:hAnsi="Times New Roman" w:eastAsia="宋体" w:cs="Times New Roman"/>
                <w:color w:val="auto"/>
                <w:sz w:val="24"/>
                <w:szCs w:val="21"/>
              </w:rPr>
              <w:t>改建</w:t>
            </w:r>
          </w:p>
          <w:p>
            <w:pPr>
              <w:keepNext w:val="0"/>
              <w:keepLines w:val="0"/>
              <w:pageBreakBefore w:val="0"/>
              <w:kinsoku/>
              <w:wordWrap/>
              <w:overflowPunct/>
              <w:topLinePunct w:val="0"/>
              <w:bidi w:val="0"/>
              <w:spacing w:beforeAutospacing="0" w:afterAutospacing="0"/>
              <w:ind w:left="0" w:leftChars="0" w:right="0" w:rightChars="0"/>
              <w:jc w:val="left"/>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sym w:font="Wingdings 2" w:char="00A3"/>
            </w:r>
            <w:r>
              <w:rPr>
                <w:rFonts w:hint="default" w:ascii="Times New Roman" w:hAnsi="Times New Roman" w:eastAsia="宋体" w:cs="Times New Roman"/>
                <w:color w:val="auto"/>
                <w:sz w:val="24"/>
                <w:szCs w:val="21"/>
              </w:rPr>
              <w:t>扩建</w:t>
            </w:r>
          </w:p>
          <w:p>
            <w:pPr>
              <w:keepNext w:val="0"/>
              <w:keepLines w:val="0"/>
              <w:pageBreakBefore w:val="0"/>
              <w:kinsoku/>
              <w:wordWrap/>
              <w:overflowPunct/>
              <w:topLinePunct w:val="0"/>
              <w:bidi w:val="0"/>
              <w:spacing w:beforeAutospacing="0" w:afterAutospacing="0"/>
              <w:ind w:left="0" w:leftChars="0" w:right="0" w:rightChars="0"/>
              <w:jc w:val="left"/>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sym w:font="Wingdings 2" w:char="00A3"/>
            </w:r>
            <w:r>
              <w:rPr>
                <w:rFonts w:hint="default" w:ascii="Times New Roman" w:hAnsi="Times New Roman" w:eastAsia="宋体" w:cs="Times New Roman"/>
                <w:color w:val="auto"/>
                <w:sz w:val="24"/>
                <w:szCs w:val="21"/>
              </w:rPr>
              <w:t>技术改造</w:t>
            </w:r>
          </w:p>
        </w:tc>
        <w:tc>
          <w:tcPr>
            <w:tcW w:w="2212"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建设项目</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申报情形</w:t>
            </w:r>
          </w:p>
        </w:tc>
        <w:tc>
          <w:tcPr>
            <w:tcW w:w="2639" w:type="dxa"/>
            <w:noWrap w:val="0"/>
            <w:vAlign w:val="center"/>
          </w:tcPr>
          <w:p>
            <w:pPr>
              <w:keepNext w:val="0"/>
              <w:keepLines w:val="0"/>
              <w:pageBreakBefore w:val="0"/>
              <w:kinsoku/>
              <w:wordWrap/>
              <w:overflowPunct/>
              <w:topLinePunct w:val="0"/>
              <w:bidi w:val="0"/>
              <w:spacing w:beforeAutospacing="0" w:afterAutospacing="0"/>
              <w:ind w:left="0" w:leftChars="0" w:right="0" w:rightChars="0"/>
              <w:jc w:val="left"/>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sym w:font="Wingdings 2" w:char="0052"/>
            </w:r>
            <w:r>
              <w:rPr>
                <w:rFonts w:hint="default" w:ascii="Times New Roman" w:hAnsi="Times New Roman" w:eastAsia="宋体" w:cs="Times New Roman"/>
                <w:color w:val="auto"/>
                <w:sz w:val="24"/>
                <w:szCs w:val="21"/>
              </w:rPr>
              <w:t>首次申报项目</w:t>
            </w:r>
          </w:p>
          <w:p>
            <w:pPr>
              <w:keepNext w:val="0"/>
              <w:keepLines w:val="0"/>
              <w:pageBreakBefore w:val="0"/>
              <w:kinsoku/>
              <w:wordWrap/>
              <w:overflowPunct/>
              <w:topLinePunct w:val="0"/>
              <w:bidi w:val="0"/>
              <w:spacing w:beforeAutospacing="0" w:afterAutospacing="0"/>
              <w:ind w:left="0" w:leftChars="0" w:right="0" w:rightChars="0"/>
              <w:jc w:val="left"/>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sym w:font="Wingdings 2" w:char="00A3"/>
            </w:r>
            <w:r>
              <w:rPr>
                <w:rFonts w:hint="default" w:ascii="Times New Roman" w:hAnsi="Times New Roman" w:eastAsia="宋体" w:cs="Times New Roman"/>
                <w:color w:val="auto"/>
                <w:sz w:val="24"/>
                <w:szCs w:val="21"/>
              </w:rPr>
              <w:t>不予批准后再次申报项目</w:t>
            </w:r>
          </w:p>
          <w:p>
            <w:pPr>
              <w:keepNext w:val="0"/>
              <w:keepLines w:val="0"/>
              <w:pageBreakBefore w:val="0"/>
              <w:kinsoku/>
              <w:wordWrap/>
              <w:overflowPunct/>
              <w:topLinePunct w:val="0"/>
              <w:bidi w:val="0"/>
              <w:spacing w:beforeAutospacing="0" w:afterAutospacing="0"/>
              <w:ind w:left="0" w:leftChars="0" w:right="0" w:rightChars="0"/>
              <w:jc w:val="left"/>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sym w:font="Wingdings 2" w:char="00A3"/>
            </w:r>
            <w:r>
              <w:rPr>
                <w:rFonts w:hint="default" w:ascii="Times New Roman" w:hAnsi="Times New Roman" w:eastAsia="宋体" w:cs="Times New Roman"/>
                <w:color w:val="auto"/>
                <w:sz w:val="24"/>
                <w:szCs w:val="21"/>
              </w:rPr>
              <w:t>超五年重新审核项目</w:t>
            </w:r>
          </w:p>
          <w:p>
            <w:pPr>
              <w:keepNext w:val="0"/>
              <w:keepLines w:val="0"/>
              <w:pageBreakBefore w:val="0"/>
              <w:kinsoku/>
              <w:wordWrap/>
              <w:overflowPunct/>
              <w:topLinePunct w:val="0"/>
              <w:bidi w:val="0"/>
              <w:spacing w:beforeAutospacing="0" w:afterAutospacing="0"/>
              <w:ind w:left="0" w:leftChars="0" w:right="0" w:rightChars="0"/>
              <w:jc w:val="left"/>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sym w:font="Wingdings 2" w:char="00A3"/>
            </w:r>
            <w:r>
              <w:rPr>
                <w:rFonts w:hint="default" w:ascii="Times New Roman" w:hAnsi="Times New Roman" w:eastAsia="宋体" w:cs="Times New Roman"/>
                <w:color w:val="auto"/>
                <w:sz w:val="24"/>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项目审批（核准/</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备案）部门（选填）</w:t>
            </w:r>
          </w:p>
        </w:tc>
        <w:tc>
          <w:tcPr>
            <w:tcW w:w="1637"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w:t>
            </w:r>
          </w:p>
        </w:tc>
        <w:tc>
          <w:tcPr>
            <w:tcW w:w="2212"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项目审批（核准/</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备案）文号（选填）</w:t>
            </w:r>
          </w:p>
        </w:tc>
        <w:tc>
          <w:tcPr>
            <w:tcW w:w="2639"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总投资（万元）</w:t>
            </w:r>
          </w:p>
        </w:tc>
        <w:tc>
          <w:tcPr>
            <w:tcW w:w="1637"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lang w:val="en-US" w:eastAsia="zh-CN"/>
              </w:rPr>
            </w:pPr>
            <w:r>
              <w:rPr>
                <w:rFonts w:hint="eastAsia" w:cs="Times New Roman"/>
                <w:color w:val="auto"/>
                <w:sz w:val="24"/>
                <w:szCs w:val="21"/>
                <w:lang w:val="en-US" w:eastAsia="zh-CN"/>
              </w:rPr>
              <w:t>800</w:t>
            </w:r>
          </w:p>
        </w:tc>
        <w:tc>
          <w:tcPr>
            <w:tcW w:w="22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环保投资（万元）</w:t>
            </w:r>
          </w:p>
        </w:tc>
        <w:tc>
          <w:tcPr>
            <w:tcW w:w="2639"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lang w:val="en-US" w:eastAsia="zh-CN"/>
              </w:rPr>
            </w:pPr>
            <w:r>
              <w:rPr>
                <w:rFonts w:hint="eastAsia" w:cs="Times New Roman"/>
                <w:color w:val="auto"/>
                <w:sz w:val="24"/>
                <w:szCs w:val="21"/>
                <w:lang w:val="en-US" w:eastAsia="zh-CN"/>
              </w:rPr>
              <w:t>42.5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环保投资占比（%）</w:t>
            </w:r>
          </w:p>
        </w:tc>
        <w:tc>
          <w:tcPr>
            <w:tcW w:w="1637"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lang w:val="en-US" w:eastAsia="zh-CN"/>
              </w:rPr>
            </w:pPr>
            <w:r>
              <w:rPr>
                <w:rFonts w:hint="eastAsia" w:cs="Times New Roman"/>
                <w:color w:val="auto"/>
                <w:sz w:val="24"/>
                <w:szCs w:val="21"/>
                <w:lang w:val="en-US" w:eastAsia="zh-CN"/>
              </w:rPr>
              <w:t>5.3</w:t>
            </w:r>
          </w:p>
        </w:tc>
        <w:tc>
          <w:tcPr>
            <w:tcW w:w="22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施工工期</w:t>
            </w:r>
          </w:p>
        </w:tc>
        <w:tc>
          <w:tcPr>
            <w:tcW w:w="2639"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6"/>
                <w:sz w:val="24"/>
                <w:szCs w:val="21"/>
                <w:lang w:val="en-US" w:eastAsia="zh-CN"/>
              </w:rPr>
            </w:pPr>
            <w:r>
              <w:rPr>
                <w:rFonts w:hint="eastAsia" w:cs="Times New Roman"/>
                <w:color w:val="auto"/>
                <w:spacing w:val="-6"/>
                <w:sz w:val="24"/>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是否开工建设</w:t>
            </w:r>
          </w:p>
        </w:tc>
        <w:tc>
          <w:tcPr>
            <w:tcW w:w="1637"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sym w:font="Wingdings 2" w:char="00A3"/>
            </w:r>
            <w:r>
              <w:rPr>
                <w:rFonts w:hint="default" w:ascii="Times New Roman" w:hAnsi="Times New Roman" w:eastAsia="宋体" w:cs="Times New Roman"/>
                <w:color w:val="auto"/>
                <w:sz w:val="24"/>
                <w:szCs w:val="21"/>
              </w:rPr>
              <w:t>否</w:t>
            </w:r>
          </w:p>
          <w:p>
            <w:pPr>
              <w:keepNext w:val="0"/>
              <w:keepLines w:val="0"/>
              <w:pageBreakBefore w:val="0"/>
              <w:kinsoku/>
              <w:wordWrap/>
              <w:overflowPunct/>
              <w:topLinePunct w:val="0"/>
              <w:bidi w:val="0"/>
              <w:adjustRightInd w:val="0"/>
              <w:snapToGrid w:val="0"/>
              <w:spacing w:beforeAutospacing="0" w:afterAutospacing="0"/>
              <w:ind w:left="0" w:leftChars="0" w:right="0" w:rightChars="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sym w:font="Wingdings 2" w:char="0052"/>
            </w:r>
            <w:r>
              <w:rPr>
                <w:rFonts w:hint="default" w:ascii="Times New Roman" w:hAnsi="Times New Roman" w:eastAsia="宋体" w:cs="Times New Roman"/>
                <w:color w:val="auto"/>
                <w:sz w:val="24"/>
                <w:szCs w:val="21"/>
              </w:rPr>
              <w:t>是：</w:t>
            </w:r>
            <w:r>
              <w:rPr>
                <w:sz w:val="24"/>
              </w:rPr>
              <w:t>项目</w:t>
            </w:r>
            <w:r>
              <w:rPr>
                <w:rFonts w:hint="eastAsia"/>
                <w:sz w:val="24"/>
              </w:rPr>
              <w:t>已</w:t>
            </w:r>
            <w:r>
              <w:rPr>
                <w:sz w:val="24"/>
              </w:rPr>
              <w:t>建成并投产，属于未批先建，无处罚</w:t>
            </w:r>
          </w:p>
        </w:tc>
        <w:tc>
          <w:tcPr>
            <w:tcW w:w="22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6"/>
                <w:sz w:val="24"/>
                <w:szCs w:val="21"/>
              </w:rPr>
            </w:pPr>
            <w:r>
              <w:rPr>
                <w:rFonts w:hint="default" w:ascii="Times New Roman" w:hAnsi="Times New Roman" w:eastAsia="宋体" w:cs="Times New Roman"/>
                <w:color w:val="auto"/>
                <w:spacing w:val="-6"/>
                <w:sz w:val="24"/>
                <w:szCs w:val="21"/>
              </w:rPr>
              <w:t>用地（用海）</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pacing w:val="-6"/>
                <w:sz w:val="24"/>
                <w:szCs w:val="21"/>
              </w:rPr>
              <w:t>面积（m</w:t>
            </w:r>
            <w:r>
              <w:rPr>
                <w:rFonts w:hint="default" w:ascii="Times New Roman" w:hAnsi="Times New Roman" w:eastAsia="宋体" w:cs="Times New Roman"/>
                <w:color w:val="auto"/>
                <w:spacing w:val="-6"/>
                <w:sz w:val="24"/>
                <w:szCs w:val="21"/>
                <w:vertAlign w:val="superscript"/>
              </w:rPr>
              <w:t>2</w:t>
            </w:r>
            <w:r>
              <w:rPr>
                <w:rFonts w:hint="default" w:ascii="Times New Roman" w:hAnsi="Times New Roman" w:eastAsia="宋体" w:cs="Times New Roman"/>
                <w:color w:val="auto"/>
                <w:spacing w:val="-6"/>
                <w:sz w:val="24"/>
                <w:szCs w:val="21"/>
              </w:rPr>
              <w:t>）</w:t>
            </w:r>
          </w:p>
        </w:tc>
        <w:tc>
          <w:tcPr>
            <w:tcW w:w="2639"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lang w:val="en-US" w:eastAsia="zh-CN"/>
              </w:rPr>
            </w:pPr>
            <w:r>
              <w:rPr>
                <w:rFonts w:hint="default" w:ascii="Times New Roman" w:hAnsi="Times New Roman" w:eastAsia="宋体" w:cs="Times New Roman"/>
                <w:color w:val="auto"/>
                <w:sz w:val="24"/>
                <w:szCs w:val="21"/>
                <w:lang w:val="en-US" w:eastAsia="zh-CN"/>
              </w:rPr>
              <w:t>2</w:t>
            </w:r>
            <w:r>
              <w:rPr>
                <w:rFonts w:hint="eastAsia" w:cs="Times New Roman"/>
                <w:color w:val="auto"/>
                <w:sz w:val="24"/>
                <w:szCs w:val="21"/>
                <w:lang w:val="en-US" w:eastAsia="zh-CN"/>
              </w:rPr>
              <w:t>3000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1" w:hRule="atLeast"/>
          <w:jc w:val="center"/>
        </w:trPr>
        <w:tc>
          <w:tcPr>
            <w:tcW w:w="2382" w:type="dxa"/>
            <w:noWrap w:val="0"/>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szCs w:val="21"/>
              </w:rPr>
            </w:pPr>
            <w:r>
              <w:rPr>
                <w:rFonts w:hint="default" w:ascii="Times New Roman" w:hAnsi="Times New Roman" w:eastAsia="宋体" w:cs="Times New Roman"/>
                <w:color w:val="auto"/>
                <w:kern w:val="0"/>
                <w:sz w:val="24"/>
                <w:szCs w:val="21"/>
              </w:rPr>
              <w:t>专项评价设置情况</w:t>
            </w:r>
          </w:p>
        </w:tc>
        <w:tc>
          <w:tcPr>
            <w:tcW w:w="6488" w:type="dxa"/>
            <w:gridSpan w:val="3"/>
            <w:noWrap w:val="0"/>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szCs w:val="21"/>
              </w:rPr>
            </w:pPr>
            <w:r>
              <w:rPr>
                <w:rFonts w:hint="eastAsia"/>
                <w:kern w:val="0"/>
                <w:sz w:val="24"/>
              </w:rPr>
              <w:t>本项目运营期排放的热风炉烟气中含有汞等有毒有害污染物，因此设置大气专项评价。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382" w:type="dxa"/>
            <w:noWrap w:val="0"/>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szCs w:val="21"/>
              </w:rPr>
            </w:pPr>
            <w:r>
              <w:rPr>
                <w:rFonts w:hint="default" w:ascii="Times New Roman" w:hAnsi="Times New Roman" w:eastAsia="宋体" w:cs="Times New Roman"/>
                <w:color w:val="auto"/>
                <w:sz w:val="24"/>
                <w:szCs w:val="21"/>
              </w:rPr>
              <w:t>规划情况</w:t>
            </w:r>
          </w:p>
        </w:tc>
        <w:tc>
          <w:tcPr>
            <w:tcW w:w="6488" w:type="dxa"/>
            <w:gridSpan w:val="3"/>
            <w:noWrap w:val="0"/>
            <w:vAlign w:val="center"/>
          </w:tcPr>
          <w:p>
            <w:pPr>
              <w:pStyle w:val="10"/>
              <w:keepNext w:val="0"/>
              <w:keepLines w:val="0"/>
              <w:pageBreakBefore w:val="0"/>
              <w:kinsoku/>
              <w:wordWrap/>
              <w:overflowPunct/>
              <w:topLinePunct w:val="0"/>
              <w:bidi w:val="0"/>
              <w:spacing w:beforeAutospacing="0" w:afterAutospacing="0"/>
              <w:ind w:left="0" w:leftChars="0" w:right="0" w:rightChars="0"/>
              <w:jc w:val="center"/>
              <w:rPr>
                <w:rFonts w:hint="default"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规划环境影响</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szCs w:val="21"/>
              </w:rPr>
            </w:pPr>
            <w:r>
              <w:rPr>
                <w:rFonts w:hint="default" w:ascii="Times New Roman" w:hAnsi="Times New Roman" w:eastAsia="宋体" w:cs="Times New Roman"/>
                <w:color w:val="auto"/>
                <w:sz w:val="24"/>
                <w:szCs w:val="21"/>
              </w:rPr>
              <w:t>评价情况</w:t>
            </w:r>
          </w:p>
        </w:tc>
        <w:tc>
          <w:tcPr>
            <w:tcW w:w="6488" w:type="dxa"/>
            <w:gridSpan w:val="3"/>
            <w:noWrap w:val="0"/>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kern w:val="0"/>
                <w:sz w:val="24"/>
              </w:rPr>
            </w:pPr>
            <w:r>
              <w:rPr>
                <w:rFonts w:hint="eastAsia"/>
                <w:kern w:val="0"/>
                <w:sz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szCs w:val="21"/>
              </w:rPr>
            </w:pPr>
            <w:r>
              <w:rPr>
                <w:rFonts w:hint="default" w:ascii="Times New Roman" w:hAnsi="Times New Roman" w:eastAsia="宋体" w:cs="Times New Roman"/>
                <w:color w:val="auto"/>
                <w:kern w:val="0"/>
                <w:sz w:val="24"/>
                <w:szCs w:val="21"/>
              </w:rPr>
              <w:t>规划及规划环境</w:t>
            </w:r>
          </w:p>
          <w:p>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szCs w:val="21"/>
              </w:rPr>
            </w:pPr>
            <w:r>
              <w:rPr>
                <w:rFonts w:hint="default" w:ascii="Times New Roman" w:hAnsi="Times New Roman" w:eastAsia="宋体" w:cs="Times New Roman"/>
                <w:color w:val="auto"/>
                <w:kern w:val="0"/>
                <w:sz w:val="24"/>
                <w:szCs w:val="21"/>
              </w:rPr>
              <w:t>影响评价符合性分析</w:t>
            </w:r>
          </w:p>
        </w:tc>
        <w:tc>
          <w:tcPr>
            <w:tcW w:w="6488" w:type="dxa"/>
            <w:gridSpan w:val="3"/>
            <w:noWrap w:val="0"/>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kern w:val="0"/>
                <w:sz w:val="24"/>
              </w:rPr>
            </w:pPr>
            <w:r>
              <w:rPr>
                <w:rFonts w:hint="eastAsia"/>
                <w:kern w:val="0"/>
                <w:sz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szCs w:val="21"/>
              </w:rPr>
            </w:pPr>
            <w:r>
              <w:rPr>
                <w:rFonts w:hint="default" w:ascii="Times New Roman" w:hAnsi="Times New Roman" w:eastAsia="宋体" w:cs="Times New Roman"/>
                <w:color w:val="auto"/>
                <w:kern w:val="0"/>
                <w:sz w:val="24"/>
                <w:szCs w:val="21"/>
              </w:rPr>
              <w:t>其他符合性分析</w:t>
            </w:r>
          </w:p>
        </w:tc>
        <w:tc>
          <w:tcPr>
            <w:tcW w:w="6488" w:type="dxa"/>
            <w:gridSpan w:val="3"/>
            <w:noWrap w:val="0"/>
            <w:vAlign w:val="center"/>
          </w:tcPr>
          <w:p>
            <w:pPr>
              <w:keepNext w:val="0"/>
              <w:keepLines w:val="0"/>
              <w:pageBreakBefore w:val="0"/>
              <w:numPr>
                <w:ilvl w:val="0"/>
                <w:numId w:val="1"/>
              </w:numPr>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“三线一单”符合性分析</w:t>
            </w:r>
          </w:p>
          <w:p>
            <w:pPr>
              <w:keepNext w:val="0"/>
              <w:keepLines w:val="0"/>
              <w:pageBreakBefore w:val="0"/>
              <w:widowControl/>
              <w:kinsoku/>
              <w:wordWrap/>
              <w:overflowPunct/>
              <w:topLinePunct w:val="0"/>
              <w:autoSpaceDE w:val="0"/>
              <w:bidi w:val="0"/>
              <w:adjustRightInd w:val="0"/>
              <w:snapToGrid w:val="0"/>
              <w:spacing w:line="360" w:lineRule="auto"/>
              <w:ind w:left="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与《哈尔滨市人民政府关于实施“三线一单”生态环境分区管控的意见（哈政规[2021]7号）》符合性分析</w:t>
            </w:r>
          </w:p>
          <w:p>
            <w:pPr>
              <w:keepNext w:val="0"/>
              <w:keepLines w:val="0"/>
              <w:pageBreakBefore w:val="0"/>
              <w:kinsoku/>
              <w:wordWrap/>
              <w:overflowPunct/>
              <w:topLinePunct w:val="0"/>
              <w:autoSpaceDE w:val="0"/>
              <w:bidi w:val="0"/>
              <w:adjustRightInd w:val="0"/>
              <w:snapToGrid w:val="0"/>
              <w:spacing w:line="360" w:lineRule="auto"/>
              <w:ind w:left="0" w:firstLine="480" w:firstLineChars="200"/>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根据《哈尔滨市人民政府关于实施“三线一单”生态环境分区管控的意见（哈政规[2021]7号）》可知，本项目厂址位于一般管控单元。本项目在哈尔滨市环境管控单元分布图上的位置见附图</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 xml:space="preserve">。 </w:t>
            </w:r>
          </w:p>
          <w:p>
            <w:pPr>
              <w:pStyle w:val="48"/>
              <w:keepNext w:val="0"/>
              <w:keepLines w:val="0"/>
              <w:pageBreakBefore w:val="0"/>
              <w:widowControl/>
              <w:kinsoku/>
              <w:wordWrap/>
              <w:overflowPunct/>
              <w:topLinePunct w:val="0"/>
              <w:bidi w:val="0"/>
              <w:adjustRightInd w:val="0"/>
              <w:snapToGrid w:val="0"/>
              <w:spacing w:line="360" w:lineRule="auto"/>
              <w:ind w:left="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（1）生态保护红线</w:t>
            </w:r>
          </w:p>
          <w:p>
            <w:pPr>
              <w:keepNext w:val="0"/>
              <w:keepLines w:val="0"/>
              <w:pageBreakBefore w:val="0"/>
              <w:kinsoku/>
              <w:wordWrap/>
              <w:overflowPunct/>
              <w:topLinePunct w:val="0"/>
              <w:bidi w:val="0"/>
              <w:adjustRightInd w:val="0"/>
              <w:snapToGrid w:val="0"/>
              <w:spacing w:line="360" w:lineRule="auto"/>
              <w:ind w:left="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本项目位于哈尔滨市</w:t>
            </w:r>
            <w:r>
              <w:rPr>
                <w:rFonts w:hint="default" w:ascii="Times New Roman" w:hAnsi="Times New Roman" w:eastAsia="宋体" w:cs="Times New Roman"/>
                <w:sz w:val="24"/>
                <w:szCs w:val="24"/>
                <w:lang w:val="en-US" w:eastAsia="zh-CN"/>
              </w:rPr>
              <w:t>双城区联兴乡兴功村1号</w:t>
            </w:r>
            <w:r>
              <w:rPr>
                <w:rFonts w:hint="default" w:ascii="Times New Roman" w:hAnsi="Times New Roman" w:eastAsia="宋体" w:cs="Times New Roman"/>
                <w:sz w:val="24"/>
                <w:szCs w:val="24"/>
              </w:rPr>
              <w:t>。根据《哈尔滨市人民政府关于实施“三线一单”生态环境分区管控的意见（哈政规[2021]7号）》，所在区域不在生态保护红线区域范围内，符合生态保护红线要求。</w:t>
            </w:r>
          </w:p>
          <w:p>
            <w:pPr>
              <w:keepNext w:val="0"/>
              <w:keepLines w:val="0"/>
              <w:pageBreakBefore w:val="0"/>
              <w:kinsoku/>
              <w:wordWrap/>
              <w:overflowPunct/>
              <w:topLinePunct w:val="0"/>
              <w:bidi w:val="0"/>
              <w:adjustRightInd w:val="0"/>
              <w:snapToGrid w:val="0"/>
              <w:spacing w:line="360" w:lineRule="auto"/>
              <w:ind w:left="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（2）环境质量底线</w:t>
            </w:r>
          </w:p>
          <w:p>
            <w:pPr>
              <w:keepNext w:val="0"/>
              <w:keepLines w:val="0"/>
              <w:pageBreakBefore w:val="0"/>
              <w:widowControl/>
              <w:kinsoku/>
              <w:wordWrap/>
              <w:overflowPunct/>
              <w:topLinePunct w:val="0"/>
              <w:bidi w:val="0"/>
              <w:adjustRightInd w:val="0"/>
              <w:snapToGrid w:val="0"/>
              <w:spacing w:line="360" w:lineRule="auto"/>
              <w:ind w:left="0"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项目南侧1</w:t>
            </w:r>
            <w:r>
              <w:rPr>
                <w:rFonts w:hint="default" w:ascii="Times New Roman" w:hAnsi="Times New Roman" w:eastAsia="宋体" w:cs="Times New Roman"/>
                <w:sz w:val="24"/>
                <w:szCs w:val="24"/>
                <w:lang w:val="en-US" w:eastAsia="zh-CN"/>
              </w:rPr>
              <w:t>2.5</w:t>
            </w:r>
            <w:r>
              <w:rPr>
                <w:rFonts w:hint="default" w:ascii="Times New Roman" w:hAnsi="Times New Roman" w:eastAsia="宋体" w:cs="Times New Roman"/>
                <w:sz w:val="24"/>
                <w:szCs w:val="24"/>
              </w:rPr>
              <w:t>km处为拉林河，水环境现状水质满足《地表水环境质量标准》（GB3838-2002）Ⅲ类水体要求。</w:t>
            </w:r>
          </w:p>
          <w:p>
            <w:pPr>
              <w:pStyle w:val="23"/>
              <w:keepNext w:val="0"/>
              <w:keepLines w:val="0"/>
              <w:pageBreakBefore w:val="0"/>
              <w:kinsoku/>
              <w:wordWrap/>
              <w:overflowPunct/>
              <w:topLinePunct w:val="0"/>
              <w:bidi w:val="0"/>
              <w:adjustRightInd w:val="0"/>
              <w:snapToGrid w:val="0"/>
              <w:spacing w:line="360" w:lineRule="auto"/>
              <w:ind w:left="0"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项目运营期污水主要为员工生活污水，经</w:t>
            </w:r>
            <w:r>
              <w:rPr>
                <w:rFonts w:hint="default" w:ascii="Times New Roman" w:hAnsi="Times New Roman" w:eastAsia="宋体" w:cs="Times New Roman"/>
                <w:sz w:val="24"/>
                <w:szCs w:val="24"/>
                <w:lang w:val="en-US" w:eastAsia="zh-CN"/>
              </w:rPr>
              <w:t>化粪池</w:t>
            </w:r>
            <w:r>
              <w:rPr>
                <w:rFonts w:hint="default" w:ascii="Times New Roman" w:hAnsi="Times New Roman" w:eastAsia="宋体" w:cs="Times New Roman"/>
                <w:sz w:val="24"/>
                <w:szCs w:val="24"/>
              </w:rPr>
              <w:t xml:space="preserve">收集后定期清掏、外运堆肥，不会对周围环境造成影响，不会触及环境质量底线。 </w:t>
            </w:r>
          </w:p>
          <w:p>
            <w:pPr>
              <w:keepNext w:val="0"/>
              <w:keepLines w:val="0"/>
              <w:pageBreakBefore w:val="0"/>
              <w:kinsoku/>
              <w:wordWrap/>
              <w:overflowPunct/>
              <w:topLinePunct w:val="0"/>
              <w:bidi w:val="0"/>
              <w:adjustRightInd w:val="0"/>
              <w:snapToGrid w:val="0"/>
              <w:spacing w:line="360" w:lineRule="auto"/>
              <w:ind w:left="0"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本项目位于大气环境二类功能区，项目所在区域 NO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、CO、PM</w:t>
            </w:r>
            <w:r>
              <w:rPr>
                <w:rFonts w:hint="default" w:ascii="Times New Roman" w:hAnsi="Times New Roman" w:eastAsia="宋体" w:cs="Times New Roman"/>
                <w:sz w:val="24"/>
                <w:szCs w:val="24"/>
                <w:vertAlign w:val="subscript"/>
              </w:rPr>
              <w:t>10</w:t>
            </w:r>
            <w:r>
              <w:rPr>
                <w:rFonts w:hint="default" w:ascii="Times New Roman" w:hAnsi="Times New Roman" w:eastAsia="宋体" w:cs="Times New Roman"/>
                <w:sz w:val="24"/>
                <w:szCs w:val="24"/>
              </w:rPr>
              <w:t>、O</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浓度满足《环境空气质量标准》（GB3095-2012）及修改单中二级标准。PM</w:t>
            </w:r>
            <w:r>
              <w:rPr>
                <w:rFonts w:hint="default" w:ascii="Times New Roman" w:hAnsi="Times New Roman" w:eastAsia="宋体" w:cs="Times New Roman"/>
                <w:sz w:val="24"/>
                <w:szCs w:val="24"/>
                <w:vertAlign w:val="subscript"/>
              </w:rPr>
              <w:t>2.5</w:t>
            </w:r>
            <w:r>
              <w:rPr>
                <w:rFonts w:hint="default" w:ascii="Times New Roman" w:hAnsi="Times New Roman" w:eastAsia="宋体" w:cs="Times New Roman"/>
                <w:sz w:val="24"/>
                <w:szCs w:val="24"/>
              </w:rPr>
              <w:t>浓度不满足《环境空气质量标准》（GB3095-2012）及修改单中二级标准。项目所在区域为不达标区。</w:t>
            </w:r>
          </w:p>
          <w:p>
            <w:pPr>
              <w:pStyle w:val="23"/>
              <w:keepNext w:val="0"/>
              <w:keepLines w:val="0"/>
              <w:pageBreakBefore w:val="0"/>
              <w:kinsoku/>
              <w:wordWrap/>
              <w:overflowPunct/>
              <w:topLinePunct w:val="0"/>
              <w:bidi w:val="0"/>
              <w:adjustRightInd w:val="0"/>
              <w:snapToGrid w:val="0"/>
              <w:spacing w:line="360" w:lineRule="auto"/>
              <w:ind w:left="0"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项目运营期主要大气污染物为烟尘、氮氧化物、二氧化硫、汞</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硫酸雾</w:t>
            </w:r>
            <w:r>
              <w:rPr>
                <w:rFonts w:hint="default" w:ascii="Times New Roman" w:hAnsi="Times New Roman" w:eastAsia="宋体" w:cs="Times New Roman"/>
                <w:sz w:val="24"/>
                <w:szCs w:val="24"/>
              </w:rPr>
              <w:t>等，</w:t>
            </w:r>
            <w:r>
              <w:rPr>
                <w:rFonts w:hint="default" w:ascii="Times New Roman" w:hAnsi="Times New Roman" w:eastAsia="宋体" w:cs="Times New Roman"/>
                <w:sz w:val="24"/>
                <w:szCs w:val="24"/>
                <w:lang w:val="en-US" w:eastAsia="zh-CN"/>
              </w:rPr>
              <w:t>实验室废气经集气罩收集经活性炭吸附装置处理后</w:t>
            </w:r>
            <w:r>
              <w:rPr>
                <w:rFonts w:hint="eastAsia" w:ascii="Times New Roman" w:hAnsi="Times New Roman" w:eastAsia="宋体" w:cs="Times New Roman"/>
                <w:sz w:val="24"/>
                <w:szCs w:val="24"/>
                <w:lang w:val="en-US" w:eastAsia="zh-CN"/>
              </w:rPr>
              <w:t>专用</w:t>
            </w:r>
            <w:r>
              <w:rPr>
                <w:rFonts w:hint="default" w:ascii="Times New Roman" w:hAnsi="Times New Roman" w:eastAsia="宋体" w:cs="Times New Roman"/>
                <w:sz w:val="24"/>
                <w:szCs w:val="24"/>
                <w:lang w:val="en-US" w:eastAsia="zh-CN"/>
              </w:rPr>
              <w:t>排气筒排放，排放浓度符合</w:t>
            </w:r>
            <w:r>
              <w:rPr>
                <w:rFonts w:hint="default" w:ascii="Times New Roman" w:hAnsi="Times New Roman" w:eastAsia="宋体" w:cs="Times New Roman"/>
                <w:sz w:val="24"/>
                <w:szCs w:val="24"/>
              </w:rPr>
              <w:t>《大气污染物综合排放标准》（GB16297-1996）表2二级标准要求及无组织排放标准要求</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2台1t/h</w:t>
            </w:r>
            <w:r>
              <w:rPr>
                <w:rFonts w:hint="default" w:ascii="Times New Roman" w:hAnsi="Times New Roman" w:eastAsia="宋体" w:cs="Times New Roman"/>
                <w:sz w:val="24"/>
                <w:szCs w:val="24"/>
              </w:rPr>
              <w:t>热风炉产生废气</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制粒工艺用热风炉废气</w:t>
            </w:r>
            <w:r>
              <w:rPr>
                <w:rFonts w:hint="default" w:ascii="Times New Roman" w:hAnsi="Times New Roman" w:eastAsia="宋体" w:cs="Times New Roman"/>
                <w:sz w:val="24"/>
                <w:szCs w:val="24"/>
              </w:rPr>
              <w:t>经</w:t>
            </w:r>
            <w:r>
              <w:rPr>
                <w:rFonts w:hint="default" w:ascii="Times New Roman" w:hAnsi="Times New Roman" w:eastAsia="宋体" w:cs="Times New Roman"/>
                <w:sz w:val="24"/>
                <w:szCs w:val="24"/>
                <w:lang w:val="en-US" w:eastAsia="zh-CN"/>
              </w:rPr>
              <w:t>脉冲</w:t>
            </w:r>
            <w:r>
              <w:rPr>
                <w:rFonts w:hint="default" w:ascii="Times New Roman" w:hAnsi="Times New Roman" w:eastAsia="宋体" w:cs="Times New Roman"/>
                <w:sz w:val="24"/>
                <w:szCs w:val="24"/>
              </w:rPr>
              <w:t>除尘器</w:t>
            </w:r>
            <w:r>
              <w:rPr>
                <w:rFonts w:hint="default" w:ascii="Times New Roman" w:hAnsi="Times New Roman" w:eastAsia="宋体" w:cs="Times New Roman"/>
                <w:sz w:val="24"/>
                <w:szCs w:val="24"/>
                <w:lang w:val="en-US" w:eastAsia="zh-CN"/>
              </w:rPr>
              <w:t>及</w:t>
            </w:r>
            <w:r>
              <w:rPr>
                <w:rFonts w:hint="default" w:ascii="Times New Roman" w:hAnsi="Times New Roman" w:eastAsia="宋体" w:cs="Times New Roman"/>
                <w:sz w:val="24"/>
                <w:szCs w:val="24"/>
              </w:rPr>
              <w:t>处理后</w:t>
            </w:r>
            <w:r>
              <w:rPr>
                <w:rFonts w:hint="default" w:ascii="Times New Roman" w:hAnsi="Times New Roman" w:eastAsia="宋体" w:cs="Times New Roman"/>
                <w:sz w:val="24"/>
                <w:szCs w:val="24"/>
                <w:lang w:val="en-US" w:eastAsia="zh-CN"/>
              </w:rPr>
              <w:t>由15m高排气筒排放，供暖热风炉废气经</w:t>
            </w:r>
            <w:r>
              <w:rPr>
                <w:rFonts w:hint="eastAsia" w:ascii="Times New Roman" w:hAnsi="Times New Roman" w:eastAsia="宋体" w:cs="Times New Roman"/>
                <w:sz w:val="24"/>
                <w:szCs w:val="24"/>
                <w:lang w:val="en-US" w:eastAsia="zh-CN"/>
              </w:rPr>
              <w:t>脉冲</w:t>
            </w:r>
            <w:r>
              <w:rPr>
                <w:rFonts w:hint="default" w:ascii="Times New Roman" w:hAnsi="Times New Roman" w:eastAsia="宋体" w:cs="Times New Roman"/>
                <w:sz w:val="24"/>
                <w:szCs w:val="24"/>
                <w:lang w:val="en-US" w:eastAsia="zh-CN"/>
              </w:rPr>
              <w:t>除尘器处理后由15m高排气筒排放；2台热风炉废气</w:t>
            </w:r>
            <w:r>
              <w:rPr>
                <w:rFonts w:hint="default" w:ascii="Times New Roman" w:hAnsi="Times New Roman" w:eastAsia="宋体" w:cs="Times New Roman"/>
                <w:sz w:val="24"/>
                <w:szCs w:val="24"/>
              </w:rPr>
              <w:t>各项污染物排放浓度满足项目燃</w:t>
            </w:r>
            <w:r>
              <w:rPr>
                <w:rFonts w:hint="default" w:ascii="Times New Roman" w:hAnsi="Times New Roman" w:eastAsia="宋体" w:cs="Times New Roman"/>
                <w:sz w:val="24"/>
                <w:szCs w:val="24"/>
                <w:lang w:val="en-US" w:eastAsia="zh-CN"/>
              </w:rPr>
              <w:t>生物质</w:t>
            </w:r>
            <w:r>
              <w:rPr>
                <w:rFonts w:hint="default" w:ascii="Times New Roman" w:hAnsi="Times New Roman" w:eastAsia="宋体" w:cs="Times New Roman"/>
                <w:sz w:val="24"/>
                <w:szCs w:val="24"/>
              </w:rPr>
              <w:t>锅炉烟气排放浓度</w:t>
            </w:r>
            <w:r>
              <w:rPr>
                <w:rFonts w:hint="default" w:ascii="Times New Roman" w:hAnsi="Times New Roman" w:eastAsia="宋体" w:cs="Times New Roman"/>
                <w:sz w:val="24"/>
                <w:szCs w:val="24"/>
                <w:lang w:val="en-US" w:eastAsia="zh-CN"/>
              </w:rPr>
              <w:t>符合</w:t>
            </w:r>
            <w:r>
              <w:rPr>
                <w:rFonts w:hint="default" w:ascii="Times New Roman" w:hAnsi="Times New Roman" w:eastAsia="宋体" w:cs="Times New Roman"/>
                <w:sz w:val="24"/>
                <w:szCs w:val="24"/>
              </w:rPr>
              <w:t>《锅炉大气污染物排放标准》（GB13271-2014）表2燃</w:t>
            </w:r>
            <w:r>
              <w:rPr>
                <w:rFonts w:hint="default" w:ascii="Times New Roman" w:hAnsi="Times New Roman" w:eastAsia="宋体" w:cs="Times New Roman"/>
                <w:sz w:val="24"/>
                <w:szCs w:val="24"/>
                <w:lang w:val="en-US" w:eastAsia="zh-CN"/>
              </w:rPr>
              <w:t>煤</w:t>
            </w:r>
            <w:r>
              <w:rPr>
                <w:rFonts w:hint="default" w:ascii="Times New Roman" w:hAnsi="Times New Roman" w:eastAsia="宋体" w:cs="Times New Roman"/>
                <w:sz w:val="24"/>
                <w:szCs w:val="24"/>
              </w:rPr>
              <w:t>锅炉排放限值</w:t>
            </w:r>
            <w:r>
              <w:rPr>
                <w:rFonts w:hint="default" w:ascii="Times New Roman" w:hAnsi="Times New Roman" w:eastAsia="宋体" w:cs="Times New Roman"/>
                <w:sz w:val="24"/>
                <w:szCs w:val="24"/>
                <w:lang w:val="en-US" w:eastAsia="zh-CN"/>
              </w:rPr>
              <w:t>要求</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本项目食堂油烟设置油烟处理器后经高于楼顶的专用烟道排放；</w:t>
            </w:r>
            <w:r>
              <w:rPr>
                <w:rFonts w:hint="default" w:ascii="Times New Roman" w:hAnsi="Times New Roman" w:eastAsia="宋体" w:cs="Times New Roman"/>
                <w:sz w:val="24"/>
                <w:szCs w:val="24"/>
              </w:rPr>
              <w:t>符合环境质量底线要求。</w:t>
            </w:r>
          </w:p>
          <w:p>
            <w:pPr>
              <w:pStyle w:val="23"/>
              <w:keepNext w:val="0"/>
              <w:keepLines w:val="0"/>
              <w:pageBreakBefore w:val="0"/>
              <w:kinsoku/>
              <w:wordWrap/>
              <w:overflowPunct/>
              <w:topLinePunct w:val="0"/>
              <w:bidi w:val="0"/>
              <w:adjustRightInd w:val="0"/>
              <w:snapToGrid w:val="0"/>
              <w:spacing w:line="360" w:lineRule="auto"/>
              <w:ind w:left="0" w:firstLine="480" w:firstLineChars="200"/>
              <w:jc w:val="left"/>
              <w:rPr>
                <w:rFonts w:hint="default" w:ascii="Times New Roman" w:hAnsi="Times New Roman" w:eastAsia="宋体" w:cs="Times New Roman"/>
                <w:sz w:val="24"/>
                <w:szCs w:val="24"/>
                <w:lang w:val="en-US"/>
              </w:rPr>
            </w:pPr>
            <w:r>
              <w:rPr>
                <w:rFonts w:hint="default" w:ascii="Times New Roman" w:hAnsi="Times New Roman" w:eastAsia="宋体" w:cs="Times New Roman"/>
                <w:color w:val="auto"/>
                <w:szCs w:val="21"/>
              </w:rPr>
              <w:t>本项目属于饲料项目，</w:t>
            </w:r>
            <w:r>
              <w:rPr>
                <w:rFonts w:hint="eastAsia" w:ascii="Times New Roman" w:hAnsi="Times New Roman" w:eastAsia="宋体" w:cs="Times New Roman"/>
                <w:color w:val="auto"/>
                <w:szCs w:val="21"/>
                <w:lang w:val="en-US" w:eastAsia="zh-CN"/>
              </w:rPr>
              <w:t>厂区地面均已硬化，</w:t>
            </w:r>
            <w:r>
              <w:rPr>
                <w:rFonts w:hint="default" w:ascii="Times New Roman" w:hAnsi="Times New Roman" w:eastAsia="宋体" w:cs="Times New Roman"/>
                <w:color w:val="auto"/>
                <w:szCs w:val="21"/>
              </w:rPr>
              <w:t>不属于需考虑大气沉降影响的行业，且项目不涉及地面漫流等，建设项目敏感程度为不敏感。故本项目不需要开展土壤环境影响评价。产生的固体废物进行合理处置，处置率100%</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sz w:val="24"/>
                <w:szCs w:val="24"/>
              </w:rPr>
              <w:t>本</w:t>
            </w:r>
            <w:r>
              <w:rPr>
                <w:rFonts w:hint="eastAsia" w:ascii="Times New Roman" w:hAnsi="Times New Roman" w:eastAsia="宋体" w:cs="Times New Roman"/>
                <w:color w:val="auto"/>
                <w:szCs w:val="21"/>
                <w:lang w:val="en-US" w:eastAsia="zh-CN"/>
              </w:rPr>
              <w:t>项目选址为建设用地，已获得哈尔滨市人民政府建设用地审批件；本项目不会对周围土壤环境造成污染，符合环境质量底线要求。</w:t>
            </w:r>
          </w:p>
          <w:p>
            <w:pPr>
              <w:keepNext w:val="0"/>
              <w:keepLines w:val="0"/>
              <w:pageBreakBefore w:val="0"/>
              <w:kinsoku/>
              <w:wordWrap/>
              <w:overflowPunct/>
              <w:topLinePunct w:val="0"/>
              <w:bidi w:val="0"/>
              <w:adjustRightInd w:val="0"/>
              <w:snapToGrid w:val="0"/>
              <w:spacing w:line="360" w:lineRule="auto"/>
              <w:ind w:left="0"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（3）资源利用上线</w:t>
            </w:r>
          </w:p>
          <w:p>
            <w:pPr>
              <w:keepNext w:val="0"/>
              <w:keepLines w:val="0"/>
              <w:pageBreakBefore w:val="0"/>
              <w:widowControl/>
              <w:kinsoku/>
              <w:wordWrap/>
              <w:overflowPunct/>
              <w:topLinePunct w:val="0"/>
              <w:bidi w:val="0"/>
              <w:adjustRightInd w:val="0"/>
              <w:snapToGrid w:val="0"/>
              <w:spacing w:line="360" w:lineRule="auto"/>
              <w:ind w:left="0"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本项目用水由市政供水管网提供，资源消耗量相对于区域资源利用总量较小，符合水资源利用要求。本</w:t>
            </w:r>
            <w:r>
              <w:rPr>
                <w:rFonts w:hint="eastAsia" w:cs="Times New Roman"/>
                <w:sz w:val="24"/>
                <w:szCs w:val="24"/>
                <w:lang w:val="en-US" w:eastAsia="zh-CN"/>
              </w:rPr>
              <w:t>项目选址为建设用地，已获得哈尔滨市人民政府建设用地审批件</w:t>
            </w:r>
            <w:r>
              <w:rPr>
                <w:rFonts w:hint="default" w:ascii="Times New Roman" w:hAnsi="Times New Roman" w:eastAsia="宋体" w:cs="Times New Roman"/>
                <w:sz w:val="24"/>
                <w:szCs w:val="24"/>
              </w:rPr>
              <w:t>，已与</w:t>
            </w:r>
            <w:r>
              <w:rPr>
                <w:rFonts w:hint="eastAsia" w:cs="Times New Roman"/>
                <w:sz w:val="24"/>
                <w:szCs w:val="24"/>
                <w:lang w:val="en-US" w:eastAsia="zh-CN"/>
              </w:rPr>
              <w:t>原厂主</w:t>
            </w:r>
            <w:r>
              <w:rPr>
                <w:rFonts w:hint="default" w:ascii="Times New Roman" w:hAnsi="Times New Roman" w:eastAsia="宋体" w:cs="Times New Roman"/>
                <w:sz w:val="24"/>
                <w:szCs w:val="24"/>
              </w:rPr>
              <w:t>签订协议，符合土地资源利用要求。</w:t>
            </w:r>
          </w:p>
          <w:p>
            <w:pPr>
              <w:keepNext w:val="0"/>
              <w:keepLines w:val="0"/>
              <w:pageBreakBefore w:val="0"/>
              <w:widowControl/>
              <w:kinsoku/>
              <w:wordWrap/>
              <w:overflowPunct/>
              <w:topLinePunct w:val="0"/>
              <w:bidi w:val="0"/>
              <w:adjustRightInd w:val="0"/>
              <w:snapToGrid w:val="0"/>
              <w:spacing w:line="360" w:lineRule="auto"/>
              <w:ind w:left="0"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（4）生态环境准入清单</w:t>
            </w:r>
          </w:p>
          <w:p>
            <w:pPr>
              <w:keepNext w:val="0"/>
              <w:keepLines w:val="0"/>
              <w:pageBreakBefore w:val="0"/>
              <w:kinsoku/>
              <w:wordWrap/>
              <w:overflowPunct/>
              <w:topLinePunct w:val="0"/>
              <w:bidi w:val="0"/>
              <w:adjustRightInd w:val="0"/>
              <w:snapToGrid w:val="0"/>
              <w:spacing w:line="360" w:lineRule="auto"/>
              <w:ind w:left="0"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本项目位于</w:t>
            </w:r>
            <w:r>
              <w:rPr>
                <w:rFonts w:hint="default" w:ascii="Times New Roman" w:hAnsi="Times New Roman" w:eastAsia="宋体" w:cs="Times New Roman"/>
                <w:sz w:val="24"/>
                <w:szCs w:val="24"/>
                <w:lang w:val="en-US" w:eastAsia="zh-CN"/>
              </w:rPr>
              <w:t>黑龙江省哈尔滨市双城区联兴乡兴功村1号</w:t>
            </w:r>
            <w:r>
              <w:rPr>
                <w:rFonts w:hint="default" w:ascii="Times New Roman" w:hAnsi="Times New Roman" w:eastAsia="宋体" w:cs="Times New Roman"/>
                <w:sz w:val="24"/>
                <w:szCs w:val="24"/>
              </w:rPr>
              <w:t>，根据《哈尔滨市人民政府关于实施“三线一单”生态环境分区控制的意见》哈政规[2021]7号，本项目与哈尔滨市双城区生态环境准入清单对照情况见下表。</w:t>
            </w:r>
          </w:p>
          <w:p>
            <w:pPr>
              <w:pStyle w:val="23"/>
              <w:keepNext w:val="0"/>
              <w:keepLines w:val="0"/>
              <w:pageBreakBefore w:val="0"/>
              <w:kinsoku/>
              <w:wordWrap/>
              <w:overflowPunct/>
              <w:topLinePunct w:val="0"/>
              <w:bidi w:val="0"/>
            </w:pPr>
          </w:p>
          <w:p>
            <w:pPr>
              <w:keepNext w:val="0"/>
              <w:keepLines w:val="0"/>
              <w:pageBreakBefore w:val="0"/>
              <w:kinsoku/>
              <w:wordWrap/>
              <w:overflowPunct/>
              <w:topLinePunct w:val="0"/>
              <w:autoSpaceDE w:val="0"/>
              <w:autoSpaceDN w:val="0"/>
              <w:bidi w:val="0"/>
              <w:adjustRightInd w:val="0"/>
              <w:snapToGrid w:val="0"/>
              <w:spacing w:beforeAutospacing="0" w:afterAutospacing="0" w:line="240" w:lineRule="auto"/>
              <w:ind w:left="0" w:leftChars="0" w:right="0" w:rightChars="0"/>
              <w:jc w:val="center"/>
              <w:rPr>
                <w:rFonts w:hint="default"/>
                <w:b/>
                <w:bCs/>
              </w:rPr>
            </w:pPr>
            <w:r>
              <w:rPr>
                <w:rFonts w:hint="default"/>
                <w:b/>
                <w:bCs/>
              </w:rPr>
              <w:t>表1-8  生态环境准入清单管控要求符合性分析</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8"/>
              <w:gridCol w:w="753"/>
              <w:gridCol w:w="629"/>
              <w:gridCol w:w="376"/>
              <w:gridCol w:w="2511"/>
              <w:gridCol w:w="12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604" w:type="pct"/>
                  <w:tcBorders>
                    <w:tl2br w:val="nil"/>
                    <w:tr2bl w:val="nil"/>
                  </w:tcBorders>
                  <w:vAlign w:val="center"/>
                </w:tcPr>
                <w:p>
                  <w:pPr>
                    <w:pStyle w:val="49"/>
                    <w:keepNext w:val="0"/>
                    <w:keepLines w:val="0"/>
                    <w:pageBreakBefore w:val="0"/>
                    <w:kinsoku/>
                    <w:wordWrap/>
                    <w:overflowPunct/>
                    <w:topLinePunct w:val="0"/>
                    <w:bidi w:val="0"/>
                  </w:pPr>
                  <w:r>
                    <w:t>管控单元编码</w:t>
                  </w:r>
                </w:p>
              </w:tc>
              <w:tc>
                <w:tcPr>
                  <w:tcW w:w="600" w:type="pct"/>
                  <w:tcBorders>
                    <w:tl2br w:val="nil"/>
                    <w:tr2bl w:val="nil"/>
                  </w:tcBorders>
                  <w:vAlign w:val="center"/>
                </w:tcPr>
                <w:p>
                  <w:pPr>
                    <w:pStyle w:val="49"/>
                    <w:keepNext w:val="0"/>
                    <w:keepLines w:val="0"/>
                    <w:pageBreakBefore w:val="0"/>
                    <w:kinsoku/>
                    <w:wordWrap/>
                    <w:overflowPunct/>
                    <w:topLinePunct w:val="0"/>
                    <w:bidi w:val="0"/>
                  </w:pPr>
                  <w:r>
                    <w:t>环境管控单元名称</w:t>
                  </w:r>
                </w:p>
              </w:tc>
              <w:tc>
                <w:tcPr>
                  <w:tcW w:w="501" w:type="pct"/>
                  <w:tcBorders>
                    <w:tl2br w:val="nil"/>
                    <w:tr2bl w:val="nil"/>
                  </w:tcBorders>
                  <w:vAlign w:val="center"/>
                </w:tcPr>
                <w:p>
                  <w:pPr>
                    <w:pStyle w:val="49"/>
                    <w:keepNext w:val="0"/>
                    <w:keepLines w:val="0"/>
                    <w:pageBreakBefore w:val="0"/>
                    <w:kinsoku/>
                    <w:wordWrap/>
                    <w:overflowPunct/>
                    <w:topLinePunct w:val="0"/>
                    <w:bidi w:val="0"/>
                  </w:pPr>
                  <w:r>
                    <w:t>管控单元类别</w:t>
                  </w:r>
                </w:p>
              </w:tc>
              <w:tc>
                <w:tcPr>
                  <w:tcW w:w="2302" w:type="pct"/>
                  <w:gridSpan w:val="2"/>
                  <w:tcBorders>
                    <w:tl2br w:val="nil"/>
                    <w:tr2bl w:val="nil"/>
                  </w:tcBorders>
                  <w:vAlign w:val="center"/>
                </w:tcPr>
                <w:p>
                  <w:pPr>
                    <w:pStyle w:val="49"/>
                    <w:keepNext w:val="0"/>
                    <w:keepLines w:val="0"/>
                    <w:pageBreakBefore w:val="0"/>
                    <w:kinsoku/>
                    <w:wordWrap/>
                    <w:overflowPunct/>
                    <w:topLinePunct w:val="0"/>
                    <w:bidi w:val="0"/>
                  </w:pPr>
                  <w:r>
                    <w:t>管控要求</w:t>
                  </w:r>
                </w:p>
              </w:tc>
              <w:tc>
                <w:tcPr>
                  <w:tcW w:w="992" w:type="pct"/>
                  <w:tcBorders>
                    <w:tl2br w:val="nil"/>
                    <w:tr2bl w:val="nil"/>
                  </w:tcBorders>
                  <w:vAlign w:val="center"/>
                </w:tcPr>
                <w:p>
                  <w:pPr>
                    <w:pStyle w:val="49"/>
                    <w:keepNext w:val="0"/>
                    <w:keepLines w:val="0"/>
                    <w:pageBreakBefore w:val="0"/>
                    <w:kinsoku/>
                    <w:wordWrap/>
                    <w:overflowPunct/>
                    <w:topLinePunct w:val="0"/>
                    <w:bidi w:val="0"/>
                  </w:pPr>
                  <w: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33" w:hRule="atLeast"/>
              </w:trPr>
              <w:tc>
                <w:tcPr>
                  <w:tcW w:w="604" w:type="pct"/>
                  <w:tcBorders>
                    <w:tl2br w:val="nil"/>
                    <w:tr2bl w:val="nil"/>
                  </w:tcBorders>
                  <w:vAlign w:val="center"/>
                </w:tcPr>
                <w:p>
                  <w:pPr>
                    <w:pStyle w:val="49"/>
                    <w:keepNext w:val="0"/>
                    <w:keepLines w:val="0"/>
                    <w:pageBreakBefore w:val="0"/>
                    <w:kinsoku/>
                    <w:wordWrap/>
                    <w:overflowPunct/>
                    <w:topLinePunct w:val="0"/>
                    <w:bidi w:val="0"/>
                  </w:pPr>
                  <w:r>
                    <w:t>ZH23011130002</w:t>
                  </w:r>
                </w:p>
              </w:tc>
              <w:tc>
                <w:tcPr>
                  <w:tcW w:w="600" w:type="pct"/>
                  <w:tcBorders>
                    <w:tl2br w:val="nil"/>
                    <w:tr2bl w:val="nil"/>
                  </w:tcBorders>
                  <w:vAlign w:val="center"/>
                </w:tcPr>
                <w:p>
                  <w:pPr>
                    <w:pStyle w:val="49"/>
                    <w:keepNext w:val="0"/>
                    <w:keepLines w:val="0"/>
                    <w:pageBreakBefore w:val="0"/>
                    <w:kinsoku/>
                    <w:wordWrap/>
                    <w:overflowPunct/>
                    <w:topLinePunct w:val="0"/>
                    <w:bidi w:val="0"/>
                  </w:pPr>
                  <w:r>
                    <w:t>其他区域</w:t>
                  </w:r>
                </w:p>
              </w:tc>
              <w:tc>
                <w:tcPr>
                  <w:tcW w:w="501" w:type="pct"/>
                  <w:tcBorders>
                    <w:tl2br w:val="nil"/>
                    <w:tr2bl w:val="nil"/>
                  </w:tcBorders>
                  <w:vAlign w:val="center"/>
                </w:tcPr>
                <w:p>
                  <w:pPr>
                    <w:pStyle w:val="49"/>
                    <w:keepNext w:val="0"/>
                    <w:keepLines w:val="0"/>
                    <w:pageBreakBefore w:val="0"/>
                    <w:kinsoku/>
                    <w:wordWrap/>
                    <w:overflowPunct/>
                    <w:topLinePunct w:val="0"/>
                    <w:bidi w:val="0"/>
                  </w:pPr>
                  <w:r>
                    <w:t>一般管控单元</w:t>
                  </w:r>
                </w:p>
              </w:tc>
              <w:tc>
                <w:tcPr>
                  <w:tcW w:w="300" w:type="pct"/>
                  <w:tcBorders>
                    <w:tl2br w:val="nil"/>
                    <w:tr2bl w:val="nil"/>
                  </w:tcBorders>
                  <w:vAlign w:val="center"/>
                </w:tcPr>
                <w:p>
                  <w:pPr>
                    <w:pStyle w:val="49"/>
                    <w:keepNext w:val="0"/>
                    <w:keepLines w:val="0"/>
                    <w:pageBreakBefore w:val="0"/>
                    <w:kinsoku/>
                    <w:wordWrap/>
                    <w:overflowPunct/>
                    <w:topLinePunct w:val="0"/>
                    <w:bidi w:val="0"/>
                  </w:pPr>
                  <w:r>
                    <w:t>空间布局约束</w:t>
                  </w:r>
                </w:p>
              </w:tc>
              <w:tc>
                <w:tcPr>
                  <w:tcW w:w="2002" w:type="pct"/>
                  <w:tcBorders>
                    <w:tl2br w:val="nil"/>
                    <w:tr2bl w:val="nil"/>
                  </w:tcBorders>
                  <w:vAlign w:val="center"/>
                </w:tcPr>
                <w:p>
                  <w:pPr>
                    <w:pStyle w:val="49"/>
                    <w:keepNext w:val="0"/>
                    <w:keepLines w:val="0"/>
                    <w:pageBreakBefore w:val="0"/>
                    <w:kinsoku/>
                    <w:wordWrap/>
                    <w:overflowPunct/>
                    <w:topLinePunct w:val="0"/>
                    <w:bidi w:val="0"/>
                  </w:pPr>
                  <w:r>
                    <w:t>1.执行本清单全省准入要求中“6.1一般管控单元总体要求”（贯彻实施国家与黑龙江省大气、水污染相关各项标准，深化重点行业污染治理，推进国家和地方确定的各项产业结构调整措施；引导工业项目向园区集聚；严禁钢铁、水泥、电解</w:t>
                  </w:r>
                </w:p>
                <w:p>
                  <w:pPr>
                    <w:pStyle w:val="49"/>
                    <w:keepNext w:val="0"/>
                    <w:keepLines w:val="0"/>
                    <w:pageBreakBefore w:val="0"/>
                    <w:kinsoku/>
                    <w:wordWrap/>
                    <w:overflowPunct/>
                    <w:topLinePunct w:val="0"/>
                    <w:bidi w:val="0"/>
                  </w:pPr>
                  <w:r>
                    <w:t>铝等产能严重过剩行业扩能；重点对电力、钢铁、建材、有色、化工、石油石化、煤炭、印染等行业中，环保、能耗等不达标或生产、使用淘汰类产品的企业和产能，依法依规改造升级或有序退出。）准入要求。</w:t>
                  </w:r>
                </w:p>
              </w:tc>
              <w:tc>
                <w:tcPr>
                  <w:tcW w:w="992" w:type="pct"/>
                  <w:tcBorders>
                    <w:tl2br w:val="nil"/>
                    <w:tr2bl w:val="nil"/>
                  </w:tcBorders>
                  <w:vAlign w:val="center"/>
                </w:tcPr>
                <w:p>
                  <w:pPr>
                    <w:pStyle w:val="49"/>
                    <w:keepNext w:val="0"/>
                    <w:keepLines w:val="0"/>
                    <w:pageBreakBefore w:val="0"/>
                    <w:kinsoku/>
                    <w:wordWrap/>
                    <w:overflowPunct/>
                    <w:topLinePunct w:val="0"/>
                    <w:bidi w:val="0"/>
                  </w:pPr>
                  <w:r>
                    <w:t>本项目不属于钢铁、水泥、电解铝、电力、有色、化工、石油石化、煤炭、印染等行业。生产不涉及环保、能耗等不达标或生产、使用淘汰类产品。符合准入要求。</w:t>
                  </w:r>
                </w:p>
              </w:tc>
            </w:tr>
          </w:tbl>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建设过程中采取了有效、可行的污染治理措施，各项污染物均可达标排放，本项目建设对周围环境影响较小，因此本项目符合《哈尔滨市人民政府关于实施“三线一单”生态环境分区管控的意见哈政规〔2021〕7号》以及《黑龙江省“三线一单”文本》中要求。</w:t>
            </w:r>
          </w:p>
          <w:p>
            <w:pPr>
              <w:keepNext w:val="0"/>
              <w:keepLines w:val="0"/>
              <w:pageBreakBefore w:val="0"/>
              <w:widowControl w:val="0"/>
              <w:numPr>
                <w:ilvl w:val="0"/>
                <w:numId w:val="1"/>
              </w:numPr>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选址合理性分析</w:t>
            </w:r>
          </w:p>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本项目位于</w:t>
            </w:r>
            <w:r>
              <w:rPr>
                <w:rFonts w:hint="default" w:ascii="Times New Roman" w:hAnsi="Times New Roman" w:eastAsia="宋体" w:cs="Times New Roman"/>
                <w:sz w:val="24"/>
                <w:szCs w:val="24"/>
                <w:lang w:val="en-US" w:eastAsia="zh-CN"/>
              </w:rPr>
              <w:t>黑龙江省哈尔滨市双城区联兴乡兴功村1号</w:t>
            </w:r>
            <w:r>
              <w:rPr>
                <w:rFonts w:hint="default" w:ascii="Times New Roman" w:hAnsi="Times New Roman" w:eastAsia="宋体" w:cs="Times New Roman"/>
                <w:sz w:val="24"/>
                <w:szCs w:val="24"/>
              </w:rPr>
              <w:t>，项目东侧为</w:t>
            </w:r>
            <w:r>
              <w:rPr>
                <w:rFonts w:hint="default" w:ascii="Times New Roman" w:hAnsi="Times New Roman" w:eastAsia="宋体" w:cs="Times New Roman"/>
                <w:sz w:val="24"/>
                <w:szCs w:val="24"/>
                <w:lang w:val="en-US" w:eastAsia="zh-CN"/>
              </w:rPr>
              <w:t>兴功村居民</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南侧</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西侧、北侧均</w:t>
            </w:r>
            <w:r>
              <w:rPr>
                <w:rFonts w:hint="default" w:ascii="Times New Roman" w:hAnsi="Times New Roman" w:eastAsia="宋体" w:cs="Times New Roman"/>
                <w:sz w:val="24"/>
                <w:szCs w:val="24"/>
              </w:rPr>
              <w:t>为</w:t>
            </w:r>
            <w:r>
              <w:rPr>
                <w:rFonts w:hint="default" w:ascii="Times New Roman" w:hAnsi="Times New Roman" w:eastAsia="宋体" w:cs="Times New Roman"/>
                <w:sz w:val="24"/>
                <w:szCs w:val="24"/>
                <w:lang w:val="en-US" w:eastAsia="zh-CN"/>
              </w:rPr>
              <w:t>农田</w:t>
            </w:r>
            <w:r>
              <w:rPr>
                <w:rFonts w:hint="default" w:ascii="Times New Roman" w:hAnsi="Times New Roman" w:eastAsia="宋体" w:cs="Times New Roman"/>
                <w:sz w:val="24"/>
                <w:szCs w:val="24"/>
              </w:rPr>
              <w:t>。项目土地性质为</w:t>
            </w:r>
            <w:r>
              <w:rPr>
                <w:rFonts w:hint="eastAsia" w:cs="Times New Roman"/>
                <w:color w:val="000000" w:themeColor="text1"/>
                <w:sz w:val="24"/>
                <w:szCs w:val="24"/>
                <w:lang w:val="en-US" w:eastAsia="zh-CN"/>
                <w14:textFill>
                  <w14:solidFill>
                    <w14:schemeClr w14:val="tx1"/>
                  </w14:solidFill>
                </w14:textFill>
              </w:rPr>
              <w:t>建设</w:t>
            </w:r>
            <w:r>
              <w:rPr>
                <w:rFonts w:hint="default" w:ascii="Times New Roman" w:hAnsi="Times New Roman" w:eastAsia="宋体" w:cs="Times New Roman"/>
                <w:color w:val="000000" w:themeColor="text1"/>
                <w:sz w:val="24"/>
                <w:szCs w:val="24"/>
                <w14:textFill>
                  <w14:solidFill>
                    <w14:schemeClr w14:val="tx1"/>
                  </w14:solidFill>
                </w14:textFill>
              </w:rPr>
              <w:t>用地，</w:t>
            </w:r>
            <w:r>
              <w:rPr>
                <w:rFonts w:hint="default" w:ascii="Times New Roman" w:hAnsi="Times New Roman" w:eastAsia="宋体" w:cs="Times New Roman"/>
                <w:sz w:val="24"/>
                <w:szCs w:val="24"/>
              </w:rPr>
              <w:t>符合当地土地利用规划。</w:t>
            </w:r>
          </w:p>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所在地具有方便的交通运输和水电条件，便于项目的建设。项目建设过程中产生的废气、噪声、废水、固废对周围环境将产生一定影响，但通过采取相应的环保措施可使该项目的环境影响降低。项目建成后对周边环境的影响主要是废气、废水，生产废物以及设备产生的噪声，经过处理后对周边环境影响较小。</w:t>
            </w:r>
          </w:p>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本项目为饲料加工项目，在落实本报告提出的污染防治措施前提，</w:t>
            </w:r>
            <w:r>
              <w:rPr>
                <w:rFonts w:hint="default" w:ascii="Times New Roman" w:hAnsi="Times New Roman" w:eastAsia="宋体" w:cs="Times New Roman"/>
                <w:sz w:val="24"/>
                <w:szCs w:val="24"/>
                <w:lang w:val="en-US" w:eastAsia="zh-CN"/>
              </w:rPr>
              <w:t>污染物排放量小</w:t>
            </w:r>
            <w:r>
              <w:rPr>
                <w:rFonts w:hint="default" w:ascii="Times New Roman" w:hAnsi="Times New Roman" w:eastAsia="宋体" w:cs="Times New Roman"/>
                <w:sz w:val="24"/>
                <w:szCs w:val="24"/>
              </w:rPr>
              <w:t>，本项目选址可行。</w:t>
            </w:r>
          </w:p>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3、产业政策符合性分析</w:t>
            </w:r>
          </w:p>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textAlignment w:val="auto"/>
            </w:pPr>
            <w:r>
              <w:rPr>
                <w:rFonts w:hint="default" w:ascii="Times New Roman" w:hAnsi="Times New Roman" w:eastAsia="宋体" w:cs="Times New Roman"/>
                <w:sz w:val="24"/>
                <w:szCs w:val="24"/>
              </w:rPr>
              <w:t>本项目为饲料加工项目，根据中华人民共和国国家发展和改革委员会《产业结构调整指导目录（2019年本）》，本项目不属于“限制类”和“淘汰类”项目，属允许类建设项目，符合国家产业政策。</w:t>
            </w:r>
          </w:p>
          <w:p>
            <w:pPr>
              <w:pStyle w:val="17"/>
              <w:keepNext w:val="0"/>
              <w:keepLines w:val="0"/>
              <w:pageBreakBefore w:val="0"/>
              <w:widowControl w:val="0"/>
              <w:numPr>
                <w:ilvl w:val="0"/>
                <w:numId w:val="1"/>
              </w:numPr>
              <w:kinsoku/>
              <w:wordWrap/>
              <w:overflowPunct/>
              <w:topLinePunct w:val="0"/>
              <w:bidi w:val="0"/>
              <w:adjustRightInd w:val="0"/>
              <w:snapToGrid w:val="0"/>
              <w:spacing w:before="0" w:beforeLines="0" w:after="0" w:line="360" w:lineRule="auto"/>
              <w:ind w:left="0" w:leftChars="0"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与《黑龙江省大气污染防治条例》（2018年修订本）复合性分析</w:t>
            </w:r>
          </w:p>
          <w:p>
            <w:pPr>
              <w:pStyle w:val="14"/>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lang w:val="en-US" w:eastAsia="zh-CN"/>
              </w:rPr>
            </w:pPr>
            <w:r>
              <w:rPr>
                <w:rFonts w:hint="eastAsia" w:ascii="Times New Roman" w:hAnsi="Times New Roman" w:eastAsia="宋体" w:cs="Times New Roman"/>
                <w:kern w:val="2"/>
                <w:sz w:val="24"/>
                <w:szCs w:val="24"/>
                <w:lang w:val="en-US" w:eastAsia="zh-CN" w:bidi="ar-SA"/>
              </w:rPr>
              <w:t>根据《黑龙江省大气污染防治条例》（2018年修订本）中“第三十二条 燃煤电厂、燃煤供热锅炉以及其他燃煤单位，应当采用清洁生产工艺，配套建设除尘、脱硫、脱硝等装置或者采用技术改造等措施；第三十五条在集中供热管网未覆盖的区域，推广使用高效节能环保型锅炉或者进行锅炉高效除尘改造，或者使用新能源、清洁能源供热。”等内容，本项目生产、供暖2台锅炉选用生物质为燃料，并配有布袋除尘器等环保措施，可使废气达标排放，对周围环境影响较小，符合条例中相关要求</w:t>
            </w:r>
            <w:r>
              <w:rPr>
                <w:rFonts w:hint="eastAsia" w:ascii="Times New Roman" w:hAnsi="Times New Roman" w:cs="Times New Roman"/>
                <w:kern w:val="2"/>
                <w:sz w:val="24"/>
                <w:szCs w:val="24"/>
                <w:lang w:val="en-US" w:eastAsia="zh-CN" w:bidi="ar-SA"/>
              </w:rPr>
              <w:t>。</w:t>
            </w:r>
          </w:p>
          <w:p>
            <w:pPr>
              <w:keepNext w:val="0"/>
              <w:keepLines w:val="0"/>
              <w:pageBreakBefore w:val="0"/>
              <w:widowControl w:val="0"/>
              <w:numPr>
                <w:ilvl w:val="0"/>
                <w:numId w:val="1"/>
              </w:numPr>
              <w:kinsoku/>
              <w:wordWrap/>
              <w:overflowPunct/>
              <w:topLinePunct w:val="0"/>
              <w:bidi w:val="0"/>
              <w:adjustRightInd w:val="0"/>
              <w:snapToGrid w:val="0"/>
              <w:spacing w:line="360" w:lineRule="auto"/>
              <w:ind w:left="0" w:leftChars="0"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与《哈尔滨市大气环境质量限期达标规划》（2020-2027）符合性分析</w:t>
            </w:r>
          </w:p>
          <w:p>
            <w:pPr>
              <w:pStyle w:val="17"/>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after="0" w:line="360" w:lineRule="auto"/>
              <w:ind w:leftChars="0" w:firstLine="480" w:firstLineChars="200"/>
              <w:textAlignment w:val="baseline"/>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根据《哈尔滨市大气环境质量限期达标规划》（2020-2027）中“现有分散燃煤锅炉应优先采取集中供热或清洁能源替代改造，2025年，全市基本淘汰10蒸吨/小时以下燃煤锅炉。2027年，基本淘汰市区建成区65蒸吨/小时以下、城关镇建成区35蒸吨/小时以下燃煤锅炉......”等内容，本项目采用生物质为锅炉燃料，符合规划要求。</w:t>
            </w:r>
          </w:p>
          <w:p>
            <w:pPr>
              <w:pStyle w:val="17"/>
              <w:keepNext w:val="0"/>
              <w:keepLines w:val="0"/>
              <w:pageBreakBefore w:val="0"/>
              <w:widowControl w:val="0"/>
              <w:kinsoku/>
              <w:wordWrap/>
              <w:overflowPunct/>
              <w:topLinePunct w:val="0"/>
              <w:autoSpaceDE w:val="0"/>
              <w:autoSpaceDN w:val="0"/>
              <w:bidi w:val="0"/>
              <w:adjustRightInd w:val="0"/>
              <w:snapToGrid w:val="0"/>
              <w:spacing w:before="0" w:beforeLines="0" w:after="0" w:line="360" w:lineRule="auto"/>
              <w:ind w:left="0" w:leftChars="0" w:firstLine="480" w:firstLineChars="200"/>
              <w:textAlignment w:val="baseline"/>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6、与《哈尔滨市空气质量改善三年行动计划（2022-2024年）》符合性分析</w:t>
            </w:r>
          </w:p>
          <w:p>
            <w:pPr>
              <w:pStyle w:val="17"/>
              <w:keepNext w:val="0"/>
              <w:keepLines w:val="0"/>
              <w:pageBreakBefore w:val="0"/>
              <w:widowControl w:val="0"/>
              <w:kinsoku/>
              <w:wordWrap/>
              <w:overflowPunct/>
              <w:topLinePunct w:val="0"/>
              <w:autoSpaceDE w:val="0"/>
              <w:autoSpaceDN w:val="0"/>
              <w:bidi w:val="0"/>
              <w:adjustRightInd w:val="0"/>
              <w:snapToGrid w:val="0"/>
              <w:spacing w:before="0" w:beforeLines="0" w:after="0" w:line="360" w:lineRule="auto"/>
              <w:ind w:left="0" w:leftChars="0" w:firstLine="480" w:firstLineChars="200"/>
              <w:textAlignment w:val="baseline"/>
              <w:rPr>
                <w:rFonts w:hint="default" w:eastAsia="宋体"/>
                <w:lang w:val="en-US" w:eastAsia="zh-CN"/>
              </w:rPr>
            </w:pPr>
            <w:r>
              <w:rPr>
                <w:rFonts w:hint="eastAsia" w:ascii="Times New Roman" w:hAnsi="Times New Roman" w:eastAsia="宋体" w:cs="Times New Roman"/>
                <w:kern w:val="2"/>
                <w:sz w:val="24"/>
                <w:szCs w:val="24"/>
                <w:lang w:val="en-US" w:eastAsia="zh-CN" w:bidi="ar-SA"/>
              </w:rPr>
              <w:t>根据《哈尔滨市空气质量改善三年行动计划（2022-2024年）》中“1.推动清洁能源发展。大力发展太阳能、风能、生物质等清洁能源。3.深化锅炉污染治理。到2022年，基本淘汰10蒸吨/小时以下的燃煤锅炉。”中相关要求，本项目生产、供暖2台锅炉选用生物质为燃料，并配有布袋除尘器等环保措施，可使废气达标排放，对周围环境影响较小，符合条例中相关要求</w:t>
            </w:r>
            <w:r>
              <w:rPr>
                <w:rFonts w:hint="eastAsia" w:cs="Times New Roman"/>
                <w:kern w:val="2"/>
                <w:sz w:val="24"/>
                <w:szCs w:val="24"/>
                <w:lang w:val="en-US" w:eastAsia="zh-CN" w:bidi="ar-SA"/>
              </w:rPr>
              <w:t>。</w:t>
            </w: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rPr>
                <w:rFonts w:hint="default"/>
              </w:rPr>
            </w:pPr>
          </w:p>
          <w:p>
            <w:pPr>
              <w:rPr>
                <w:rFonts w:hint="default"/>
              </w:rPr>
            </w:pPr>
          </w:p>
          <w:p>
            <w:pPr>
              <w:pStyle w:val="23"/>
              <w:rPr>
                <w:rFonts w:hint="default"/>
              </w:rPr>
            </w:pPr>
          </w:p>
          <w:p>
            <w:pPr>
              <w:rPr>
                <w:rFonts w:hint="default"/>
              </w:rPr>
            </w:pPr>
          </w:p>
          <w:p>
            <w:pPr>
              <w:pStyle w:val="23"/>
              <w:rPr>
                <w:rFonts w:hint="default"/>
              </w:rPr>
            </w:pPr>
          </w:p>
          <w:p>
            <w:pPr>
              <w:rPr>
                <w:rFonts w:hint="default"/>
              </w:rPr>
            </w:pPr>
          </w:p>
          <w:p>
            <w:pPr>
              <w:pStyle w:val="23"/>
              <w:rPr>
                <w:rFonts w:hint="default"/>
              </w:rPr>
            </w:pPr>
          </w:p>
          <w:p>
            <w:pPr>
              <w:rPr>
                <w:rFonts w:hint="default"/>
              </w:rPr>
            </w:pPr>
          </w:p>
          <w:p>
            <w:pPr>
              <w:pStyle w:val="23"/>
              <w:rPr>
                <w:rFonts w:hint="default"/>
              </w:rPr>
            </w:pPr>
          </w:p>
          <w:p>
            <w:pPr>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p>
            <w:pPr>
              <w:keepNext w:val="0"/>
              <w:keepLines w:val="0"/>
              <w:pageBreakBefore w:val="0"/>
              <w:kinsoku/>
              <w:wordWrap/>
              <w:overflowPunct/>
              <w:topLinePunct w:val="0"/>
              <w:bidi w:val="0"/>
              <w:rPr>
                <w:rFonts w:hint="default"/>
              </w:rPr>
            </w:pPr>
          </w:p>
          <w:p>
            <w:pPr>
              <w:pStyle w:val="23"/>
              <w:keepNext w:val="0"/>
              <w:keepLines w:val="0"/>
              <w:pageBreakBefore w:val="0"/>
              <w:kinsoku/>
              <w:wordWrap/>
              <w:overflowPunct/>
              <w:topLinePunct w:val="0"/>
              <w:bidi w:val="0"/>
              <w:rPr>
                <w:rFonts w:hint="default"/>
              </w:rPr>
            </w:pPr>
          </w:p>
        </w:tc>
      </w:tr>
    </w:tbl>
    <w:p>
      <w:pPr>
        <w:bidi w:val="0"/>
        <w:spacing w:beforeAutospacing="0" w:afterAutospacing="0" w:line="360" w:lineRule="auto"/>
        <w:ind w:left="0" w:leftChars="0" w:right="0" w:rightChars="0"/>
        <w:outlineLvl w:val="0"/>
        <w:rPr>
          <w:rFonts w:hint="default" w:ascii="Times New Roman" w:hAnsi="Times New Roman" w:eastAsia="宋体" w:cs="Times New Roman"/>
          <w:color w:val="auto"/>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14"/>
        <w:numPr>
          <w:ilvl w:val="0"/>
          <w:numId w:val="0"/>
        </w:numPr>
        <w:bidi w:val="0"/>
        <w:spacing w:before="0" w:beforeAutospacing="0" w:after="0" w:afterAutospacing="0"/>
        <w:ind w:right="0" w:rightChars="0"/>
        <w:jc w:val="center"/>
        <w:outlineLvl w:val="0"/>
        <w:rPr>
          <w:rFonts w:hint="default" w:ascii="Times New Roman" w:hAnsi="Times New Roman" w:eastAsia="宋体" w:cs="Times New Roman"/>
          <w:snapToGrid w:val="0"/>
          <w:color w:val="auto"/>
          <w:spacing w:val="0"/>
          <w:sz w:val="30"/>
          <w:szCs w:val="30"/>
          <w:lang w:val="en-US" w:eastAsia="zh-CN"/>
        </w:rPr>
      </w:pPr>
      <w:bookmarkStart w:id="11" w:name="_Toc13445"/>
      <w:r>
        <w:rPr>
          <w:rFonts w:hint="default" w:ascii="Times New Roman" w:hAnsi="Times New Roman" w:eastAsia="宋体" w:cs="Times New Roman"/>
          <w:snapToGrid w:val="0"/>
          <w:color w:val="auto"/>
          <w:spacing w:val="0"/>
          <w:sz w:val="30"/>
          <w:szCs w:val="30"/>
          <w:lang w:val="en-US" w:eastAsia="zh-CN"/>
        </w:rPr>
        <w:t>二、</w:t>
      </w:r>
      <w:r>
        <w:rPr>
          <w:rFonts w:hint="default" w:ascii="Times New Roman" w:hAnsi="Times New Roman" w:eastAsia="宋体" w:cs="Times New Roman"/>
          <w:snapToGrid w:val="0"/>
          <w:color w:val="auto"/>
          <w:spacing w:val="0"/>
          <w:sz w:val="30"/>
          <w:szCs w:val="30"/>
        </w:rPr>
        <w:t>建设项目工程分析</w:t>
      </w:r>
      <w:bookmarkEnd w:id="11"/>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3" w:hRule="atLeast"/>
          <w:jc w:val="center"/>
        </w:trPr>
        <w:tc>
          <w:tcPr>
            <w:tcW w:w="823" w:type="dxa"/>
            <w:noWrap w:val="0"/>
            <w:vAlign w:val="center"/>
          </w:tcPr>
          <w:p>
            <w:pPr>
              <w:pStyle w:val="14"/>
              <w:keepNext w:val="0"/>
              <w:keepLines w:val="0"/>
              <w:kinsoku/>
              <w:wordWrap/>
              <w:overflowPunct/>
              <w:topLinePunct w:val="0"/>
              <w:bidi w:val="0"/>
              <w:adjustRightInd w:val="0"/>
              <w:snapToGrid w:val="0"/>
              <w:spacing w:before="0" w:beforeAutospacing="0" w:after="0" w:afterAutospacing="0"/>
              <w:ind w:left="0" w:leftChars="0" w:right="0" w:rightChars="0"/>
              <w:jc w:val="center"/>
              <w:outlineLvl w:val="9"/>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建设内容</w:t>
            </w:r>
          </w:p>
        </w:tc>
        <w:tc>
          <w:tcPr>
            <w:tcW w:w="8161" w:type="dxa"/>
            <w:noWrap w:val="0"/>
            <w:vAlign w:val="top"/>
          </w:tcPr>
          <w:p>
            <w:pPr>
              <w:keepNext w:val="0"/>
              <w:keepLines w:val="0"/>
              <w:numPr>
                <w:ilvl w:val="0"/>
                <w:numId w:val="2"/>
              </w:numPr>
              <w:kinsoku/>
              <w:wordWrap/>
              <w:overflowPunct/>
              <w:topLinePunct w:val="0"/>
              <w:bidi w:val="0"/>
              <w:adjustRightInd w:val="0"/>
              <w:snapToGrid w:val="0"/>
              <w:spacing w:beforeAutospacing="0" w:afterAutospacing="0" w:line="360" w:lineRule="auto"/>
              <w:ind w:left="0" w:leftChars="0" w:right="0" w:rightChars="0" w:firstLine="482" w:firstLineChars="200"/>
              <w:outlineLvl w:val="9"/>
              <w:rPr>
                <w:rFonts w:hint="default" w:ascii="Times New Roman" w:hAnsi="Times New Roman" w:eastAsia="宋体" w:cs="Times New Roman"/>
                <w:b/>
                <w:color w:val="auto"/>
                <w:spacing w:val="0"/>
                <w:sz w:val="24"/>
              </w:rPr>
            </w:pPr>
            <w:r>
              <w:rPr>
                <w:rFonts w:hint="default" w:ascii="Times New Roman" w:hAnsi="Times New Roman" w:eastAsia="宋体" w:cs="Times New Roman"/>
                <w:b/>
                <w:color w:val="auto"/>
                <w:spacing w:val="0"/>
                <w:sz w:val="24"/>
              </w:rPr>
              <w:t>建设内容</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pacing w:val="0"/>
                <w:sz w:val="24"/>
              </w:rPr>
            </w:pPr>
            <w:r>
              <w:rPr>
                <w:rFonts w:hint="default" w:ascii="Times New Roman" w:hAnsi="Times New Roman" w:eastAsia="宋体" w:cs="Times New Roman"/>
                <w:bCs/>
                <w:color w:val="auto"/>
                <w:spacing w:val="0"/>
                <w:sz w:val="24"/>
              </w:rPr>
              <w:t>本项目总占地面积</w:t>
            </w:r>
            <w:r>
              <w:rPr>
                <w:rFonts w:hint="eastAsia" w:cs="Times New Roman"/>
                <w:bCs/>
                <w:color w:val="auto"/>
                <w:spacing w:val="0"/>
                <w:sz w:val="24"/>
                <w:lang w:val="en-US" w:eastAsia="zh-CN"/>
              </w:rPr>
              <w:t>23000</w:t>
            </w:r>
            <w:r>
              <w:rPr>
                <w:rFonts w:hint="default" w:ascii="Times New Roman" w:hAnsi="Times New Roman" w:eastAsia="宋体" w:cs="Times New Roman"/>
                <w:bCs/>
                <w:color w:val="auto"/>
                <w:spacing w:val="0"/>
                <w:sz w:val="24"/>
              </w:rPr>
              <w:t>m</w:t>
            </w:r>
            <w:r>
              <w:rPr>
                <w:rFonts w:hint="default" w:ascii="Times New Roman" w:hAnsi="Times New Roman" w:eastAsia="宋体" w:cs="Times New Roman"/>
                <w:bCs/>
                <w:color w:val="auto"/>
                <w:spacing w:val="0"/>
                <w:sz w:val="24"/>
                <w:vertAlign w:val="superscript"/>
              </w:rPr>
              <w:t>2</w:t>
            </w:r>
            <w:r>
              <w:rPr>
                <w:rFonts w:hint="default" w:ascii="Times New Roman" w:hAnsi="Times New Roman" w:eastAsia="宋体" w:cs="Times New Roman"/>
                <w:bCs/>
                <w:color w:val="auto"/>
                <w:spacing w:val="0"/>
                <w:sz w:val="24"/>
              </w:rPr>
              <w:t>，</w:t>
            </w:r>
            <w:r>
              <w:rPr>
                <w:rFonts w:hint="default" w:ascii="Times New Roman" w:hAnsi="Times New Roman" w:eastAsia="宋体" w:cs="Times New Roman"/>
                <w:color w:val="auto"/>
                <w:spacing w:val="0"/>
                <w:sz w:val="24"/>
                <w:szCs w:val="21"/>
              </w:rPr>
              <w:t>总建筑面积为</w:t>
            </w:r>
            <w:r>
              <w:rPr>
                <w:rFonts w:hint="eastAsia" w:cs="Times New Roman"/>
                <w:color w:val="auto"/>
                <w:spacing w:val="0"/>
                <w:sz w:val="24"/>
                <w:szCs w:val="21"/>
                <w:lang w:val="en-US" w:eastAsia="zh-CN"/>
              </w:rPr>
              <w:t>5960.5</w:t>
            </w:r>
            <w:r>
              <w:rPr>
                <w:rFonts w:hint="default" w:ascii="Times New Roman" w:hAnsi="Times New Roman" w:eastAsia="宋体" w:cs="Times New Roman"/>
                <w:color w:val="auto"/>
                <w:spacing w:val="0"/>
                <w:sz w:val="24"/>
                <w:szCs w:val="21"/>
              </w:rPr>
              <w:t>m</w:t>
            </w:r>
            <w:r>
              <w:rPr>
                <w:rFonts w:hint="default" w:ascii="Times New Roman" w:hAnsi="Times New Roman" w:eastAsia="宋体" w:cs="Times New Roman"/>
                <w:color w:val="auto"/>
                <w:spacing w:val="0"/>
                <w:sz w:val="24"/>
                <w:szCs w:val="21"/>
                <w:vertAlign w:val="superscript"/>
              </w:rPr>
              <w:t>2</w:t>
            </w:r>
            <w:r>
              <w:rPr>
                <w:rFonts w:hint="default" w:ascii="Times New Roman" w:hAnsi="Times New Roman" w:eastAsia="宋体" w:cs="Times New Roman"/>
                <w:bCs/>
                <w:color w:val="auto"/>
                <w:spacing w:val="0"/>
                <w:sz w:val="24"/>
              </w:rPr>
              <w:t>。主要建设内容为</w:t>
            </w:r>
            <w:r>
              <w:rPr>
                <w:rFonts w:hint="default" w:ascii="Times New Roman" w:hAnsi="Times New Roman" w:eastAsia="宋体" w:cs="Times New Roman"/>
                <w:bCs/>
                <w:color w:val="auto"/>
                <w:spacing w:val="0"/>
                <w:sz w:val="24"/>
                <w:lang w:eastAsia="zh-CN"/>
              </w:rPr>
              <w:t>综合楼、原料库、成品库、主车间、</w:t>
            </w:r>
            <w:r>
              <w:rPr>
                <w:rFonts w:hint="eastAsia" w:cs="Times New Roman"/>
                <w:bCs/>
                <w:color w:val="auto"/>
                <w:spacing w:val="0"/>
                <w:sz w:val="24"/>
                <w:lang w:val="en-US" w:eastAsia="zh-CN"/>
              </w:rPr>
              <w:t>预混车间、宿舍</w:t>
            </w:r>
            <w:r>
              <w:rPr>
                <w:rFonts w:hint="default" w:ascii="Times New Roman" w:hAnsi="Times New Roman" w:eastAsia="宋体" w:cs="Times New Roman"/>
                <w:bCs/>
                <w:color w:val="auto"/>
                <w:spacing w:val="0"/>
                <w:sz w:val="24"/>
                <w:lang w:eastAsia="zh-CN"/>
              </w:rPr>
              <w:t>、</w:t>
            </w:r>
            <w:r>
              <w:rPr>
                <w:rFonts w:hint="eastAsia" w:cs="Times New Roman"/>
                <w:bCs/>
                <w:color w:val="auto"/>
                <w:spacing w:val="0"/>
                <w:sz w:val="24"/>
                <w:lang w:val="en-US" w:eastAsia="zh-CN"/>
              </w:rPr>
              <w:t>化验室、锅炉</w:t>
            </w:r>
            <w:r>
              <w:rPr>
                <w:rFonts w:hint="default" w:ascii="Times New Roman" w:hAnsi="Times New Roman" w:eastAsia="宋体" w:cs="Times New Roman"/>
                <w:bCs/>
                <w:color w:val="auto"/>
                <w:spacing w:val="0"/>
                <w:sz w:val="24"/>
                <w:lang w:eastAsia="zh-CN"/>
              </w:rPr>
              <w:t>房等</w:t>
            </w:r>
            <w:r>
              <w:rPr>
                <w:rFonts w:hint="default" w:ascii="Times New Roman" w:hAnsi="Times New Roman" w:eastAsia="宋体" w:cs="Times New Roman"/>
                <w:bCs/>
                <w:color w:val="auto"/>
                <w:spacing w:val="0"/>
                <w:sz w:val="24"/>
              </w:rPr>
              <w:t>，项目建成后年产饲料</w:t>
            </w:r>
            <w:r>
              <w:rPr>
                <w:rFonts w:hint="eastAsia" w:cs="Times New Roman"/>
                <w:color w:val="auto"/>
                <w:spacing w:val="0"/>
                <w:sz w:val="24"/>
                <w:lang w:val="en-US" w:eastAsia="zh-CN"/>
              </w:rPr>
              <w:t>10000</w:t>
            </w:r>
            <w:r>
              <w:rPr>
                <w:rFonts w:hint="default" w:ascii="Times New Roman" w:hAnsi="Times New Roman" w:eastAsia="宋体" w:cs="Times New Roman"/>
                <w:color w:val="auto"/>
                <w:spacing w:val="0"/>
                <w:sz w:val="24"/>
              </w:rPr>
              <w:t>吨。</w:t>
            </w:r>
          </w:p>
          <w:p>
            <w:pPr>
              <w:keepNext w:val="0"/>
              <w:keepLines w:val="0"/>
              <w:kinsoku/>
              <w:wordWrap/>
              <w:overflowPunct/>
              <w:topLinePunct w:val="0"/>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b/>
                <w:color w:val="auto"/>
                <w:spacing w:val="0"/>
                <w:sz w:val="24"/>
              </w:rPr>
            </w:pPr>
            <w:r>
              <w:rPr>
                <w:rFonts w:hint="default" w:ascii="Times New Roman" w:hAnsi="Times New Roman" w:eastAsia="宋体" w:cs="Times New Roman"/>
                <w:b/>
                <w:color w:val="auto"/>
                <w:spacing w:val="0"/>
                <w:sz w:val="24"/>
              </w:rPr>
              <w:t>表2-1  项目工程组成一览表</w:t>
            </w:r>
          </w:p>
          <w:tbl>
            <w:tblPr>
              <w:tblStyle w:val="18"/>
              <w:tblW w:w="78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042"/>
              <w:gridCol w:w="1348"/>
              <w:gridCol w:w="3773"/>
              <w:gridCol w:w="8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3"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分类</w:t>
                  </w: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名称</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实际建设内容</w:t>
                  </w:r>
                </w:p>
              </w:tc>
              <w:tc>
                <w:tcPr>
                  <w:tcW w:w="89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763" w:type="dxa"/>
                  <w:vMerge w:val="restart"/>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主体工程</w:t>
                  </w: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lang w:eastAsia="zh-CN"/>
                    </w:rPr>
                  </w:pPr>
                  <w:r>
                    <w:rPr>
                      <w:rFonts w:hint="default" w:ascii="Times New Roman" w:hAnsi="Times New Roman" w:eastAsia="宋体" w:cs="Times New Roman"/>
                      <w:color w:val="auto"/>
                      <w:spacing w:val="0"/>
                      <w:szCs w:val="21"/>
                      <w:lang w:eastAsia="zh-CN"/>
                    </w:rPr>
                    <w:t>主车间</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jc w:val="both"/>
                    <w:outlineLvl w:val="9"/>
                    <w:rPr>
                      <w:rFonts w:hint="eastAsia" w:ascii="Times New Roman" w:hAnsi="Times New Roman" w:eastAsia="宋体" w:cs="Times New Roman"/>
                      <w:color w:val="auto"/>
                      <w:spacing w:val="0"/>
                      <w:szCs w:val="21"/>
                      <w:highlight w:val="none"/>
                      <w:lang w:eastAsia="zh-CN"/>
                    </w:rPr>
                  </w:pPr>
                  <w:r>
                    <w:rPr>
                      <w:rFonts w:hint="default" w:ascii="Times New Roman" w:hAnsi="Times New Roman" w:eastAsia="宋体" w:cs="Times New Roman"/>
                      <w:bCs/>
                      <w:color w:val="auto"/>
                      <w:spacing w:val="0"/>
                      <w:szCs w:val="21"/>
                      <w:highlight w:val="none"/>
                    </w:rPr>
                    <w:t>建筑面积</w:t>
                  </w:r>
                  <w:r>
                    <w:rPr>
                      <w:rFonts w:hint="eastAsia" w:cs="Times New Roman"/>
                      <w:bCs/>
                      <w:color w:val="auto"/>
                      <w:spacing w:val="0"/>
                      <w:szCs w:val="21"/>
                      <w:highlight w:val="none"/>
                      <w:lang w:val="en-US" w:eastAsia="zh-CN"/>
                    </w:rPr>
                    <w:t>960</w:t>
                  </w:r>
                  <w:r>
                    <w:rPr>
                      <w:rFonts w:hint="default" w:ascii="Times New Roman" w:hAnsi="Times New Roman" w:eastAsia="宋体" w:cs="Times New Roman"/>
                      <w:bCs/>
                      <w:color w:val="auto"/>
                      <w:spacing w:val="0"/>
                      <w:szCs w:val="21"/>
                      <w:highlight w:val="none"/>
                    </w:rPr>
                    <w:t>m</w:t>
                  </w:r>
                  <w:r>
                    <w:rPr>
                      <w:rFonts w:hint="default" w:ascii="Times New Roman" w:hAnsi="Times New Roman" w:eastAsia="宋体" w:cs="Times New Roman"/>
                      <w:bCs/>
                      <w:color w:val="auto"/>
                      <w:spacing w:val="0"/>
                      <w:szCs w:val="21"/>
                      <w:highlight w:val="none"/>
                      <w:vertAlign w:val="superscript"/>
                    </w:rPr>
                    <w:t>2</w:t>
                  </w:r>
                  <w:r>
                    <w:rPr>
                      <w:rFonts w:hint="default" w:ascii="Times New Roman" w:hAnsi="Times New Roman" w:eastAsia="宋体" w:cs="Times New Roman"/>
                      <w:bCs/>
                      <w:color w:val="auto"/>
                      <w:spacing w:val="0"/>
                      <w:szCs w:val="21"/>
                      <w:highlight w:val="none"/>
                    </w:rPr>
                    <w:t>，内设1条畜禽饲料加工生产线</w:t>
                  </w:r>
                  <w:r>
                    <w:rPr>
                      <w:rFonts w:hint="eastAsia" w:cs="Times New Roman"/>
                      <w:bCs/>
                      <w:color w:val="auto"/>
                      <w:spacing w:val="0"/>
                      <w:szCs w:val="21"/>
                      <w:highlight w:val="none"/>
                      <w:lang w:eastAsia="zh-CN"/>
                    </w:rPr>
                    <w:t>、</w:t>
                  </w:r>
                  <w:r>
                    <w:rPr>
                      <w:rFonts w:hint="eastAsia" w:cs="Times New Roman"/>
                      <w:bCs/>
                      <w:color w:val="auto"/>
                      <w:spacing w:val="0"/>
                      <w:szCs w:val="21"/>
                      <w:highlight w:val="none"/>
                      <w:lang w:val="en-US" w:eastAsia="zh-CN"/>
                    </w:rPr>
                    <w:t>1条反刍饲料加工生产线</w:t>
                  </w:r>
                  <w:r>
                    <w:rPr>
                      <w:rFonts w:hint="default" w:ascii="Times New Roman" w:hAnsi="Times New Roman" w:eastAsia="宋体" w:cs="Times New Roman"/>
                      <w:bCs/>
                      <w:color w:val="auto"/>
                      <w:spacing w:val="0"/>
                      <w:szCs w:val="21"/>
                      <w:highlight w:val="none"/>
                    </w:rPr>
                    <w:t>，年产饲料</w:t>
                  </w:r>
                  <w:r>
                    <w:rPr>
                      <w:rFonts w:hint="eastAsia" w:cs="Times New Roman"/>
                      <w:bCs/>
                      <w:color w:val="auto"/>
                      <w:spacing w:val="0"/>
                      <w:szCs w:val="21"/>
                      <w:highlight w:val="none"/>
                      <w:lang w:val="en-US" w:eastAsia="zh-CN"/>
                    </w:rPr>
                    <w:t>10000</w:t>
                  </w:r>
                  <w:r>
                    <w:rPr>
                      <w:rFonts w:hint="default" w:ascii="Times New Roman" w:hAnsi="Times New Roman" w:eastAsia="宋体" w:cs="Times New Roman"/>
                      <w:bCs/>
                      <w:color w:val="auto"/>
                      <w:spacing w:val="0"/>
                      <w:szCs w:val="21"/>
                      <w:highlight w:val="none"/>
                    </w:rPr>
                    <w:t>t</w:t>
                  </w:r>
                  <w:r>
                    <w:rPr>
                      <w:rFonts w:hint="eastAsia" w:cs="Times New Roman"/>
                      <w:bCs/>
                      <w:color w:val="auto"/>
                      <w:spacing w:val="0"/>
                      <w:szCs w:val="21"/>
                      <w:highlight w:val="none"/>
                      <w:lang w:eastAsia="zh-CN"/>
                    </w:rPr>
                    <w: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bCs/>
                      <w:color w:val="auto"/>
                      <w:spacing w:val="0"/>
                      <w:szCs w:val="21"/>
                      <w:lang w:eastAsia="zh-CN"/>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预混车间</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jc w:val="both"/>
                    <w:outlineLvl w:val="9"/>
                    <w:rPr>
                      <w:rFonts w:hint="eastAsia" w:ascii="Times New Roman" w:hAnsi="Times New Roman" w:eastAsia="宋体" w:cs="Times New Roman"/>
                      <w:bCs/>
                      <w:color w:val="auto"/>
                      <w:spacing w:val="0"/>
                      <w:szCs w:val="21"/>
                      <w:highlight w:val="none"/>
                      <w:lang w:eastAsia="zh-CN"/>
                    </w:rPr>
                  </w:pPr>
                  <w:r>
                    <w:rPr>
                      <w:rFonts w:hint="default" w:ascii="Times New Roman" w:hAnsi="Times New Roman" w:eastAsia="宋体" w:cs="Times New Roman"/>
                      <w:bCs/>
                      <w:color w:val="auto"/>
                      <w:spacing w:val="0"/>
                      <w:szCs w:val="21"/>
                      <w:highlight w:val="none"/>
                    </w:rPr>
                    <w:t>建筑面积</w:t>
                  </w:r>
                  <w:r>
                    <w:rPr>
                      <w:rFonts w:hint="eastAsia" w:cs="Times New Roman"/>
                      <w:bCs/>
                      <w:color w:val="auto"/>
                      <w:spacing w:val="0"/>
                      <w:szCs w:val="21"/>
                      <w:highlight w:val="none"/>
                      <w:lang w:val="en-US" w:eastAsia="zh-CN"/>
                    </w:rPr>
                    <w:t>770</w:t>
                  </w:r>
                  <w:r>
                    <w:rPr>
                      <w:rFonts w:hint="default" w:ascii="Times New Roman" w:hAnsi="Times New Roman" w:eastAsia="宋体" w:cs="Times New Roman"/>
                      <w:bCs/>
                      <w:color w:val="auto"/>
                      <w:spacing w:val="0"/>
                      <w:szCs w:val="21"/>
                      <w:highlight w:val="none"/>
                    </w:rPr>
                    <w:t>m</w:t>
                  </w:r>
                  <w:r>
                    <w:rPr>
                      <w:rFonts w:hint="default" w:ascii="Times New Roman" w:hAnsi="Times New Roman" w:eastAsia="宋体" w:cs="Times New Roman"/>
                      <w:bCs/>
                      <w:color w:val="auto"/>
                      <w:spacing w:val="0"/>
                      <w:szCs w:val="21"/>
                      <w:highlight w:val="none"/>
                      <w:vertAlign w:val="superscript"/>
                    </w:rPr>
                    <w:t>2</w:t>
                  </w:r>
                  <w:r>
                    <w:rPr>
                      <w:rFonts w:hint="default" w:ascii="Times New Roman" w:hAnsi="Times New Roman" w:eastAsia="宋体" w:cs="Times New Roman"/>
                      <w:bCs/>
                      <w:color w:val="auto"/>
                      <w:spacing w:val="0"/>
                      <w:szCs w:val="21"/>
                      <w:highlight w:val="none"/>
                    </w:rPr>
                    <w:t>，内设1条</w:t>
                  </w:r>
                  <w:r>
                    <w:rPr>
                      <w:rFonts w:hint="eastAsia" w:cs="Times New Roman"/>
                      <w:bCs/>
                      <w:color w:val="auto"/>
                      <w:spacing w:val="0"/>
                      <w:szCs w:val="21"/>
                      <w:highlight w:val="none"/>
                      <w:lang w:val="en-US" w:eastAsia="zh-CN"/>
                    </w:rPr>
                    <w:t>复合预混料</w:t>
                  </w:r>
                  <w:r>
                    <w:rPr>
                      <w:rFonts w:hint="default" w:ascii="Times New Roman" w:hAnsi="Times New Roman" w:eastAsia="宋体" w:cs="Times New Roman"/>
                      <w:bCs/>
                      <w:color w:val="auto"/>
                      <w:spacing w:val="0"/>
                      <w:szCs w:val="21"/>
                      <w:highlight w:val="none"/>
                    </w:rPr>
                    <w:t>生产线</w:t>
                  </w:r>
                  <w:r>
                    <w:rPr>
                      <w:rFonts w:hint="eastAsia" w:cs="Times New Roman"/>
                      <w:bCs/>
                      <w:color w:val="auto"/>
                      <w:spacing w:val="0"/>
                      <w:szCs w:val="21"/>
                      <w:highlight w:val="none"/>
                      <w:lang w:eastAsia="zh-CN"/>
                    </w:rPr>
                    <w:t>，</w:t>
                  </w:r>
                  <w:r>
                    <w:rPr>
                      <w:rFonts w:hint="eastAsia" w:cs="Times New Roman"/>
                      <w:bCs/>
                      <w:color w:val="auto"/>
                      <w:spacing w:val="0"/>
                      <w:szCs w:val="21"/>
                      <w:highlight w:val="none"/>
                      <w:lang w:val="en-US" w:eastAsia="zh-CN"/>
                    </w:rPr>
                    <w:t>将原料预混后送至主车间</w:t>
                  </w:r>
                  <w:r>
                    <w:rPr>
                      <w:rFonts w:hint="default" w:ascii="Times New Roman" w:hAnsi="Times New Roman" w:eastAsia="宋体" w:cs="Times New Roman"/>
                      <w:bCs/>
                      <w:color w:val="auto"/>
                      <w:spacing w:val="0"/>
                      <w:szCs w:val="21"/>
                      <w:highlight w:val="none"/>
                    </w:rPr>
                    <w:t>，年</w:t>
                  </w:r>
                  <w:r>
                    <w:rPr>
                      <w:rFonts w:hint="eastAsia" w:cs="Times New Roman"/>
                      <w:bCs/>
                      <w:color w:val="auto"/>
                      <w:spacing w:val="0"/>
                      <w:szCs w:val="21"/>
                      <w:highlight w:val="none"/>
                      <w:lang w:val="en-US" w:eastAsia="zh-CN"/>
                    </w:rPr>
                    <w:t>处理预混</w:t>
                  </w:r>
                  <w:r>
                    <w:rPr>
                      <w:rFonts w:hint="default" w:ascii="Times New Roman" w:hAnsi="Times New Roman" w:eastAsia="宋体" w:cs="Times New Roman"/>
                      <w:bCs/>
                      <w:color w:val="auto"/>
                      <w:spacing w:val="0"/>
                      <w:szCs w:val="21"/>
                      <w:highlight w:val="none"/>
                    </w:rPr>
                    <w:t>料</w:t>
                  </w:r>
                  <w:r>
                    <w:rPr>
                      <w:rFonts w:hint="eastAsia" w:cs="Times New Roman"/>
                      <w:bCs/>
                      <w:color w:val="auto"/>
                      <w:spacing w:val="0"/>
                      <w:szCs w:val="21"/>
                      <w:highlight w:val="none"/>
                      <w:lang w:val="en-US" w:eastAsia="zh-CN"/>
                    </w:rPr>
                    <w:t>10000</w:t>
                  </w:r>
                  <w:r>
                    <w:rPr>
                      <w:rFonts w:hint="default" w:ascii="Times New Roman" w:hAnsi="Times New Roman" w:eastAsia="宋体" w:cs="Times New Roman"/>
                      <w:bCs/>
                      <w:color w:val="auto"/>
                      <w:spacing w:val="0"/>
                      <w:szCs w:val="21"/>
                      <w:highlight w:val="none"/>
                    </w:rPr>
                    <w:t>t</w:t>
                  </w:r>
                  <w:r>
                    <w:rPr>
                      <w:rFonts w:hint="eastAsia" w:cs="Times New Roman"/>
                      <w:bCs/>
                      <w:color w:val="auto"/>
                      <w:spacing w:val="0"/>
                      <w:szCs w:val="21"/>
                      <w:highlight w:val="none"/>
                      <w:lang w:eastAsia="zh-CN"/>
                    </w:rPr>
                    <w: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restart"/>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辅助工程</w:t>
                  </w: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lang w:eastAsia="zh-CN"/>
                    </w:rPr>
                  </w:pPr>
                  <w:r>
                    <w:rPr>
                      <w:rFonts w:hint="default" w:ascii="Times New Roman" w:hAnsi="Times New Roman" w:eastAsia="宋体" w:cs="Times New Roman"/>
                      <w:color w:val="auto"/>
                      <w:spacing w:val="0"/>
                      <w:lang w:eastAsia="zh-CN"/>
                    </w:rPr>
                    <w:t>综合楼</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rPr>
                    <w:t>地上</w:t>
                  </w:r>
                  <w:r>
                    <w:rPr>
                      <w:rFonts w:hint="eastAsia" w:cs="Times New Roman"/>
                      <w:color w:val="auto"/>
                      <w:spacing w:val="0"/>
                      <w:lang w:val="en-US" w:eastAsia="zh-CN"/>
                    </w:rPr>
                    <w:t>4</w:t>
                  </w:r>
                  <w:r>
                    <w:rPr>
                      <w:rFonts w:hint="default" w:ascii="Times New Roman" w:hAnsi="Times New Roman" w:eastAsia="宋体" w:cs="Times New Roman"/>
                      <w:color w:val="auto"/>
                      <w:spacing w:val="0"/>
                    </w:rPr>
                    <w:t>层，建筑面积</w:t>
                  </w:r>
                  <w:r>
                    <w:rPr>
                      <w:rFonts w:hint="eastAsia" w:cs="Times New Roman"/>
                      <w:color w:val="auto"/>
                      <w:spacing w:val="0"/>
                      <w:lang w:val="en-US" w:eastAsia="zh-CN"/>
                    </w:rPr>
                    <w:t>348</w:t>
                  </w:r>
                  <w:r>
                    <w:rPr>
                      <w:rFonts w:hint="default" w:ascii="Times New Roman" w:hAnsi="Times New Roman" w:eastAsia="宋体" w:cs="Times New Roman"/>
                      <w:color w:val="auto"/>
                      <w:spacing w:val="0"/>
                    </w:rPr>
                    <w:t>m</w:t>
                  </w:r>
                  <w:r>
                    <w:rPr>
                      <w:rFonts w:hint="default" w:ascii="Times New Roman" w:hAnsi="Times New Roman" w:eastAsia="宋体" w:cs="Times New Roman"/>
                      <w:color w:val="auto"/>
                      <w:spacing w:val="0"/>
                      <w:vertAlign w:val="superscript"/>
                    </w:rPr>
                    <w:t>2</w:t>
                  </w:r>
                  <w:r>
                    <w:rPr>
                      <w:rFonts w:hint="default" w:ascii="Times New Roman" w:hAnsi="Times New Roman" w:eastAsia="宋体" w:cs="Times New Roman"/>
                      <w:color w:val="auto"/>
                      <w:spacing w:val="0"/>
                    </w:rPr>
                    <w:t>，用于人员办公。</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r>
                    <w:rPr>
                      <w:rFonts w:hint="default" w:ascii="Times New Roman" w:hAnsi="Times New Roman" w:eastAsia="宋体" w:cs="Times New Roman"/>
                      <w:color w:val="auto"/>
                      <w:spacing w:val="0"/>
                    </w:rPr>
                    <w:t>食堂</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eastAsia" w:ascii="Times New Roman" w:hAnsi="Times New Roman" w:eastAsia="宋体" w:cs="Times New Roman"/>
                      <w:color w:val="auto"/>
                      <w:spacing w:val="0"/>
                      <w:lang w:val="en-US" w:eastAsia="zh-CN"/>
                    </w:rPr>
                  </w:pPr>
                  <w:r>
                    <w:rPr>
                      <w:rFonts w:hint="default" w:ascii="Times New Roman" w:hAnsi="Times New Roman" w:eastAsia="宋体" w:cs="Times New Roman"/>
                      <w:color w:val="auto"/>
                      <w:spacing w:val="0"/>
                    </w:rPr>
                    <w:t>建筑面积</w:t>
                  </w:r>
                  <w:r>
                    <w:rPr>
                      <w:rFonts w:hint="eastAsia" w:cs="Times New Roman"/>
                      <w:color w:val="auto"/>
                      <w:spacing w:val="0"/>
                      <w:lang w:val="en-US" w:eastAsia="zh-CN"/>
                    </w:rPr>
                    <w:t>150</w:t>
                  </w:r>
                  <w:r>
                    <w:rPr>
                      <w:rFonts w:hint="default" w:ascii="Times New Roman" w:hAnsi="Times New Roman" w:eastAsia="宋体" w:cs="Times New Roman"/>
                      <w:color w:val="auto"/>
                      <w:spacing w:val="0"/>
                    </w:rPr>
                    <w:t>m</w:t>
                  </w:r>
                  <w:r>
                    <w:rPr>
                      <w:rFonts w:hint="default" w:ascii="Times New Roman" w:hAnsi="Times New Roman" w:eastAsia="宋体" w:cs="Times New Roman"/>
                      <w:color w:val="auto"/>
                      <w:spacing w:val="0"/>
                      <w:vertAlign w:val="superscript"/>
                    </w:rPr>
                    <w:t>2</w:t>
                  </w:r>
                  <w:r>
                    <w:rPr>
                      <w:rFonts w:hint="default" w:ascii="Times New Roman" w:hAnsi="Times New Roman" w:eastAsia="宋体" w:cs="Times New Roman"/>
                      <w:color w:val="auto"/>
                      <w:spacing w:val="0"/>
                    </w:rPr>
                    <w:t>，位于</w:t>
                  </w:r>
                  <w:r>
                    <w:rPr>
                      <w:rFonts w:hint="default" w:ascii="Times New Roman" w:hAnsi="Times New Roman" w:eastAsia="宋体" w:cs="Times New Roman"/>
                      <w:color w:val="auto"/>
                      <w:spacing w:val="0"/>
                      <w:lang w:eastAsia="zh-CN"/>
                    </w:rPr>
                    <w:t>综合楼</w:t>
                  </w:r>
                  <w:r>
                    <w:rPr>
                      <w:rFonts w:hint="default" w:ascii="Times New Roman" w:hAnsi="Times New Roman" w:eastAsia="宋体" w:cs="Times New Roman"/>
                      <w:color w:val="auto"/>
                      <w:spacing w:val="0"/>
                    </w:rPr>
                    <w:t>内，设</w:t>
                  </w:r>
                  <w:r>
                    <w:rPr>
                      <w:rFonts w:hint="eastAsia" w:cs="Times New Roman"/>
                      <w:color w:val="auto"/>
                      <w:spacing w:val="0"/>
                      <w:lang w:val="en-US" w:eastAsia="zh-CN"/>
                    </w:rPr>
                    <w:t>1</w:t>
                  </w:r>
                  <w:r>
                    <w:rPr>
                      <w:rFonts w:hint="default" w:ascii="Times New Roman" w:hAnsi="Times New Roman" w:eastAsia="宋体" w:cs="Times New Roman"/>
                      <w:color w:val="auto"/>
                      <w:spacing w:val="0"/>
                    </w:rPr>
                    <w:t>个灶头，</w:t>
                  </w:r>
                  <w:r>
                    <w:rPr>
                      <w:rFonts w:hint="eastAsia" w:cs="Times New Roman"/>
                      <w:color w:val="auto"/>
                      <w:spacing w:val="0"/>
                      <w:lang w:val="en-US" w:eastAsia="zh-CN"/>
                    </w:rPr>
                    <w:t>提</w:t>
                  </w:r>
                  <w:r>
                    <w:rPr>
                      <w:rFonts w:hint="default" w:ascii="Times New Roman" w:hAnsi="Times New Roman" w:eastAsia="宋体" w:cs="Times New Roman"/>
                      <w:color w:val="auto"/>
                      <w:spacing w:val="0"/>
                    </w:rPr>
                    <w:t>供</w:t>
                  </w:r>
                  <w:r>
                    <w:rPr>
                      <w:rFonts w:hint="eastAsia" w:cs="Times New Roman"/>
                      <w:color w:val="auto"/>
                      <w:spacing w:val="0"/>
                      <w:lang w:val="en-US" w:eastAsia="zh-CN"/>
                    </w:rPr>
                    <w:t>12</w:t>
                  </w:r>
                  <w:r>
                    <w:rPr>
                      <w:rFonts w:hint="default" w:ascii="Times New Roman" w:hAnsi="Times New Roman" w:eastAsia="宋体" w:cs="Times New Roman"/>
                      <w:color w:val="auto"/>
                      <w:spacing w:val="0"/>
                    </w:rPr>
                    <w:t>人</w:t>
                  </w:r>
                  <w:r>
                    <w:rPr>
                      <w:rFonts w:hint="eastAsia" w:cs="Times New Roman"/>
                      <w:color w:val="auto"/>
                      <w:spacing w:val="0"/>
                      <w:lang w:val="en-US" w:eastAsia="zh-CN"/>
                    </w:rPr>
                    <w:t>饮食。</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r>
                    <w:rPr>
                      <w:rFonts w:hint="default" w:ascii="Times New Roman" w:hAnsi="Times New Roman" w:eastAsia="宋体" w:cs="Times New Roman"/>
                      <w:color w:val="auto"/>
                      <w:spacing w:val="0"/>
                    </w:rPr>
                    <w:t>化验室</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r>
                    <w:rPr>
                      <w:rFonts w:hint="eastAsia" w:cs="Times New Roman"/>
                      <w:color w:val="auto"/>
                      <w:spacing w:val="0"/>
                      <w:lang w:val="en-US" w:eastAsia="zh-CN"/>
                    </w:rPr>
                    <w:t>建筑</w:t>
                  </w:r>
                  <w:r>
                    <w:rPr>
                      <w:rFonts w:hint="default" w:ascii="Times New Roman" w:hAnsi="Times New Roman" w:eastAsia="宋体" w:cs="Times New Roman"/>
                      <w:color w:val="auto"/>
                      <w:spacing w:val="0"/>
                    </w:rPr>
                    <w:t>面积</w:t>
                  </w:r>
                  <w:r>
                    <w:rPr>
                      <w:rFonts w:hint="eastAsia" w:cs="Times New Roman"/>
                      <w:color w:val="auto"/>
                      <w:spacing w:val="0"/>
                      <w:lang w:val="en-US" w:eastAsia="zh-CN"/>
                    </w:rPr>
                    <w:t>142.5</w:t>
                  </w:r>
                  <w:r>
                    <w:rPr>
                      <w:rFonts w:hint="default" w:ascii="Times New Roman" w:hAnsi="Times New Roman" w:eastAsia="宋体" w:cs="Times New Roman"/>
                      <w:color w:val="auto"/>
                      <w:spacing w:val="0"/>
                    </w:rPr>
                    <w:t>m</w:t>
                  </w:r>
                  <w:r>
                    <w:rPr>
                      <w:rFonts w:hint="default" w:ascii="Times New Roman" w:hAnsi="Times New Roman" w:eastAsia="宋体" w:cs="Times New Roman"/>
                      <w:color w:val="auto"/>
                      <w:spacing w:val="0"/>
                      <w:vertAlign w:val="superscript"/>
                    </w:rPr>
                    <w:t>2</w:t>
                  </w:r>
                  <w:r>
                    <w:rPr>
                      <w:rFonts w:hint="default" w:ascii="Times New Roman" w:hAnsi="Times New Roman" w:eastAsia="宋体" w:cs="Times New Roman"/>
                      <w:color w:val="auto"/>
                      <w:spacing w:val="0"/>
                    </w:rPr>
                    <w:t>，用于原料</w:t>
                  </w:r>
                  <w:r>
                    <w:rPr>
                      <w:rFonts w:hint="default" w:ascii="Times New Roman" w:hAnsi="Times New Roman" w:eastAsia="宋体" w:cs="Times New Roman"/>
                      <w:color w:val="auto"/>
                      <w:spacing w:val="0"/>
                      <w:lang w:eastAsia="zh-CN"/>
                    </w:rPr>
                    <w:t>、成品</w:t>
                  </w:r>
                  <w:r>
                    <w:rPr>
                      <w:rFonts w:hint="default" w:ascii="Times New Roman" w:hAnsi="Times New Roman" w:eastAsia="宋体" w:cs="Times New Roman"/>
                      <w:color w:val="auto"/>
                      <w:spacing w:val="0"/>
                    </w:rPr>
                    <w:t>的化验。</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eastAsia" w:ascii="Times New Roman" w:hAnsi="Times New Roman" w:eastAsia="宋体" w:cs="Times New Roman"/>
                      <w:color w:val="auto"/>
                      <w:spacing w:val="0"/>
                      <w:lang w:val="en-US" w:eastAsia="zh-CN"/>
                    </w:rPr>
                  </w:pPr>
                  <w:r>
                    <w:rPr>
                      <w:rFonts w:hint="eastAsia" w:cs="Times New Roman"/>
                      <w:color w:val="auto"/>
                      <w:spacing w:val="0"/>
                      <w:lang w:val="en-US" w:eastAsia="zh-CN"/>
                    </w:rPr>
                    <w:t>宿舍</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lang w:val="en-US" w:eastAsia="zh-CN"/>
                    </w:rPr>
                  </w:pPr>
                  <w:r>
                    <w:rPr>
                      <w:rFonts w:hint="eastAsia" w:cs="Times New Roman"/>
                      <w:color w:val="auto"/>
                      <w:spacing w:val="0"/>
                      <w:lang w:val="en-US" w:eastAsia="zh-CN"/>
                    </w:rPr>
                    <w:t>地上2层，建筑面积362.5m</w:t>
                  </w:r>
                  <w:r>
                    <w:rPr>
                      <w:rFonts w:hint="default" w:ascii="Times New Roman" w:hAnsi="Times New Roman" w:eastAsia="宋体" w:cs="Times New Roman"/>
                      <w:color w:val="auto"/>
                      <w:spacing w:val="0"/>
                      <w:vertAlign w:val="superscript"/>
                    </w:rPr>
                    <w:t>2</w:t>
                  </w:r>
                  <w:r>
                    <w:rPr>
                      <w:rFonts w:hint="eastAsia" w:cs="Times New Roman"/>
                      <w:color w:val="auto"/>
                      <w:spacing w:val="0"/>
                      <w:vertAlign w:val="baseline"/>
                      <w:lang w:eastAsia="zh-CN"/>
                    </w:rPr>
                    <w:t>，</w:t>
                  </w:r>
                  <w:r>
                    <w:rPr>
                      <w:rFonts w:hint="eastAsia" w:cs="Times New Roman"/>
                      <w:color w:val="auto"/>
                      <w:spacing w:val="0"/>
                      <w:vertAlign w:val="baseline"/>
                      <w:lang w:val="en-US" w:eastAsia="zh-CN"/>
                    </w:rPr>
                    <w:t>用于员工住宿。</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lang w:eastAsia="zh-CN"/>
                    </w:rPr>
                  </w:pPr>
                  <w:r>
                    <w:rPr>
                      <w:rFonts w:hint="default" w:ascii="Times New Roman" w:hAnsi="Times New Roman" w:eastAsia="宋体" w:cs="Times New Roman"/>
                      <w:color w:val="auto"/>
                      <w:spacing w:val="0"/>
                      <w:lang w:eastAsia="zh-CN"/>
                    </w:rPr>
                    <w:t>门卫</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lang w:eastAsia="zh-CN"/>
                    </w:rPr>
                  </w:pPr>
                  <w:r>
                    <w:rPr>
                      <w:rFonts w:hint="default" w:ascii="Times New Roman" w:hAnsi="Times New Roman" w:eastAsia="宋体" w:cs="Times New Roman"/>
                      <w:color w:val="auto"/>
                      <w:spacing w:val="0"/>
                      <w:lang w:eastAsia="zh-CN"/>
                    </w:rPr>
                    <w:t>门卫位于综合楼内一层。占地面积</w:t>
                  </w:r>
                  <w:r>
                    <w:rPr>
                      <w:rFonts w:hint="default" w:ascii="Times New Roman" w:hAnsi="Times New Roman" w:eastAsia="宋体" w:cs="Times New Roman"/>
                      <w:color w:val="auto"/>
                      <w:spacing w:val="0"/>
                      <w:lang w:val="en-US" w:eastAsia="zh-CN"/>
                    </w:rPr>
                    <w:t>10</w:t>
                  </w:r>
                  <w:r>
                    <w:rPr>
                      <w:rFonts w:hint="default" w:ascii="Times New Roman" w:hAnsi="Times New Roman" w:eastAsia="宋体" w:cs="Times New Roman"/>
                      <w:color w:val="auto"/>
                      <w:spacing w:val="0"/>
                    </w:rPr>
                    <w:t>m</w:t>
                  </w:r>
                  <w:r>
                    <w:rPr>
                      <w:rFonts w:hint="default" w:ascii="Times New Roman" w:hAnsi="Times New Roman" w:eastAsia="宋体" w:cs="Times New Roman"/>
                      <w:color w:val="auto"/>
                      <w:spacing w:val="0"/>
                      <w:vertAlign w:val="superscript"/>
                    </w:rPr>
                    <w:t>2</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14:textFill>
                        <w14:solidFill>
                          <w14:schemeClr w14:val="tx1"/>
                        </w14:solidFill>
                      </w14:textFill>
                    </w:rPr>
                  </w:pPr>
                  <w:r>
                    <w:rPr>
                      <w:rFonts w:hint="default" w:ascii="Times New Roman" w:hAnsi="Times New Roman" w:eastAsia="宋体" w:cs="Times New Roman"/>
                      <w:color w:val="000000" w:themeColor="text1"/>
                      <w:spacing w:val="0"/>
                      <w14:textFill>
                        <w14:solidFill>
                          <w14:schemeClr w14:val="tx1"/>
                        </w14:solidFill>
                      </w14:textFill>
                    </w:rPr>
                    <w:t>危废暂存间</w:t>
                  </w:r>
                </w:p>
              </w:tc>
              <w:tc>
                <w:tcPr>
                  <w:tcW w:w="5121" w:type="dxa"/>
                  <w:gridSpan w:val="2"/>
                  <w:noWrap w:val="0"/>
                  <w:vAlign w:val="center"/>
                </w:tcPr>
                <w:p>
                  <w:pPr>
                    <w:pStyle w:val="4"/>
                    <w:rPr>
                      <w:rFonts w:hint="eastAsia" w:ascii="Times New Roman" w:hAnsi="Times New Roman" w:eastAsia="宋体" w:cs="Times New Roman"/>
                      <w:color w:val="000000" w:themeColor="text1"/>
                      <w:spacing w:val="0"/>
                      <w:lang w:eastAsia="zh-CN"/>
                      <w14:textFill>
                        <w14:solidFill>
                          <w14:schemeClr w14:val="tx1"/>
                        </w14:solidFill>
                      </w14:textFill>
                    </w:rPr>
                  </w:pPr>
                  <w:r>
                    <w:rPr>
                      <w:rFonts w:hint="default" w:ascii="Times New Roman" w:hAnsi="Times New Roman" w:eastAsia="宋体" w:cs="Times New Roman"/>
                      <w:color w:val="000000" w:themeColor="text1"/>
                      <w:spacing w:val="0"/>
                      <w14:textFill>
                        <w14:solidFill>
                          <w14:schemeClr w14:val="tx1"/>
                        </w14:solidFill>
                      </w14:textFill>
                    </w:rPr>
                    <w:t>位于化验室内，</w:t>
                  </w:r>
                  <w:r>
                    <w:rPr>
                      <w:rFonts w:hint="default" w:ascii="Times New Roman" w:hAnsi="Times New Roman" w:eastAsia="宋体" w:cs="Times New Roman"/>
                      <w:color w:val="000000" w:themeColor="text1"/>
                      <w:spacing w:val="0"/>
                      <w:lang w:eastAsia="zh-CN"/>
                      <w14:textFill>
                        <w14:solidFill>
                          <w14:schemeClr w14:val="tx1"/>
                        </w14:solidFill>
                      </w14:textFill>
                    </w:rPr>
                    <w:t>一层</w:t>
                  </w:r>
                  <w:r>
                    <w:rPr>
                      <w:rFonts w:hint="default" w:ascii="Times New Roman" w:hAnsi="Times New Roman" w:eastAsia="宋体" w:cs="Times New Roman"/>
                      <w:color w:val="000000" w:themeColor="text1"/>
                      <w:spacing w:val="0"/>
                      <w14:textFill>
                        <w14:solidFill>
                          <w14:schemeClr w14:val="tx1"/>
                        </w14:solidFill>
                      </w14:textFill>
                    </w:rPr>
                    <w:t>，建筑面积10m</w:t>
                  </w:r>
                  <w:r>
                    <w:rPr>
                      <w:rFonts w:hint="default" w:ascii="Times New Roman" w:hAnsi="Times New Roman" w:eastAsia="宋体" w:cs="Times New Roman"/>
                      <w:color w:val="000000" w:themeColor="text1"/>
                      <w:spacing w:val="0"/>
                      <w:vertAlign w:val="superscript"/>
                      <w14:textFill>
                        <w14:solidFill>
                          <w14:schemeClr w14:val="tx1"/>
                        </w14:solidFill>
                      </w14:textFill>
                    </w:rPr>
                    <w:t>2</w:t>
                  </w:r>
                  <w:r>
                    <w:rPr>
                      <w:rFonts w:hint="default" w:ascii="Times New Roman" w:hAnsi="Times New Roman" w:eastAsia="宋体" w:cs="Times New Roman"/>
                      <w:color w:val="000000" w:themeColor="text1"/>
                      <w:spacing w:val="0"/>
                      <w14:textFill>
                        <w14:solidFill>
                          <w14:schemeClr w14:val="tx1"/>
                        </w14:solidFill>
                      </w14:textFill>
                    </w:rPr>
                    <w:t>，</w:t>
                  </w:r>
                  <w:r>
                    <w:rPr>
                      <w:rFonts w:hint="default" w:ascii="Times New Roman" w:hAnsi="Times New Roman" w:eastAsia="宋体" w:cs="Times New Roman"/>
                      <w:color w:val="000000" w:themeColor="text1"/>
                      <w:spacing w:val="0"/>
                      <w:kern w:val="0"/>
                      <w:szCs w:val="21"/>
                      <w14:textFill>
                        <w14:solidFill>
                          <w14:schemeClr w14:val="tx1"/>
                        </w14:solidFill>
                      </w14:textFill>
                    </w:rPr>
                    <w:t>暂存间设置围堰及标识，地面和裙脚进行防渗、防漏，采用2mm厚的高密度聚乙烯土工膜及混凝土地面，渗透系数≤10</w:t>
                  </w:r>
                  <w:r>
                    <w:rPr>
                      <w:rFonts w:hint="default" w:ascii="Times New Roman" w:hAnsi="Times New Roman" w:eastAsia="宋体" w:cs="Times New Roman"/>
                      <w:color w:val="000000" w:themeColor="text1"/>
                      <w:spacing w:val="0"/>
                      <w:kern w:val="0"/>
                      <w:szCs w:val="21"/>
                      <w:vertAlign w:val="superscript"/>
                      <w14:textFill>
                        <w14:solidFill>
                          <w14:schemeClr w14:val="tx1"/>
                        </w14:solidFill>
                      </w14:textFill>
                    </w:rPr>
                    <w:t>-10</w:t>
                  </w:r>
                  <w:r>
                    <w:rPr>
                      <w:rFonts w:hint="default" w:ascii="Times New Roman" w:hAnsi="Times New Roman" w:eastAsia="宋体" w:cs="Times New Roman"/>
                      <w:color w:val="000000" w:themeColor="text1"/>
                      <w:spacing w:val="0"/>
                      <w:kern w:val="0"/>
                      <w:szCs w:val="21"/>
                      <w14:textFill>
                        <w14:solidFill>
                          <w14:schemeClr w14:val="tx1"/>
                        </w14:solidFill>
                      </w14:textFill>
                    </w:rPr>
                    <w:t>cm/s</w:t>
                  </w:r>
                  <w:r>
                    <w:rPr>
                      <w:rFonts w:hint="eastAsia"/>
                      <w:lang w:eastAsia="zh-CN"/>
                    </w:rPr>
                    <w:t>；</w:t>
                  </w:r>
                  <w:r>
                    <w:rPr>
                      <w:rFonts w:hint="eastAsia" w:ascii="Times New Roman" w:hAnsi="Times New Roman" w:cs="Times New Roman"/>
                      <w:color w:val="auto"/>
                      <w:kern w:val="0"/>
                      <w:sz w:val="21"/>
                      <w:szCs w:val="21"/>
                      <w:lang w:val="en-US" w:eastAsia="zh-CN" w:bidi="ar"/>
                    </w:rPr>
                    <w:t>危废暂存间需做到防渗漏、防雨淋、防流失。危废暂存间内部需设置围堰、导流沟、废液收集池，暂存间需设置观察窗，外门上及墙上粘贴危废警示三角标志、危废管理周知卡及管理制度。危废暂存间内不相容的危险废物要分开存放，且必须与危险废物相容，各危废贮存容器设置小标签，各种危险废物储存需有过道或隔板间隔，暂存的危险废物定期交由有资质的单位进行清运，不做大量堆积，由专人对危废进行管理，单独设置危险废物管理台账。</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lang w:val="en-US"/>
                      <w14:textFill>
                        <w14:solidFill>
                          <w14:schemeClr w14:val="tx1"/>
                        </w14:solidFill>
                      </w14:textFill>
                    </w:rPr>
                  </w:pPr>
                  <w:r>
                    <w:rPr>
                      <w:rFonts w:hint="eastAsia" w:cs="Times New Roman"/>
                      <w:color w:val="000000" w:themeColor="text1"/>
                      <w:spacing w:val="0"/>
                      <w:lang w:val="en-US" w:eastAsia="zh-CN"/>
                      <w14:textFill>
                        <w14:solidFill>
                          <w14:schemeClr w14:val="tx1"/>
                        </w14:solidFill>
                      </w14:textFill>
                    </w:rPr>
                    <w:t>锅炉</w:t>
                  </w:r>
                  <w:r>
                    <w:rPr>
                      <w:rFonts w:hint="default" w:ascii="Times New Roman" w:hAnsi="Times New Roman" w:eastAsia="宋体" w:cs="Times New Roman"/>
                      <w:color w:val="000000" w:themeColor="text1"/>
                      <w:spacing w:val="0"/>
                      <w:lang w:eastAsia="zh-CN"/>
                      <w14:textFill>
                        <w14:solidFill>
                          <w14:schemeClr w14:val="tx1"/>
                        </w14:solidFill>
                      </w14:textFill>
                    </w:rPr>
                    <w:t>房</w:t>
                  </w:r>
                  <w:r>
                    <w:rPr>
                      <w:rFonts w:hint="eastAsia" w:eastAsia="宋体" w:cs="Times New Roman"/>
                      <w:color w:val="000000" w:themeColor="text1"/>
                      <w:spacing w:val="0"/>
                      <w:lang w:val="en-US" w:eastAsia="zh-CN"/>
                      <w14:textFill>
                        <w14:solidFill>
                          <w14:schemeClr w14:val="tx1"/>
                        </w14:solidFill>
                      </w14:textFill>
                    </w:rPr>
                    <w:t>1</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lang w:val="en-US"/>
                      <w14:textFill>
                        <w14:solidFill>
                          <w14:schemeClr w14:val="tx1"/>
                        </w14:solidFill>
                      </w14:textFill>
                    </w:rPr>
                  </w:pPr>
                  <w:r>
                    <w:rPr>
                      <w:rFonts w:hint="default" w:ascii="Times New Roman" w:hAnsi="Times New Roman" w:eastAsia="宋体" w:cs="Times New Roman"/>
                      <w:color w:val="000000" w:themeColor="text1"/>
                      <w:spacing w:val="0"/>
                      <w14:textFill>
                        <w14:solidFill>
                          <w14:schemeClr w14:val="tx1"/>
                        </w14:solidFill>
                      </w14:textFill>
                    </w:rPr>
                    <w:t>建筑面积</w:t>
                  </w:r>
                  <w:r>
                    <w:rPr>
                      <w:rFonts w:hint="eastAsia" w:eastAsia="宋体" w:cs="Times New Roman"/>
                      <w:color w:val="000000" w:themeColor="text1"/>
                      <w:spacing w:val="0"/>
                      <w:lang w:val="en-US" w:eastAsia="zh-CN"/>
                      <w14:textFill>
                        <w14:solidFill>
                          <w14:schemeClr w14:val="tx1"/>
                        </w14:solidFill>
                      </w14:textFill>
                    </w:rPr>
                    <w:t>220</w:t>
                  </w:r>
                  <w:r>
                    <w:rPr>
                      <w:rFonts w:hint="default" w:ascii="Times New Roman" w:hAnsi="Times New Roman" w:eastAsia="宋体" w:cs="Times New Roman"/>
                      <w:color w:val="000000" w:themeColor="text1"/>
                      <w:spacing w:val="0"/>
                      <w14:textFill>
                        <w14:solidFill>
                          <w14:schemeClr w14:val="tx1"/>
                        </w14:solidFill>
                      </w14:textFill>
                    </w:rPr>
                    <w:t>m</w:t>
                  </w:r>
                  <w:r>
                    <w:rPr>
                      <w:rFonts w:hint="default" w:ascii="Times New Roman" w:hAnsi="Times New Roman" w:eastAsia="宋体" w:cs="Times New Roman"/>
                      <w:color w:val="000000" w:themeColor="text1"/>
                      <w:spacing w:val="0"/>
                      <w:vertAlign w:val="superscript"/>
                      <w14:textFill>
                        <w14:solidFill>
                          <w14:schemeClr w14:val="tx1"/>
                        </w14:solidFill>
                      </w14:textFill>
                    </w:rPr>
                    <w:t>2</w:t>
                  </w:r>
                  <w:r>
                    <w:rPr>
                      <w:rFonts w:hint="default" w:ascii="Times New Roman" w:hAnsi="Times New Roman" w:eastAsia="宋体" w:cs="Times New Roman"/>
                      <w:color w:val="000000" w:themeColor="text1"/>
                      <w:spacing w:val="0"/>
                      <w14:textFill>
                        <w14:solidFill>
                          <w14:schemeClr w14:val="tx1"/>
                        </w14:solidFill>
                      </w14:textFill>
                    </w:rPr>
                    <w:t>，内设</w:t>
                  </w:r>
                  <w:r>
                    <w:rPr>
                      <w:rFonts w:hint="eastAsia" w:cs="Times New Roman"/>
                      <w:color w:val="000000" w:themeColor="text1"/>
                      <w:spacing w:val="0"/>
                      <w:lang w:val="en-US" w:eastAsia="zh-CN"/>
                      <w14:textFill>
                        <w14:solidFill>
                          <w14:schemeClr w14:val="tx1"/>
                        </w14:solidFill>
                      </w14:textFill>
                    </w:rPr>
                    <w:t>1</w:t>
                  </w:r>
                  <w:r>
                    <w:rPr>
                      <w:rFonts w:hint="default" w:ascii="Times New Roman" w:hAnsi="Times New Roman" w:eastAsia="宋体" w:cs="Times New Roman"/>
                      <w:color w:val="000000" w:themeColor="text1"/>
                      <w:spacing w:val="0"/>
                      <w14:textFill>
                        <w14:solidFill>
                          <w14:schemeClr w14:val="tx1"/>
                        </w14:solidFill>
                      </w14:textFill>
                    </w:rPr>
                    <w:t>台</w:t>
                  </w:r>
                  <w:r>
                    <w:rPr>
                      <w:rFonts w:hint="eastAsia" w:cs="Times New Roman"/>
                      <w:color w:val="000000" w:themeColor="text1"/>
                      <w:spacing w:val="0"/>
                      <w:lang w:val="en-US" w:eastAsia="zh-CN"/>
                      <w14:textFill>
                        <w14:solidFill>
                          <w14:schemeClr w14:val="tx1"/>
                        </w14:solidFill>
                      </w14:textFill>
                    </w:rPr>
                    <w:t>1</w:t>
                  </w:r>
                  <w:r>
                    <w:rPr>
                      <w:rFonts w:hint="default" w:ascii="Times New Roman" w:hAnsi="Times New Roman" w:eastAsia="宋体" w:cs="Times New Roman"/>
                      <w:color w:val="000000" w:themeColor="text1"/>
                      <w:spacing w:val="0"/>
                      <w14:textFill>
                        <w14:solidFill>
                          <w14:schemeClr w14:val="tx1"/>
                        </w14:solidFill>
                      </w14:textFill>
                    </w:rPr>
                    <w:t>t/h燃</w:t>
                  </w:r>
                  <w:r>
                    <w:rPr>
                      <w:rFonts w:hint="eastAsia" w:cs="Times New Roman"/>
                      <w:color w:val="000000" w:themeColor="text1"/>
                      <w:spacing w:val="0"/>
                      <w:lang w:val="en-US" w:eastAsia="zh-CN"/>
                      <w14:textFill>
                        <w14:solidFill>
                          <w14:schemeClr w14:val="tx1"/>
                        </w14:solidFill>
                      </w14:textFill>
                    </w:rPr>
                    <w:t>生物质</w:t>
                  </w:r>
                  <w:r>
                    <w:rPr>
                      <w:rFonts w:hint="default" w:ascii="Times New Roman" w:hAnsi="Times New Roman" w:eastAsia="宋体" w:cs="Times New Roman"/>
                      <w:color w:val="000000" w:themeColor="text1"/>
                      <w:spacing w:val="0"/>
                      <w14:textFill>
                        <w14:solidFill>
                          <w14:schemeClr w14:val="tx1"/>
                        </w14:solidFill>
                      </w14:textFill>
                    </w:rPr>
                    <w:t>锅炉及配套设施</w:t>
                  </w:r>
                  <w:r>
                    <w:rPr>
                      <w:rFonts w:hint="eastAsia" w:cs="Times New Roman"/>
                      <w:color w:val="000000" w:themeColor="text1"/>
                      <w:spacing w:val="0"/>
                      <w:lang w:eastAsia="zh-CN"/>
                      <w14:textFill>
                        <w14:solidFill>
                          <w14:schemeClr w14:val="tx1"/>
                        </w14:solidFill>
                      </w14:textFill>
                    </w:rPr>
                    <w:t>，</w:t>
                  </w:r>
                  <w:r>
                    <w:rPr>
                      <w:rFonts w:hint="default" w:ascii="Times New Roman" w:hAnsi="Times New Roman" w:eastAsia="宋体" w:cs="Times New Roman"/>
                      <w:color w:val="000000" w:themeColor="text1"/>
                      <w:spacing w:val="0"/>
                      <w:lang w:eastAsia="zh-CN"/>
                      <w14:textFill>
                        <w14:solidFill>
                          <w14:schemeClr w14:val="tx1"/>
                        </w14:solidFill>
                      </w14:textFill>
                    </w:rPr>
                    <w:t>用于生产供热</w:t>
                  </w:r>
                  <w:r>
                    <w:rPr>
                      <w:rFonts w:hint="eastAsia" w:cs="Times New Roman"/>
                      <w:color w:val="000000" w:themeColor="text1"/>
                      <w:spacing w:val="0"/>
                      <w:lang w:val="en-US" w:eastAsia="zh-CN"/>
                      <w14:textFill>
                        <w14:solidFill>
                          <w14:schemeClr w14:val="tx1"/>
                        </w14:solidFill>
                      </w14:textFill>
                    </w:rPr>
                    <w:t>，</w:t>
                  </w:r>
                  <w:r>
                    <w:rPr>
                      <w:rFonts w:hint="default" w:ascii="Times New Roman" w:hAnsi="Times New Roman" w:eastAsia="宋体" w:cs="Times New Roman"/>
                      <w:bCs/>
                      <w:color w:val="000000" w:themeColor="text1"/>
                      <w:spacing w:val="0"/>
                      <w14:textFill>
                        <w14:solidFill>
                          <w14:schemeClr w14:val="tx1"/>
                        </w14:solidFill>
                      </w14:textFill>
                    </w:rPr>
                    <w:t>年燃</w:t>
                  </w:r>
                  <w:r>
                    <w:rPr>
                      <w:rFonts w:hint="eastAsia" w:cs="Times New Roman"/>
                      <w:color w:val="000000" w:themeColor="text1"/>
                      <w:spacing w:val="0"/>
                      <w:lang w:val="en-US" w:eastAsia="zh-CN"/>
                      <w14:textFill>
                        <w14:solidFill>
                          <w14:schemeClr w14:val="tx1"/>
                        </w14:solidFill>
                      </w14:textFill>
                    </w:rPr>
                    <w:t>生物质</w:t>
                  </w:r>
                  <w:r>
                    <w:rPr>
                      <w:rFonts w:hint="eastAsia" w:eastAsia="宋体" w:cs="Times New Roman"/>
                      <w:color w:val="000000" w:themeColor="text1"/>
                      <w:spacing w:val="0"/>
                      <w:lang w:val="en-US" w:eastAsia="zh-CN"/>
                      <w14:textFill>
                        <w14:solidFill>
                          <w14:schemeClr w14:val="tx1"/>
                        </w14:solidFill>
                      </w14:textFill>
                    </w:rPr>
                    <w:t>1085.1t。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lang w:val="en-US" w:eastAsia="zh-CN"/>
                    </w:rPr>
                  </w:pPr>
                  <w:r>
                    <w:rPr>
                      <w:rFonts w:hint="eastAsia"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lang w:val="en-US" w:eastAsia="zh-CN"/>
                    </w:rPr>
                  </w:pPr>
                  <w:r>
                    <w:rPr>
                      <w:rFonts w:hint="eastAsia" w:cs="Times New Roman"/>
                      <w:color w:val="auto"/>
                      <w:spacing w:val="0"/>
                      <w:lang w:val="en-US" w:eastAsia="zh-CN"/>
                    </w:rPr>
                    <w:t>锅炉房2</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bCs/>
                      <w:color w:val="auto"/>
                      <w:spacing w:val="0"/>
                      <w:szCs w:val="21"/>
                    </w:rPr>
                  </w:pPr>
                  <w:r>
                    <w:rPr>
                      <w:rFonts w:hint="default" w:ascii="Times New Roman" w:hAnsi="Times New Roman" w:eastAsia="宋体" w:cs="Times New Roman"/>
                      <w:bCs/>
                      <w:color w:val="auto"/>
                      <w:spacing w:val="0"/>
                      <w:szCs w:val="21"/>
                    </w:rPr>
                    <w:t>地上1层，建筑面积</w:t>
                  </w:r>
                  <w:r>
                    <w:rPr>
                      <w:rFonts w:hint="eastAsia" w:cs="Times New Roman"/>
                      <w:bCs/>
                      <w:color w:val="auto"/>
                      <w:spacing w:val="0"/>
                      <w:szCs w:val="21"/>
                      <w:lang w:val="en-US" w:eastAsia="zh-CN"/>
                    </w:rPr>
                    <w:t>120</w:t>
                  </w:r>
                  <w:r>
                    <w:rPr>
                      <w:rFonts w:hint="default" w:ascii="Times New Roman" w:hAnsi="Times New Roman" w:eastAsia="宋体" w:cs="Times New Roman"/>
                      <w:bCs/>
                      <w:color w:val="auto"/>
                      <w:spacing w:val="0"/>
                      <w:szCs w:val="21"/>
                    </w:rPr>
                    <w:t>m</w:t>
                  </w:r>
                  <w:r>
                    <w:rPr>
                      <w:rFonts w:hint="default" w:ascii="Times New Roman" w:hAnsi="Times New Roman" w:eastAsia="宋体" w:cs="Times New Roman"/>
                      <w:bCs/>
                      <w:color w:val="auto"/>
                      <w:spacing w:val="0"/>
                      <w:szCs w:val="21"/>
                      <w:vertAlign w:val="superscript"/>
                    </w:rPr>
                    <w:t>2</w:t>
                  </w:r>
                  <w:r>
                    <w:rPr>
                      <w:rFonts w:hint="default" w:ascii="Times New Roman" w:hAnsi="Times New Roman" w:eastAsia="宋体" w:cs="Times New Roman"/>
                      <w:bCs/>
                      <w:color w:val="auto"/>
                      <w:spacing w:val="0"/>
                      <w:szCs w:val="21"/>
                    </w:rPr>
                    <w:t>，</w:t>
                  </w:r>
                  <w:r>
                    <w:rPr>
                      <w:rFonts w:hint="eastAsia" w:cs="Times New Roman"/>
                      <w:bCs/>
                      <w:color w:val="auto"/>
                      <w:spacing w:val="0"/>
                      <w:szCs w:val="21"/>
                      <w:lang w:val="en-US" w:eastAsia="zh-CN"/>
                    </w:rPr>
                    <w:t>位于预混车间南侧，</w:t>
                  </w:r>
                  <w:r>
                    <w:rPr>
                      <w:rFonts w:hint="default" w:ascii="Times New Roman" w:hAnsi="Times New Roman" w:eastAsia="宋体" w:cs="Times New Roman"/>
                      <w:color w:val="auto"/>
                      <w:spacing w:val="0"/>
                    </w:rPr>
                    <w:t>内设</w:t>
                  </w:r>
                  <w:r>
                    <w:rPr>
                      <w:rFonts w:hint="eastAsia" w:cs="Times New Roman"/>
                      <w:color w:val="auto"/>
                      <w:spacing w:val="0"/>
                      <w:lang w:val="en-US" w:eastAsia="zh-CN"/>
                    </w:rPr>
                    <w:t>1</w:t>
                  </w:r>
                  <w:r>
                    <w:rPr>
                      <w:rFonts w:hint="default" w:ascii="Times New Roman" w:hAnsi="Times New Roman" w:eastAsia="宋体" w:cs="Times New Roman"/>
                      <w:color w:val="auto"/>
                      <w:spacing w:val="0"/>
                    </w:rPr>
                    <w:t>台</w:t>
                  </w:r>
                  <w:r>
                    <w:rPr>
                      <w:rFonts w:hint="eastAsia" w:cs="Times New Roman"/>
                      <w:color w:val="auto"/>
                      <w:spacing w:val="0"/>
                      <w:lang w:val="en-US" w:eastAsia="zh-CN"/>
                    </w:rPr>
                    <w:t>1</w:t>
                  </w:r>
                  <w:r>
                    <w:rPr>
                      <w:rFonts w:hint="default" w:ascii="Times New Roman" w:hAnsi="Times New Roman" w:eastAsia="宋体" w:cs="Times New Roman"/>
                      <w:color w:val="auto"/>
                      <w:spacing w:val="0"/>
                    </w:rPr>
                    <w:t>t/h燃</w:t>
                  </w:r>
                  <w:r>
                    <w:rPr>
                      <w:rFonts w:hint="eastAsia" w:cs="Times New Roman"/>
                      <w:color w:val="auto"/>
                      <w:spacing w:val="0"/>
                      <w:lang w:val="en-US" w:eastAsia="zh-CN"/>
                    </w:rPr>
                    <w:t>生物质</w:t>
                  </w:r>
                  <w:r>
                    <w:rPr>
                      <w:rFonts w:hint="default" w:ascii="Times New Roman" w:hAnsi="Times New Roman" w:eastAsia="宋体" w:cs="Times New Roman"/>
                      <w:color w:val="auto"/>
                      <w:spacing w:val="0"/>
                    </w:rPr>
                    <w:t>锅炉及配套设施</w:t>
                  </w:r>
                  <w:r>
                    <w:rPr>
                      <w:rFonts w:hint="eastAsia" w:cs="Times New Roman"/>
                      <w:color w:val="auto"/>
                      <w:spacing w:val="0"/>
                      <w:lang w:eastAsia="zh-CN"/>
                    </w:rPr>
                    <w:t>，</w:t>
                  </w:r>
                  <w:r>
                    <w:rPr>
                      <w:rFonts w:hint="default" w:ascii="Times New Roman" w:hAnsi="Times New Roman" w:eastAsia="宋体" w:cs="Times New Roman"/>
                      <w:color w:val="auto"/>
                      <w:spacing w:val="0"/>
                      <w:lang w:eastAsia="zh-CN"/>
                    </w:rPr>
                    <w:t>用于</w:t>
                  </w:r>
                  <w:r>
                    <w:rPr>
                      <w:rFonts w:hint="eastAsia" w:ascii="Times New Roman" w:hAnsi="Times New Roman" w:eastAsia="宋体" w:cs="Times New Roman"/>
                      <w:color w:val="auto"/>
                      <w:spacing w:val="0"/>
                      <w:lang w:val="en-US" w:eastAsia="zh-CN"/>
                    </w:rPr>
                    <w:t>冬季</w:t>
                  </w:r>
                  <w:r>
                    <w:rPr>
                      <w:rFonts w:hint="default" w:ascii="Times New Roman" w:hAnsi="Times New Roman" w:eastAsia="宋体" w:cs="Times New Roman"/>
                      <w:color w:val="auto"/>
                      <w:spacing w:val="0"/>
                      <w:lang w:eastAsia="zh-CN"/>
                    </w:rPr>
                    <w:t>供热</w:t>
                  </w:r>
                  <w:r>
                    <w:rPr>
                      <w:rFonts w:hint="eastAsia" w:cs="Times New Roman"/>
                      <w:color w:val="auto"/>
                      <w:spacing w:val="0"/>
                      <w:lang w:val="en-US" w:eastAsia="zh-CN"/>
                    </w:rPr>
                    <w:t>，</w:t>
                  </w:r>
                  <w:r>
                    <w:rPr>
                      <w:rFonts w:hint="default" w:ascii="Times New Roman" w:hAnsi="Times New Roman" w:eastAsia="宋体" w:cs="Times New Roman"/>
                      <w:bCs/>
                      <w:color w:val="auto"/>
                      <w:spacing w:val="0"/>
                    </w:rPr>
                    <w:t>年燃</w:t>
                  </w:r>
                  <w:r>
                    <w:rPr>
                      <w:rFonts w:hint="eastAsia" w:cs="Times New Roman"/>
                      <w:color w:val="auto"/>
                      <w:spacing w:val="0"/>
                      <w:lang w:val="en-US" w:eastAsia="zh-CN"/>
                    </w:rPr>
                    <w:t>生物质</w:t>
                  </w:r>
                  <w:r>
                    <w:rPr>
                      <w:rFonts w:hint="eastAsia" w:eastAsia="宋体" w:cs="Times New Roman"/>
                      <w:color w:val="000000" w:themeColor="text1"/>
                      <w:spacing w:val="0"/>
                      <w:lang w:val="en-US" w:eastAsia="zh-CN"/>
                      <w14:textFill>
                        <w14:solidFill>
                          <w14:schemeClr w14:val="tx1"/>
                        </w14:solidFill>
                      </w14:textFill>
                    </w:rPr>
                    <w:t>1085.1t</w:t>
                  </w:r>
                  <w:r>
                    <w:rPr>
                      <w:rFonts w:hint="eastAsia" w:cs="Times New Roman"/>
                      <w:color w:val="auto"/>
                      <w:spacing w:val="0"/>
                      <w:szCs w:val="21"/>
                      <w:lang w:eastAsia="zh-CN"/>
                    </w:rPr>
                    <w: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cs="Times New Roman"/>
                      <w:color w:val="auto"/>
                      <w:spacing w:val="0"/>
                      <w:lang w:val="en-US" w:eastAsia="zh-CN"/>
                    </w:rPr>
                  </w:pPr>
                  <w:r>
                    <w:rPr>
                      <w:rFonts w:hint="eastAsia" w:cs="Times New Roman"/>
                      <w:color w:val="auto"/>
                      <w:spacing w:val="0"/>
                      <w:lang w:val="en-US" w:eastAsia="zh-CN"/>
                    </w:rPr>
                    <w:t>原料库</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bCs/>
                      <w:color w:val="auto"/>
                      <w:spacing w:val="0"/>
                      <w:szCs w:val="21"/>
                    </w:rPr>
                  </w:pPr>
                  <w:r>
                    <w:rPr>
                      <w:rFonts w:hint="default" w:ascii="Times New Roman" w:hAnsi="Times New Roman" w:eastAsia="宋体" w:cs="Times New Roman"/>
                      <w:bCs/>
                      <w:color w:val="auto"/>
                      <w:spacing w:val="0"/>
                      <w:szCs w:val="21"/>
                    </w:rPr>
                    <w:t>地上1层，建筑面积</w:t>
                  </w:r>
                  <w:r>
                    <w:rPr>
                      <w:rFonts w:hint="eastAsia" w:cs="Times New Roman"/>
                      <w:bCs/>
                      <w:color w:val="auto"/>
                      <w:spacing w:val="0"/>
                      <w:szCs w:val="21"/>
                      <w:lang w:val="en-US" w:eastAsia="zh-CN"/>
                    </w:rPr>
                    <w:t>1240</w:t>
                  </w:r>
                  <w:r>
                    <w:rPr>
                      <w:rFonts w:hint="default" w:ascii="Times New Roman" w:hAnsi="Times New Roman" w:eastAsia="宋体" w:cs="Times New Roman"/>
                      <w:bCs/>
                      <w:color w:val="auto"/>
                      <w:spacing w:val="0"/>
                      <w:szCs w:val="21"/>
                    </w:rPr>
                    <w:t>m</w:t>
                  </w:r>
                  <w:r>
                    <w:rPr>
                      <w:rFonts w:hint="default" w:ascii="Times New Roman" w:hAnsi="Times New Roman" w:eastAsia="宋体" w:cs="Times New Roman"/>
                      <w:bCs/>
                      <w:color w:val="auto"/>
                      <w:spacing w:val="0"/>
                      <w:szCs w:val="21"/>
                      <w:vertAlign w:val="superscript"/>
                    </w:rPr>
                    <w:t>2</w:t>
                  </w:r>
                  <w:r>
                    <w:rPr>
                      <w:rFonts w:hint="default" w:ascii="Times New Roman" w:hAnsi="Times New Roman" w:eastAsia="宋体" w:cs="Times New Roman"/>
                      <w:bCs/>
                      <w:color w:val="auto"/>
                      <w:spacing w:val="0"/>
                      <w:szCs w:val="21"/>
                    </w:rPr>
                    <w:t>，</w:t>
                  </w:r>
                  <w:r>
                    <w:rPr>
                      <w:rFonts w:hint="eastAsia" w:cs="Times New Roman"/>
                      <w:bCs/>
                      <w:color w:val="auto"/>
                      <w:spacing w:val="0"/>
                      <w:szCs w:val="21"/>
                      <w:lang w:val="en-US" w:eastAsia="zh-CN"/>
                    </w:rPr>
                    <w:t>位于主车间北侧，</w:t>
                  </w:r>
                  <w:r>
                    <w:rPr>
                      <w:rFonts w:hint="default" w:ascii="Times New Roman" w:hAnsi="Times New Roman" w:eastAsia="宋体" w:cs="Times New Roman"/>
                      <w:color w:val="auto"/>
                      <w:spacing w:val="0"/>
                      <w:szCs w:val="21"/>
                    </w:rPr>
                    <w:t>原料最大储存量为</w:t>
                  </w:r>
                  <w:r>
                    <w:rPr>
                      <w:rFonts w:hint="eastAsia" w:cs="Times New Roman"/>
                      <w:color w:val="auto"/>
                      <w:spacing w:val="0"/>
                      <w:szCs w:val="21"/>
                      <w:lang w:val="en-US" w:eastAsia="zh-CN"/>
                    </w:rPr>
                    <w:t>40</w:t>
                  </w:r>
                  <w:r>
                    <w:rPr>
                      <w:rFonts w:hint="default" w:ascii="Times New Roman" w:hAnsi="Times New Roman" w:eastAsia="宋体" w:cs="Times New Roman"/>
                      <w:color w:val="auto"/>
                      <w:spacing w:val="0"/>
                      <w:szCs w:val="21"/>
                      <w:lang w:val="en-US" w:eastAsia="zh-CN"/>
                    </w:rPr>
                    <w:t>00</w:t>
                  </w:r>
                  <w:r>
                    <w:rPr>
                      <w:rFonts w:hint="default" w:ascii="Times New Roman" w:hAnsi="Times New Roman" w:eastAsia="宋体" w:cs="Times New Roman"/>
                      <w:color w:val="auto"/>
                      <w:spacing w:val="0"/>
                      <w:szCs w:val="21"/>
                    </w:rPr>
                    <w:t>t</w:t>
                  </w:r>
                  <w:r>
                    <w:rPr>
                      <w:rFonts w:hint="eastAsia" w:cs="Times New Roman"/>
                      <w:color w:val="auto"/>
                      <w:spacing w:val="0"/>
                      <w:szCs w:val="21"/>
                      <w:lang w:eastAsia="zh-CN"/>
                    </w:rPr>
                    <w: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lang w:eastAsia="zh-CN"/>
                    </w:rPr>
                  </w:pPr>
                  <w:r>
                    <w:rPr>
                      <w:rFonts w:hint="default" w:ascii="Times New Roman" w:hAnsi="Times New Roman" w:eastAsia="宋体" w:cs="Times New Roman"/>
                      <w:color w:val="auto"/>
                      <w:spacing w:val="0"/>
                    </w:rPr>
                    <w:t>成品</w:t>
                  </w:r>
                  <w:r>
                    <w:rPr>
                      <w:rFonts w:hint="default" w:ascii="Times New Roman" w:hAnsi="Times New Roman" w:eastAsia="宋体" w:cs="Times New Roman"/>
                      <w:color w:val="auto"/>
                      <w:spacing w:val="0"/>
                      <w:lang w:eastAsia="zh-CN"/>
                    </w:rPr>
                    <w:t>库</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bCs/>
                      <w:color w:val="auto"/>
                      <w:spacing w:val="0"/>
                      <w:szCs w:val="21"/>
                    </w:rPr>
                    <w:t>地上1层，建筑面积</w:t>
                  </w:r>
                  <w:r>
                    <w:rPr>
                      <w:rFonts w:hint="eastAsia" w:cs="Times New Roman"/>
                      <w:bCs/>
                      <w:color w:val="auto"/>
                      <w:spacing w:val="0"/>
                      <w:szCs w:val="21"/>
                      <w:lang w:val="en-US" w:eastAsia="zh-CN"/>
                    </w:rPr>
                    <w:t>1600</w:t>
                  </w:r>
                  <w:r>
                    <w:rPr>
                      <w:rFonts w:hint="default" w:ascii="Times New Roman" w:hAnsi="Times New Roman" w:eastAsia="宋体" w:cs="Times New Roman"/>
                      <w:bCs/>
                      <w:color w:val="auto"/>
                      <w:spacing w:val="0"/>
                      <w:szCs w:val="21"/>
                    </w:rPr>
                    <w:t>m</w:t>
                  </w:r>
                  <w:r>
                    <w:rPr>
                      <w:rFonts w:hint="default" w:ascii="Times New Roman" w:hAnsi="Times New Roman" w:eastAsia="宋体" w:cs="Times New Roman"/>
                      <w:bCs/>
                      <w:color w:val="auto"/>
                      <w:spacing w:val="0"/>
                      <w:szCs w:val="21"/>
                      <w:vertAlign w:val="superscript"/>
                    </w:rPr>
                    <w:t>2</w:t>
                  </w:r>
                  <w:r>
                    <w:rPr>
                      <w:rFonts w:hint="default" w:ascii="Times New Roman" w:hAnsi="Times New Roman" w:eastAsia="宋体" w:cs="Times New Roman"/>
                      <w:bCs/>
                      <w:color w:val="auto"/>
                      <w:spacing w:val="0"/>
                      <w:szCs w:val="21"/>
                    </w:rPr>
                    <w:t>，</w:t>
                  </w:r>
                  <w:r>
                    <w:rPr>
                      <w:rFonts w:hint="eastAsia" w:cs="Times New Roman"/>
                      <w:bCs/>
                      <w:color w:val="auto"/>
                      <w:spacing w:val="0"/>
                      <w:szCs w:val="21"/>
                      <w:lang w:val="en-US" w:eastAsia="zh-CN"/>
                    </w:rPr>
                    <w:t>位于主车间南侧，</w:t>
                  </w:r>
                  <w:r>
                    <w:rPr>
                      <w:rFonts w:hint="default" w:ascii="Times New Roman" w:hAnsi="Times New Roman" w:eastAsia="宋体" w:cs="Times New Roman"/>
                      <w:color w:val="auto"/>
                      <w:spacing w:val="0"/>
                      <w:szCs w:val="21"/>
                    </w:rPr>
                    <w:t>成品最大储存量为</w:t>
                  </w:r>
                  <w:r>
                    <w:rPr>
                      <w:rFonts w:hint="default" w:ascii="Times New Roman" w:hAnsi="Times New Roman" w:eastAsia="宋体" w:cs="Times New Roman"/>
                      <w:color w:val="auto"/>
                      <w:spacing w:val="0"/>
                      <w:szCs w:val="21"/>
                      <w:lang w:val="en-US" w:eastAsia="zh-CN"/>
                    </w:rPr>
                    <w:t>5</w:t>
                  </w:r>
                  <w:r>
                    <w:rPr>
                      <w:rFonts w:hint="default" w:ascii="Times New Roman" w:hAnsi="Times New Roman" w:eastAsia="宋体" w:cs="Times New Roman"/>
                      <w:color w:val="auto"/>
                      <w:spacing w:val="0"/>
                      <w:szCs w:val="21"/>
                    </w:rPr>
                    <w:t>000t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lang w:eastAsia="zh-CN"/>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restart"/>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公用工程</w:t>
                  </w: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rPr>
                    <w:t>给水</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bCs/>
                      <w:color w:val="auto"/>
                      <w:spacing w:val="0"/>
                      <w:szCs w:val="21"/>
                    </w:rPr>
                    <w:t>项目化验用纯水为外购，其余用水</w:t>
                  </w:r>
                  <w:r>
                    <w:rPr>
                      <w:rFonts w:hint="default" w:ascii="Times New Roman" w:hAnsi="Times New Roman" w:eastAsia="宋体" w:cs="Times New Roman"/>
                      <w:bCs/>
                      <w:color w:val="auto"/>
                      <w:spacing w:val="0"/>
                    </w:rPr>
                    <w:t>由</w:t>
                  </w:r>
                  <w:r>
                    <w:rPr>
                      <w:rFonts w:hint="eastAsia" w:cs="Times New Roman"/>
                      <w:bCs/>
                      <w:color w:val="auto"/>
                      <w:spacing w:val="0"/>
                      <w:lang w:val="en-US" w:eastAsia="zh-CN"/>
                    </w:rPr>
                    <w:t>厂</w:t>
                  </w:r>
                  <w:r>
                    <w:rPr>
                      <w:rFonts w:hint="default" w:ascii="Times New Roman" w:hAnsi="Times New Roman" w:eastAsia="宋体" w:cs="Times New Roman"/>
                      <w:bCs/>
                      <w:color w:val="auto"/>
                      <w:spacing w:val="0"/>
                    </w:rPr>
                    <w:t>区市政供水管网供给</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rPr>
                    <w:t>排水</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lang w:val="en-US" w:eastAsia="zh-CN"/>
                    </w:rPr>
                  </w:pPr>
                  <w:r>
                    <w:rPr>
                      <w:rFonts w:hint="default" w:ascii="Times New Roman" w:hAnsi="Times New Roman" w:eastAsia="宋体" w:cs="Times New Roman"/>
                      <w:bCs/>
                      <w:color w:val="auto"/>
                      <w:spacing w:val="0"/>
                    </w:rPr>
                    <w:t>项目废水主要</w:t>
                  </w:r>
                  <w:r>
                    <w:rPr>
                      <w:rFonts w:hint="default" w:ascii="Times New Roman" w:hAnsi="Times New Roman" w:eastAsia="宋体" w:cs="Times New Roman"/>
                      <w:bCs/>
                      <w:color w:val="000000" w:themeColor="text1"/>
                      <w:spacing w:val="0"/>
                      <w14:textFill>
                        <w14:solidFill>
                          <w14:schemeClr w14:val="tx1"/>
                        </w14:solidFill>
                      </w14:textFill>
                    </w:rPr>
                    <w:t>为生活污水</w:t>
                  </w:r>
                  <w:r>
                    <w:rPr>
                      <w:rFonts w:hint="eastAsia" w:cs="Times New Roman"/>
                      <w:bCs/>
                      <w:color w:val="000000" w:themeColor="text1"/>
                      <w:spacing w:val="0"/>
                      <w:lang w:val="en-US" w:eastAsia="zh-CN"/>
                      <w14:textFill>
                        <w14:solidFill>
                          <w14:schemeClr w14:val="tx1"/>
                        </w14:solidFill>
                      </w14:textFill>
                    </w:rPr>
                    <w:t>199.7</w:t>
                  </w:r>
                  <w:r>
                    <w:rPr>
                      <w:rFonts w:hint="default" w:ascii="Times New Roman" w:hAnsi="Times New Roman" w:eastAsia="宋体" w:cs="Times New Roman"/>
                      <w:bCs/>
                      <w:color w:val="000000" w:themeColor="text1"/>
                      <w:spacing w:val="0"/>
                      <w14:textFill>
                        <w14:solidFill>
                          <w14:schemeClr w14:val="tx1"/>
                        </w14:solidFill>
                      </w14:textFill>
                    </w:rPr>
                    <w:t>t/a、</w:t>
                  </w:r>
                  <w:r>
                    <w:rPr>
                      <w:rFonts w:hint="eastAsia" w:cs="Times New Roman"/>
                      <w:bCs/>
                      <w:color w:val="000000" w:themeColor="text1"/>
                      <w:spacing w:val="0"/>
                      <w:lang w:eastAsia="zh-CN"/>
                      <w14:textFill>
                        <w14:solidFill>
                          <w14:schemeClr w14:val="tx1"/>
                        </w14:solidFill>
                      </w14:textFill>
                    </w:rPr>
                    <w:t>食堂废水</w:t>
                  </w:r>
                  <w:r>
                    <w:rPr>
                      <w:rFonts w:hint="eastAsia" w:cs="Times New Roman"/>
                      <w:bCs/>
                      <w:color w:val="000000" w:themeColor="text1"/>
                      <w:spacing w:val="0"/>
                      <w:lang w:val="en-US" w:eastAsia="zh-CN"/>
                      <w14:textFill>
                        <w14:solidFill>
                          <w14:schemeClr w14:val="tx1"/>
                        </w14:solidFill>
                      </w14:textFill>
                    </w:rPr>
                    <w:t>149.8</w:t>
                  </w:r>
                  <w:r>
                    <w:rPr>
                      <w:rFonts w:hint="default" w:ascii="Times New Roman" w:hAnsi="Times New Roman" w:eastAsia="宋体" w:cs="Times New Roman"/>
                      <w:bCs/>
                      <w:color w:val="000000" w:themeColor="text1"/>
                      <w:spacing w:val="0"/>
                      <w14:textFill>
                        <w14:solidFill>
                          <w14:schemeClr w14:val="tx1"/>
                        </w14:solidFill>
                      </w14:textFill>
                    </w:rPr>
                    <w:t>t/a、锅炉排污水</w:t>
                  </w:r>
                  <w:r>
                    <w:rPr>
                      <w:rFonts w:hint="eastAsia" w:cs="Times New Roman"/>
                      <w:bCs/>
                      <w:color w:val="000000" w:themeColor="text1"/>
                      <w:spacing w:val="0"/>
                      <w:szCs w:val="21"/>
                      <w:lang w:val="en-US" w:eastAsia="zh-CN"/>
                      <w14:textFill>
                        <w14:solidFill>
                          <w14:schemeClr w14:val="tx1"/>
                        </w14:solidFill>
                      </w14:textFill>
                    </w:rPr>
                    <w:t>653.7</w:t>
                  </w:r>
                  <w:r>
                    <w:rPr>
                      <w:rFonts w:hint="default" w:ascii="Times New Roman" w:hAnsi="Times New Roman" w:eastAsia="宋体" w:cs="Times New Roman"/>
                      <w:bCs/>
                      <w:color w:val="000000" w:themeColor="text1"/>
                      <w:spacing w:val="0"/>
                      <w:szCs w:val="21"/>
                      <w14:textFill>
                        <w14:solidFill>
                          <w14:schemeClr w14:val="tx1"/>
                        </w14:solidFill>
                      </w14:textFill>
                    </w:rPr>
                    <w:t>t/a、化验室器皿清洗废水5.</w:t>
                  </w:r>
                  <w:r>
                    <w:rPr>
                      <w:rFonts w:hint="default" w:ascii="Times New Roman" w:hAnsi="Times New Roman" w:eastAsia="宋体" w:cs="Times New Roman"/>
                      <w:bCs/>
                      <w:color w:val="000000" w:themeColor="text1"/>
                      <w:spacing w:val="0"/>
                      <w:szCs w:val="21"/>
                      <w:lang w:val="en-US" w:eastAsia="zh-CN"/>
                      <w14:textFill>
                        <w14:solidFill>
                          <w14:schemeClr w14:val="tx1"/>
                        </w14:solidFill>
                      </w14:textFill>
                    </w:rPr>
                    <w:t>44</w:t>
                  </w:r>
                  <w:r>
                    <w:rPr>
                      <w:rFonts w:hint="default" w:ascii="Times New Roman" w:hAnsi="Times New Roman" w:eastAsia="宋体" w:cs="Times New Roman"/>
                      <w:bCs/>
                      <w:color w:val="000000" w:themeColor="text1"/>
                      <w:spacing w:val="0"/>
                      <w:szCs w:val="21"/>
                      <w14:textFill>
                        <w14:solidFill>
                          <w14:schemeClr w14:val="tx1"/>
                        </w14:solidFill>
                      </w14:textFill>
                    </w:rPr>
                    <w:t>t/a。项目</w:t>
                  </w:r>
                  <w:r>
                    <w:rPr>
                      <w:rFonts w:hint="eastAsia" w:cs="Times New Roman"/>
                      <w:bCs/>
                      <w:color w:val="000000" w:themeColor="text1"/>
                      <w:spacing w:val="0"/>
                      <w:szCs w:val="21"/>
                      <w:lang w:eastAsia="zh-CN"/>
                      <w14:textFill>
                        <w14:solidFill>
                          <w14:schemeClr w14:val="tx1"/>
                        </w14:solidFill>
                      </w14:textFill>
                    </w:rPr>
                    <w:t>食堂废水</w:t>
                  </w:r>
                  <w:r>
                    <w:rPr>
                      <w:rFonts w:hint="default" w:ascii="Times New Roman" w:hAnsi="Times New Roman" w:eastAsia="宋体" w:cs="Times New Roman"/>
                      <w:bCs/>
                      <w:color w:val="000000" w:themeColor="text1"/>
                      <w:spacing w:val="0"/>
                      <w:szCs w:val="21"/>
                      <w14:textFill>
                        <w14:solidFill>
                          <w14:schemeClr w14:val="tx1"/>
                        </w14:solidFill>
                      </w14:textFill>
                    </w:rPr>
                    <w:t>经隔油池处理后与生活污水一起排入防渗化粪池，</w:t>
                  </w:r>
                  <w:r>
                    <w:rPr>
                      <w:rFonts w:hint="eastAsia" w:cs="Times New Roman"/>
                      <w:bCs/>
                      <w:color w:val="000000" w:themeColor="text1"/>
                      <w:spacing w:val="0"/>
                      <w:szCs w:val="21"/>
                      <w:lang w:val="en-US" w:eastAsia="zh-CN"/>
                      <w14:textFill>
                        <w14:solidFill>
                          <w14:schemeClr w14:val="tx1"/>
                        </w14:solidFill>
                      </w14:textFill>
                    </w:rPr>
                    <w:t>定期清掏，外运堆肥</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rPr>
                    <w:t>供电</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rPr>
                    <w:t>当地供电电网供给，满足用电需求</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default" w:ascii="Times New Roman" w:hAnsi="Times New Roman" w:eastAsia="宋体" w:cs="Times New Roman"/>
                      <w:bCs/>
                      <w:color w:val="auto"/>
                      <w:spacing w:val="0"/>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rPr>
                    <w:t>供热</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lang w:val="en-US"/>
                    </w:rPr>
                  </w:pPr>
                  <w:r>
                    <w:rPr>
                      <w:rFonts w:hint="default" w:ascii="Times New Roman" w:hAnsi="Times New Roman" w:eastAsia="宋体" w:cs="Times New Roman"/>
                      <w:color w:val="auto"/>
                      <w:spacing w:val="0"/>
                    </w:rPr>
                    <w:t>冬季采暖</w:t>
                  </w:r>
                  <w:r>
                    <w:rPr>
                      <w:rFonts w:hint="default" w:ascii="Times New Roman" w:hAnsi="Times New Roman" w:eastAsia="宋体" w:cs="Times New Roman"/>
                      <w:color w:val="auto"/>
                      <w:spacing w:val="0"/>
                      <w:lang w:eastAsia="zh-CN"/>
                    </w:rPr>
                    <w:t>由</w:t>
                  </w:r>
                  <w:r>
                    <w:rPr>
                      <w:rFonts w:hint="eastAsia" w:cs="Times New Roman"/>
                      <w:color w:val="auto"/>
                      <w:spacing w:val="0"/>
                      <w:lang w:val="en-US" w:eastAsia="zh-CN"/>
                    </w:rPr>
                    <w:t>2台1t/h燃生物质锅炉</w:t>
                  </w:r>
                  <w:r>
                    <w:rPr>
                      <w:rFonts w:hint="default" w:ascii="Times New Roman" w:hAnsi="Times New Roman" w:eastAsia="宋体" w:cs="Times New Roman"/>
                      <w:color w:val="auto"/>
                      <w:spacing w:val="0"/>
                      <w:lang w:eastAsia="zh-CN"/>
                    </w:rPr>
                    <w:t>提供</w:t>
                  </w:r>
                  <w:r>
                    <w:rPr>
                      <w:rFonts w:hint="eastAsia" w:cs="Times New Roman"/>
                      <w:color w:val="auto"/>
                      <w:spacing w:val="0"/>
                      <w:lang w:eastAsia="zh-CN"/>
                    </w:rPr>
                    <w: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bCs/>
                      <w:color w:val="auto"/>
                      <w:spacing w:val="0"/>
                      <w:szCs w:val="21"/>
                      <w:lang w:eastAsia="zh-CN"/>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restart"/>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环保</w:t>
                  </w:r>
                </w:p>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工程</w:t>
                  </w:r>
                </w:p>
              </w:tc>
              <w:tc>
                <w:tcPr>
                  <w:tcW w:w="1042" w:type="dxa"/>
                  <w:vMerge w:val="restart"/>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废气</w:t>
                  </w:r>
                </w:p>
              </w:tc>
              <w:tc>
                <w:tcPr>
                  <w:tcW w:w="5121" w:type="dxa"/>
                  <w:gridSpan w:val="2"/>
                  <w:noWrap w:val="0"/>
                  <w:vAlign w:val="center"/>
                </w:tcPr>
                <w:p>
                  <w:pPr>
                    <w:pStyle w:val="29"/>
                    <w:keepNext w:val="0"/>
                    <w:keepLines w:val="0"/>
                    <w:numPr>
                      <w:ilvl w:val="0"/>
                      <w:numId w:val="3"/>
                    </w:numPr>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szCs w:val="21"/>
                      <w14:textFill>
                        <w14:solidFill>
                          <w14:schemeClr w14:val="tx1"/>
                        </w14:solidFill>
                      </w14:textFill>
                    </w:rPr>
                  </w:pPr>
                  <w:r>
                    <w:rPr>
                      <w:rFonts w:hint="eastAsia" w:cs="Times New Roman"/>
                      <w:color w:val="000000" w:themeColor="text1"/>
                      <w:spacing w:val="0"/>
                      <w:szCs w:val="21"/>
                      <w:lang w:val="en-US" w:eastAsia="zh-CN"/>
                      <w14:textFill>
                        <w14:solidFill>
                          <w14:schemeClr w14:val="tx1"/>
                        </w14:solidFill>
                      </w14:textFill>
                    </w:rPr>
                    <w:t>预混合</w:t>
                  </w:r>
                  <w:r>
                    <w:rPr>
                      <w:rFonts w:hint="default" w:ascii="Times New Roman" w:hAnsi="Times New Roman" w:eastAsia="宋体" w:cs="Times New Roman"/>
                      <w:color w:val="000000" w:themeColor="text1"/>
                      <w:spacing w:val="0"/>
                      <w:szCs w:val="21"/>
                      <w14:textFill>
                        <w14:solidFill>
                          <w14:schemeClr w14:val="tx1"/>
                        </w14:solidFill>
                      </w14:textFill>
                    </w:rPr>
                    <w:t>粉尘：</w:t>
                  </w:r>
                  <w:r>
                    <w:rPr>
                      <w:rFonts w:hint="eastAsia" w:cs="Times New Roman"/>
                      <w:color w:val="000000" w:themeColor="text1"/>
                      <w:spacing w:val="0"/>
                      <w:szCs w:val="21"/>
                      <w:lang w:val="en-US" w:eastAsia="zh-CN"/>
                      <w14:textFill>
                        <w14:solidFill>
                          <w14:schemeClr w14:val="tx1"/>
                        </w14:solidFill>
                      </w14:textFill>
                    </w:rPr>
                    <w:t>1</w:t>
                  </w:r>
                  <w:r>
                    <w:rPr>
                      <w:rFonts w:hint="default" w:ascii="Times New Roman" w:hAnsi="Times New Roman" w:eastAsia="宋体" w:cs="Times New Roman"/>
                      <w:color w:val="000000" w:themeColor="text1"/>
                      <w:spacing w:val="0"/>
                      <w:szCs w:val="21"/>
                      <w14:textFill>
                        <w14:solidFill>
                          <w14:schemeClr w14:val="tx1"/>
                        </w14:solidFill>
                      </w14:textFill>
                    </w:rPr>
                    <w:t>台</w:t>
                  </w:r>
                  <w:r>
                    <w:rPr>
                      <w:rFonts w:hint="eastAsia" w:cs="Times New Roman"/>
                      <w:color w:val="000000" w:themeColor="text1"/>
                      <w:spacing w:val="0"/>
                      <w:szCs w:val="21"/>
                      <w:lang w:eastAsia="zh-CN"/>
                      <w14:textFill>
                        <w14:solidFill>
                          <w14:schemeClr w14:val="tx1"/>
                        </w14:solidFill>
                      </w14:textFill>
                    </w:rPr>
                    <w:t>脉冲式布袋除尘器</w:t>
                  </w:r>
                  <w:r>
                    <w:rPr>
                      <w:rFonts w:hint="default" w:ascii="Times New Roman" w:hAnsi="Times New Roman" w:eastAsia="宋体" w:cs="Times New Roman"/>
                      <w:color w:val="000000" w:themeColor="text1"/>
                      <w:spacing w:val="0"/>
                      <w:szCs w:val="21"/>
                      <w14:textFill>
                        <w14:solidFill>
                          <w14:schemeClr w14:val="tx1"/>
                        </w14:solidFill>
                      </w14:textFill>
                    </w:rPr>
                    <w:t>无组织排放；</w:t>
                  </w:r>
                </w:p>
                <w:p>
                  <w:pPr>
                    <w:pStyle w:val="29"/>
                    <w:keepNext w:val="0"/>
                    <w:keepLines w:val="0"/>
                    <w:numPr>
                      <w:ilvl w:val="0"/>
                      <w:numId w:val="3"/>
                    </w:numPr>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szCs w:val="21"/>
                      <w14:textFill>
                        <w14:solidFill>
                          <w14:schemeClr w14:val="tx1"/>
                        </w14:solidFill>
                      </w14:textFill>
                    </w:rPr>
                  </w:pPr>
                  <w:r>
                    <w:rPr>
                      <w:rFonts w:hint="eastAsia" w:cs="Times New Roman"/>
                      <w:color w:val="000000" w:themeColor="text1"/>
                      <w:spacing w:val="0"/>
                      <w:szCs w:val="21"/>
                      <w:lang w:val="en-US" w:eastAsia="zh-CN"/>
                      <w14:textFill>
                        <w14:solidFill>
                          <w14:schemeClr w14:val="tx1"/>
                        </w14:solidFill>
                      </w14:textFill>
                    </w:rPr>
                    <w:t>主车间</w:t>
                  </w:r>
                  <w:r>
                    <w:rPr>
                      <w:rFonts w:hint="default" w:ascii="Times New Roman" w:hAnsi="Times New Roman" w:eastAsia="宋体" w:cs="Times New Roman"/>
                      <w:color w:val="000000" w:themeColor="text1"/>
                      <w:spacing w:val="0"/>
                      <w:szCs w:val="21"/>
                      <w14:textFill>
                        <w14:solidFill>
                          <w14:schemeClr w14:val="tx1"/>
                        </w14:solidFill>
                      </w14:textFill>
                    </w:rPr>
                    <w:t>粉尘：</w:t>
                  </w:r>
                  <w:r>
                    <w:rPr>
                      <w:rFonts w:hint="eastAsia" w:cs="Times New Roman"/>
                      <w:color w:val="000000" w:themeColor="text1"/>
                      <w:spacing w:val="0"/>
                      <w:szCs w:val="21"/>
                      <w:lang w:val="en-US" w:eastAsia="zh-CN"/>
                      <w14:textFill>
                        <w14:solidFill>
                          <w14:schemeClr w14:val="tx1"/>
                        </w14:solidFill>
                      </w14:textFill>
                    </w:rPr>
                    <w:t>1</w:t>
                  </w:r>
                  <w:r>
                    <w:rPr>
                      <w:rFonts w:hint="default" w:ascii="Times New Roman" w:hAnsi="Times New Roman" w:eastAsia="宋体" w:cs="Times New Roman"/>
                      <w:color w:val="000000" w:themeColor="text1"/>
                      <w:spacing w:val="0"/>
                      <w:szCs w:val="21"/>
                      <w14:textFill>
                        <w14:solidFill>
                          <w14:schemeClr w14:val="tx1"/>
                        </w14:solidFill>
                      </w14:textFill>
                    </w:rPr>
                    <w:t>台</w:t>
                  </w:r>
                  <w:r>
                    <w:rPr>
                      <w:rFonts w:hint="eastAsia" w:cs="Times New Roman"/>
                      <w:color w:val="000000" w:themeColor="text1"/>
                      <w:spacing w:val="0"/>
                      <w:szCs w:val="21"/>
                      <w:lang w:eastAsia="zh-CN"/>
                      <w14:textFill>
                        <w14:solidFill>
                          <w14:schemeClr w14:val="tx1"/>
                        </w14:solidFill>
                      </w14:textFill>
                    </w:rPr>
                    <w:t>脉冲式布袋除尘器</w:t>
                  </w:r>
                  <w:r>
                    <w:rPr>
                      <w:rFonts w:hint="eastAsia" w:cs="Times New Roman"/>
                      <w:color w:val="000000" w:themeColor="text1"/>
                      <w:spacing w:val="0"/>
                      <w:szCs w:val="21"/>
                      <w:lang w:val="en-US" w:eastAsia="zh-CN"/>
                      <w14:textFill>
                        <w14:solidFill>
                          <w14:schemeClr w14:val="tx1"/>
                        </w14:solidFill>
                      </w14:textFill>
                    </w:rPr>
                    <w:t>无组织</w:t>
                  </w:r>
                  <w:r>
                    <w:rPr>
                      <w:rFonts w:hint="default" w:ascii="Times New Roman" w:hAnsi="Times New Roman" w:eastAsia="宋体" w:cs="Times New Roman"/>
                      <w:color w:val="000000" w:themeColor="text1"/>
                      <w:spacing w:val="0"/>
                      <w:szCs w:val="21"/>
                      <w14:textFill>
                        <w14:solidFill>
                          <w14:schemeClr w14:val="tx1"/>
                        </w14:solidFill>
                      </w14:textFill>
                    </w:rPr>
                    <w:t>排放；</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jc w:val="both"/>
                    <w:outlineLvl w:val="9"/>
                    <w:rPr>
                      <w:rFonts w:hint="eastAsia" w:ascii="Times New Roman" w:hAnsi="Times New Roman" w:eastAsia="宋体" w:cs="Times New Roman"/>
                      <w:color w:val="000000" w:themeColor="text1"/>
                      <w:spacing w:val="0"/>
                      <w:szCs w:val="21"/>
                      <w:lang w:val="en-US" w:eastAsia="zh-CN"/>
                      <w14:textFill>
                        <w14:solidFill>
                          <w14:schemeClr w14:val="tx1"/>
                        </w14:solidFill>
                      </w14:textFill>
                    </w:rPr>
                  </w:pPr>
                  <w:r>
                    <w:rPr>
                      <w:rFonts w:hint="default" w:ascii="Times New Roman" w:hAnsi="Times New Roman" w:eastAsia="宋体" w:cs="Times New Roman"/>
                      <w:bCs/>
                      <w:color w:val="000000" w:themeColor="text1"/>
                      <w:spacing w:val="0"/>
                      <w:szCs w:val="21"/>
                      <w14:textFill>
                        <w14:solidFill>
                          <w14:schemeClr w14:val="tx1"/>
                        </w14:solidFill>
                      </w14:textFill>
                    </w:rPr>
                    <w:t>化验室废气：通过通风橱和集气罩收集，</w:t>
                  </w:r>
                  <w:r>
                    <w:rPr>
                      <w:rFonts w:hint="eastAsia" w:cs="Times New Roman"/>
                      <w:bCs/>
                      <w:color w:val="000000" w:themeColor="text1"/>
                      <w:spacing w:val="0"/>
                      <w:szCs w:val="21"/>
                      <w:lang w:val="en-US" w:eastAsia="zh-CN"/>
                      <w14:textFill>
                        <w14:solidFill>
                          <w14:schemeClr w14:val="tx1"/>
                        </w14:solidFill>
                      </w14:textFill>
                    </w:rPr>
                    <w:t>无组织排放</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eastAsia" w:ascii="Times New Roman" w:hAnsi="Times New Roman" w:eastAsia="宋体" w:cs="Times New Roman"/>
                      <w:color w:val="000000" w:themeColor="text1"/>
                      <w:spacing w:val="0"/>
                      <w:szCs w:val="21"/>
                      <w:lang w:eastAsia="zh-CN"/>
                      <w14:textFill>
                        <w14:solidFill>
                          <w14:schemeClr w14:val="tx1"/>
                        </w14:solidFill>
                      </w14:textFill>
                    </w:rPr>
                  </w:pPr>
                  <w:r>
                    <w:rPr>
                      <w:rFonts w:hint="default" w:ascii="Times New Roman" w:hAnsi="Times New Roman" w:eastAsia="宋体" w:cs="Times New Roman"/>
                      <w:color w:val="000000" w:themeColor="text1"/>
                      <w:spacing w:val="0"/>
                      <w14:textFill>
                        <w14:solidFill>
                          <w14:schemeClr w14:val="tx1"/>
                        </w14:solidFill>
                      </w14:textFill>
                    </w:rPr>
                    <w:t>锅炉烟气：</w:t>
                  </w:r>
                  <w:r>
                    <w:rPr>
                      <w:rFonts w:hint="eastAsia" w:cs="Times New Roman"/>
                      <w:color w:val="000000" w:themeColor="text1"/>
                      <w:spacing w:val="0"/>
                      <w:lang w:val="en-US" w:eastAsia="zh-CN"/>
                      <w14:textFill>
                        <w14:solidFill>
                          <w14:schemeClr w14:val="tx1"/>
                        </w14:solidFill>
                      </w14:textFill>
                    </w:rPr>
                    <w:t>1台1t/h燃生物质锅炉烟气通过脉冲除尘器处理后，由15m烟囱排放；另一台1t/h燃生物质蒸汽锅炉烟气</w:t>
                  </w:r>
                  <w:r>
                    <w:rPr>
                      <w:rFonts w:hint="default" w:ascii="Times New Roman" w:hAnsi="Times New Roman" w:eastAsia="宋体" w:cs="Times New Roman"/>
                      <w:color w:val="000000" w:themeColor="text1"/>
                      <w:spacing w:val="0"/>
                      <w14:textFill>
                        <w14:solidFill>
                          <w14:schemeClr w14:val="tx1"/>
                        </w14:solidFill>
                      </w14:textFill>
                    </w:rPr>
                    <w:t>通过</w:t>
                  </w:r>
                  <w:r>
                    <w:rPr>
                      <w:rFonts w:hint="eastAsia" w:cs="Times New Roman"/>
                      <w:color w:val="000000" w:themeColor="text1"/>
                      <w:spacing w:val="0"/>
                      <w:szCs w:val="21"/>
                      <w:lang w:eastAsia="zh-CN"/>
                      <w14:textFill>
                        <w14:solidFill>
                          <w14:schemeClr w14:val="tx1"/>
                        </w14:solidFill>
                      </w14:textFill>
                    </w:rPr>
                    <w:t>脉冲式布袋除尘器</w:t>
                  </w:r>
                  <w:r>
                    <w:rPr>
                      <w:rFonts w:hint="default" w:ascii="Times New Roman" w:hAnsi="Times New Roman" w:eastAsia="宋体" w:cs="Times New Roman"/>
                      <w:color w:val="000000" w:themeColor="text1"/>
                      <w:spacing w:val="0"/>
                      <w14:textFill>
                        <w14:solidFill>
                          <w14:schemeClr w14:val="tx1"/>
                        </w14:solidFill>
                      </w14:textFill>
                    </w:rPr>
                    <w:t>处理后，由</w:t>
                  </w:r>
                  <w:r>
                    <w:rPr>
                      <w:rFonts w:hint="eastAsia" w:cs="Times New Roman"/>
                      <w:color w:val="000000" w:themeColor="text1"/>
                      <w:spacing w:val="0"/>
                      <w:lang w:val="en-US" w:eastAsia="zh-CN"/>
                      <w14:textFill>
                        <w14:solidFill>
                          <w14:schemeClr w14:val="tx1"/>
                        </w14:solidFill>
                      </w14:textFill>
                    </w:rPr>
                    <w:t>15</w:t>
                  </w:r>
                  <w:r>
                    <w:rPr>
                      <w:rFonts w:hint="default" w:ascii="Times New Roman" w:hAnsi="Times New Roman" w:eastAsia="宋体" w:cs="Times New Roman"/>
                      <w:color w:val="000000" w:themeColor="text1"/>
                      <w:spacing w:val="0"/>
                      <w14:textFill>
                        <w14:solidFill>
                          <w14:schemeClr w14:val="tx1"/>
                        </w14:solidFill>
                      </w14:textFill>
                    </w:rPr>
                    <w:t>m高烟囱排放</w:t>
                  </w:r>
                  <w:r>
                    <w:rPr>
                      <w:rFonts w:hint="eastAsia" w:cs="Times New Roman"/>
                      <w:color w:val="000000" w:themeColor="text1"/>
                      <w:spacing w:val="0"/>
                      <w:lang w:eastAsia="zh-CN"/>
                      <w14:textFill>
                        <w14:solidFill>
                          <w14:schemeClr w14:val="tx1"/>
                        </w14:solidFill>
                      </w14:textFill>
                    </w:rPr>
                    <w: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lang w:val="en-US" w:eastAsia="zh-CN"/>
                      <w14:textFill>
                        <w14:solidFill>
                          <w14:schemeClr w14:val="tx1"/>
                        </w14:solidFill>
                      </w14:textFill>
                    </w:rPr>
                  </w:pPr>
                  <w:r>
                    <w:rPr>
                      <w:rFonts w:hint="eastAsia" w:cs="Times New Roman"/>
                      <w:color w:val="000000" w:themeColor="text1"/>
                      <w:spacing w:val="0"/>
                      <w:lang w:val="en-US" w:eastAsia="zh-CN"/>
                      <w14:textFill>
                        <w14:solidFill>
                          <w14:schemeClr w14:val="tx1"/>
                        </w14:solidFill>
                      </w14:textFill>
                    </w:rPr>
                    <w:t>生产异味：饲料蒸汽制粒时会产生异味，饲料加工过程全密闭，异味对周围环境影响较小。</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bCs/>
                      <w:color w:val="auto"/>
                      <w:spacing w:val="0"/>
                      <w:kern w:val="2"/>
                      <w:sz w:val="21"/>
                      <w:szCs w:val="21"/>
                      <w:lang w:val="en-US" w:eastAsia="zh-CN" w:bidi="ar-SA"/>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szCs w:val="21"/>
                      <w14:textFill>
                        <w14:solidFill>
                          <w14:schemeClr w14:val="tx1"/>
                        </w14:solidFill>
                      </w14:textFill>
                    </w:rPr>
                  </w:pPr>
                  <w:r>
                    <w:rPr>
                      <w:rFonts w:hint="default" w:ascii="Times New Roman" w:hAnsi="Times New Roman" w:eastAsia="宋体" w:cs="Times New Roman"/>
                      <w:color w:val="000000" w:themeColor="text1"/>
                      <w:spacing w:val="0"/>
                      <w14:textFill>
                        <w14:solidFill>
                          <w14:schemeClr w14:val="tx1"/>
                        </w14:solidFill>
                      </w14:textFill>
                    </w:rPr>
                    <w:t>食堂油烟：</w:t>
                  </w:r>
                  <w:r>
                    <w:rPr>
                      <w:rFonts w:hint="eastAsia" w:cs="Times New Roman"/>
                      <w:color w:val="000000" w:themeColor="text1"/>
                      <w:spacing w:val="0"/>
                      <w:szCs w:val="21"/>
                      <w:lang w:val="en-US" w:eastAsia="zh-CN"/>
                      <w14:textFill>
                        <w14:solidFill>
                          <w14:schemeClr w14:val="tx1"/>
                        </w14:solidFill>
                      </w14:textFill>
                    </w:rPr>
                    <w:t>食堂油烟</w:t>
                  </w:r>
                  <w:r>
                    <w:rPr>
                      <w:rFonts w:hint="default" w:ascii="Times New Roman" w:hAnsi="Times New Roman" w:eastAsia="宋体" w:cs="Times New Roman"/>
                      <w:color w:val="000000" w:themeColor="text1"/>
                      <w:spacing w:val="0"/>
                      <w:szCs w:val="21"/>
                      <w14:textFill>
                        <w14:solidFill>
                          <w14:schemeClr w14:val="tx1"/>
                        </w14:solidFill>
                      </w14:textFill>
                    </w:rPr>
                    <w:t>通过</w:t>
                  </w:r>
                  <w:r>
                    <w:rPr>
                      <w:rFonts w:hint="eastAsia" w:cs="Times New Roman"/>
                      <w:color w:val="000000" w:themeColor="text1"/>
                      <w:spacing w:val="0"/>
                      <w:szCs w:val="21"/>
                      <w:lang w:val="en-US" w:eastAsia="zh-CN"/>
                      <w14:textFill>
                        <w14:solidFill>
                          <w14:schemeClr w14:val="tx1"/>
                        </w14:solidFill>
                      </w14:textFill>
                    </w:rPr>
                    <w:t>楼房建设时建立的</w:t>
                  </w:r>
                  <w:r>
                    <w:rPr>
                      <w:rFonts w:hint="default" w:ascii="Times New Roman" w:hAnsi="Times New Roman" w:eastAsia="宋体" w:cs="Times New Roman"/>
                      <w:color w:val="000000" w:themeColor="text1"/>
                      <w:spacing w:val="0"/>
                      <w:szCs w:val="21"/>
                      <w14:textFill>
                        <w14:solidFill>
                          <w14:schemeClr w14:val="tx1"/>
                        </w14:solidFill>
                      </w14:textFill>
                    </w:rPr>
                    <w:t>油烟专用通道</w:t>
                  </w:r>
                  <w:r>
                    <w:rPr>
                      <w:rFonts w:hint="eastAsia" w:cs="Times New Roman"/>
                      <w:color w:val="000000" w:themeColor="text1"/>
                      <w:spacing w:val="0"/>
                      <w:szCs w:val="21"/>
                      <w:lang w:val="en-US" w:eastAsia="zh-CN"/>
                      <w14:textFill>
                        <w14:solidFill>
                          <w14:schemeClr w14:val="tx1"/>
                        </w14:solidFill>
                      </w14:textFill>
                    </w:rPr>
                    <w:t>高空</w:t>
                  </w:r>
                  <w:r>
                    <w:rPr>
                      <w:rFonts w:hint="default" w:ascii="Times New Roman" w:hAnsi="Times New Roman" w:eastAsia="宋体" w:cs="Times New Roman"/>
                      <w:color w:val="000000" w:themeColor="text1"/>
                      <w:spacing w:val="0"/>
                      <w:szCs w:val="21"/>
                      <w14:textFill>
                        <w14:solidFill>
                          <w14:schemeClr w14:val="tx1"/>
                        </w14:solidFill>
                      </w14:textFill>
                    </w:rPr>
                    <w:t>排放。</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rPr>
                    <w:t>废水</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lang w:eastAsia="zh-CN"/>
                    </w:rPr>
                  </w:pPr>
                  <w:r>
                    <w:rPr>
                      <w:rFonts w:hint="default" w:ascii="Times New Roman" w:hAnsi="Times New Roman" w:eastAsia="宋体" w:cs="Times New Roman"/>
                      <w:bCs/>
                      <w:color w:val="auto"/>
                      <w:spacing w:val="0"/>
                    </w:rPr>
                    <w:t>项目废水主要为生活污水、</w:t>
                  </w:r>
                  <w:r>
                    <w:rPr>
                      <w:rFonts w:hint="eastAsia" w:cs="Times New Roman"/>
                      <w:bCs/>
                      <w:color w:val="auto"/>
                      <w:spacing w:val="0"/>
                      <w:lang w:val="en-US" w:eastAsia="zh-CN"/>
                    </w:rPr>
                    <w:t>食堂</w:t>
                  </w:r>
                  <w:r>
                    <w:rPr>
                      <w:rFonts w:hint="default" w:ascii="Times New Roman" w:hAnsi="Times New Roman" w:eastAsia="宋体" w:cs="Times New Roman"/>
                      <w:bCs/>
                      <w:color w:val="auto"/>
                      <w:spacing w:val="0"/>
                    </w:rPr>
                    <w:t>废水、锅炉排污水及</w:t>
                  </w:r>
                  <w:r>
                    <w:rPr>
                      <w:rFonts w:hint="default" w:ascii="Times New Roman" w:hAnsi="Times New Roman" w:eastAsia="宋体" w:cs="Times New Roman"/>
                      <w:bCs/>
                      <w:color w:val="auto"/>
                      <w:spacing w:val="0"/>
                      <w:szCs w:val="21"/>
                    </w:rPr>
                    <w:t>化验室器皿清洗废水。项目</w:t>
                  </w:r>
                  <w:r>
                    <w:rPr>
                      <w:rFonts w:hint="eastAsia" w:cs="Times New Roman"/>
                      <w:bCs/>
                      <w:color w:val="auto"/>
                      <w:spacing w:val="0"/>
                      <w:szCs w:val="21"/>
                      <w:lang w:eastAsia="zh-CN"/>
                    </w:rPr>
                    <w:t>食堂废水</w:t>
                  </w:r>
                  <w:r>
                    <w:rPr>
                      <w:rFonts w:hint="default" w:ascii="Times New Roman" w:hAnsi="Times New Roman" w:eastAsia="宋体" w:cs="Times New Roman"/>
                      <w:bCs/>
                      <w:color w:val="auto"/>
                      <w:spacing w:val="0"/>
                      <w:szCs w:val="21"/>
                    </w:rPr>
                    <w:t>经隔油池处理后与生活污水</w:t>
                  </w:r>
                  <w:r>
                    <w:rPr>
                      <w:rFonts w:hint="eastAsia" w:cs="Times New Roman"/>
                      <w:bCs/>
                      <w:color w:val="auto"/>
                      <w:spacing w:val="0"/>
                      <w:szCs w:val="21"/>
                      <w:lang w:eastAsia="zh-CN"/>
                    </w:rPr>
                    <w:t>、</w:t>
                  </w:r>
                  <w:r>
                    <w:rPr>
                      <w:rFonts w:hint="eastAsia" w:cs="Times New Roman"/>
                      <w:bCs/>
                      <w:color w:val="auto"/>
                      <w:spacing w:val="0"/>
                      <w:szCs w:val="21"/>
                      <w:lang w:val="en-US" w:eastAsia="zh-CN"/>
                    </w:rPr>
                    <w:t>锅炉排污水、</w:t>
                  </w:r>
                  <w:r>
                    <w:rPr>
                      <w:rFonts w:hint="default" w:ascii="Times New Roman" w:hAnsi="Times New Roman" w:eastAsia="宋体" w:cs="Times New Roman"/>
                      <w:bCs/>
                      <w:color w:val="auto"/>
                      <w:spacing w:val="0"/>
                      <w:szCs w:val="21"/>
                    </w:rPr>
                    <w:t>化验室器皿清洗废水一起排入防渗化粪池，</w:t>
                  </w:r>
                  <w:r>
                    <w:rPr>
                      <w:rFonts w:hint="default" w:ascii="Times New Roman" w:hAnsi="Times New Roman" w:eastAsia="宋体" w:cs="Times New Roman"/>
                      <w:color w:val="auto"/>
                      <w:spacing w:val="0"/>
                    </w:rPr>
                    <w:t>由市政</w:t>
                  </w:r>
                  <w:r>
                    <w:rPr>
                      <w:rFonts w:hint="eastAsia" w:cs="Times New Roman"/>
                      <w:color w:val="auto"/>
                      <w:spacing w:val="0"/>
                      <w:lang w:val="en-US" w:eastAsia="zh-CN"/>
                    </w:rPr>
                    <w:t>部门定期清掏，外运堆肥</w:t>
                  </w:r>
                  <w:r>
                    <w:rPr>
                      <w:rFonts w:hint="eastAsia" w:cs="Times New Roman"/>
                      <w:color w:val="auto"/>
                      <w:spacing w:val="0"/>
                      <w:lang w:eastAsia="zh-CN"/>
                    </w:rPr>
                    <w: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rPr>
                    <w:t>噪声</w:t>
                  </w:r>
                </w:p>
              </w:tc>
              <w:tc>
                <w:tcPr>
                  <w:tcW w:w="5121" w:type="dxa"/>
                  <w:gridSpan w:val="2"/>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eastAsia" w:ascii="Times New Roman" w:hAnsi="Times New Roman" w:eastAsia="宋体" w:cs="Times New Roman"/>
                      <w:color w:val="auto"/>
                      <w:spacing w:val="0"/>
                      <w:szCs w:val="21"/>
                      <w:lang w:eastAsia="zh-CN"/>
                    </w:rPr>
                  </w:pPr>
                  <w:r>
                    <w:rPr>
                      <w:rFonts w:hint="default" w:ascii="Times New Roman" w:hAnsi="Times New Roman" w:eastAsia="宋体" w:cs="Times New Roman"/>
                      <w:color w:val="auto"/>
                      <w:spacing w:val="0"/>
                      <w:szCs w:val="21"/>
                    </w:rPr>
                    <w:t>选用低噪声设备，采取</w:t>
                  </w:r>
                  <w:r>
                    <w:rPr>
                      <w:rFonts w:hint="eastAsia" w:cs="Times New Roman"/>
                      <w:color w:val="auto"/>
                      <w:spacing w:val="0"/>
                      <w:szCs w:val="21"/>
                      <w:lang w:val="en-US" w:eastAsia="zh-CN"/>
                    </w:rPr>
                    <w:t>基础</w:t>
                  </w:r>
                  <w:r>
                    <w:rPr>
                      <w:rFonts w:hint="default" w:ascii="Times New Roman" w:hAnsi="Times New Roman" w:eastAsia="宋体" w:cs="Times New Roman"/>
                      <w:color w:val="auto"/>
                      <w:spacing w:val="0"/>
                      <w:szCs w:val="21"/>
                    </w:rPr>
                    <w:t>减振、</w:t>
                  </w:r>
                  <w:r>
                    <w:rPr>
                      <w:rFonts w:hint="eastAsia" w:cs="Times New Roman"/>
                      <w:color w:val="auto"/>
                      <w:spacing w:val="0"/>
                      <w:szCs w:val="21"/>
                      <w:lang w:val="en-US" w:eastAsia="zh-CN"/>
                    </w:rPr>
                    <w:t>厂房</w:t>
                  </w:r>
                  <w:r>
                    <w:rPr>
                      <w:rFonts w:hint="default" w:ascii="Times New Roman" w:hAnsi="Times New Roman" w:eastAsia="宋体" w:cs="Times New Roman"/>
                      <w:color w:val="auto"/>
                      <w:spacing w:val="0"/>
                      <w:szCs w:val="21"/>
                    </w:rPr>
                    <w:t>隔声等措施</w:t>
                  </w:r>
                  <w:r>
                    <w:rPr>
                      <w:rFonts w:hint="eastAsia" w:cs="Times New Roman"/>
                      <w:color w:val="auto"/>
                      <w:spacing w:val="0"/>
                      <w:szCs w:val="21"/>
                      <w:lang w:eastAsia="zh-CN"/>
                    </w:rPr>
                    <w:t>。</w:t>
                  </w:r>
                </w:p>
              </w:tc>
              <w:tc>
                <w:tcPr>
                  <w:tcW w:w="892" w:type="dxa"/>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eastAsia" w:ascii="Times New Roman" w:hAnsi="Times New Roman" w:eastAsia="宋体" w:cs="Times New Roman"/>
                      <w:bCs/>
                      <w:color w:val="auto"/>
                      <w:spacing w:val="0"/>
                      <w:szCs w:val="21"/>
                      <w:lang w:eastAsia="zh-CN"/>
                    </w:rPr>
                  </w:pPr>
                  <w:r>
                    <w:rPr>
                      <w:rFonts w:hint="eastAsia" w:ascii="Times New Roman" w:hAnsi="Times New Roman" w:eastAsia="宋体" w:cs="Times New Roman"/>
                      <w:bCs/>
                      <w:color w:val="auto"/>
                      <w:spacing w:val="0"/>
                      <w:szCs w:val="21"/>
                      <w:lang w:val="en-US" w:eastAsia="zh-CN"/>
                    </w:rPr>
                    <w:t>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restart"/>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r>
                    <w:rPr>
                      <w:rFonts w:hint="default" w:ascii="Times New Roman" w:hAnsi="Times New Roman" w:eastAsia="宋体" w:cs="Times New Roman"/>
                      <w:color w:val="auto"/>
                      <w:spacing w:val="0"/>
                    </w:rPr>
                    <w:t>固体废物</w:t>
                  </w:r>
                </w:p>
              </w:tc>
              <w:tc>
                <w:tcPr>
                  <w:tcW w:w="1348"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r>
                    <w:rPr>
                      <w:rFonts w:hint="default" w:ascii="Times New Roman" w:hAnsi="Times New Roman" w:eastAsia="宋体" w:cs="Times New Roman"/>
                      <w:color w:val="auto"/>
                      <w:spacing w:val="0"/>
                    </w:rPr>
                    <w:t>生活垃圾</w:t>
                  </w:r>
                </w:p>
              </w:tc>
              <w:tc>
                <w:tcPr>
                  <w:tcW w:w="3773"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bCs/>
                      <w:color w:val="auto"/>
                      <w:spacing w:val="0"/>
                    </w:rPr>
                    <w:t>设置垃圾箱，由市政部门定期清运至生活垃圾填埋场填埋处置</w:t>
                  </w:r>
                </w:p>
              </w:tc>
              <w:tc>
                <w:tcPr>
                  <w:tcW w:w="892" w:type="dxa"/>
                  <w:vMerge w:val="restart"/>
                  <w:noWrap w:val="0"/>
                  <w:vAlign w:val="center"/>
                </w:tcPr>
                <w:p>
                  <w:pPr>
                    <w:pStyle w:val="29"/>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jc w:val="center"/>
                    <w:textAlignment w:val="auto"/>
                    <w:outlineLvl w:val="9"/>
                    <w:rPr>
                      <w:rFonts w:hint="default" w:ascii="Times New Roman" w:hAnsi="Times New Roman" w:eastAsia="宋体" w:cs="Times New Roman"/>
                      <w:bCs/>
                      <w:color w:val="auto"/>
                      <w:spacing w:val="0"/>
                      <w:szCs w:val="21"/>
                    </w:rPr>
                  </w:pPr>
                  <w:r>
                    <w:rPr>
                      <w:rFonts w:hint="default" w:ascii="Times New Roman" w:hAnsi="Times New Roman" w:eastAsia="宋体" w:cs="Times New Roman"/>
                      <w:bCs/>
                      <w:color w:val="auto"/>
                      <w:spacing w:val="0"/>
                      <w:szCs w:val="21"/>
                    </w:rPr>
                    <w:t>固体废物处置率100%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p>
              </w:tc>
              <w:tc>
                <w:tcPr>
                  <w:tcW w:w="1348" w:type="dxa"/>
                  <w:noWrap w:val="0"/>
                  <w:vAlign w:val="center"/>
                </w:tcPr>
                <w:p>
                  <w:pPr>
                    <w:keepNext w:val="0"/>
                    <w:keepLines w:val="0"/>
                    <w:kinsoku/>
                    <w:wordWrap/>
                    <w:overflowPunct/>
                    <w:topLinePunct w:val="0"/>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pacing w:val="0"/>
                      <w:szCs w:val="21"/>
                      <w:lang w:eastAsia="zh-CN"/>
                    </w:rPr>
                  </w:pPr>
                  <w:r>
                    <w:rPr>
                      <w:rFonts w:hint="eastAsia" w:cs="Times New Roman"/>
                      <w:color w:val="auto"/>
                      <w:spacing w:val="0"/>
                      <w:szCs w:val="21"/>
                      <w:lang w:val="en-US" w:eastAsia="zh-CN"/>
                    </w:rPr>
                    <w:t>预混合</w:t>
                  </w:r>
                  <w:r>
                    <w:rPr>
                      <w:rFonts w:hint="default" w:ascii="Times New Roman" w:hAnsi="Times New Roman" w:eastAsia="宋体" w:cs="Times New Roman"/>
                      <w:color w:val="auto"/>
                      <w:spacing w:val="0"/>
                      <w:szCs w:val="21"/>
                    </w:rPr>
                    <w:t>除尘</w:t>
                  </w:r>
                  <w:r>
                    <w:rPr>
                      <w:rFonts w:hint="eastAsia" w:cs="Times New Roman"/>
                      <w:color w:val="auto"/>
                      <w:spacing w:val="0"/>
                      <w:szCs w:val="21"/>
                      <w:lang w:val="en-US" w:eastAsia="zh-CN"/>
                    </w:rPr>
                    <w:t>灰</w:t>
                  </w:r>
                </w:p>
              </w:tc>
              <w:tc>
                <w:tcPr>
                  <w:tcW w:w="3773"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eastAsia"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回用于生产</w:t>
                  </w:r>
                </w:p>
              </w:tc>
              <w:tc>
                <w:tcPr>
                  <w:tcW w:w="89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p>
              </w:tc>
              <w:tc>
                <w:tcPr>
                  <w:tcW w:w="1348" w:type="dxa"/>
                  <w:noWrap w:val="0"/>
                  <w:vAlign w:val="center"/>
                </w:tcPr>
                <w:p>
                  <w:pPr>
                    <w:keepNext w:val="0"/>
                    <w:keepLines w:val="0"/>
                    <w:kinsoku/>
                    <w:wordWrap/>
                    <w:overflowPunct/>
                    <w:topLinePunct w:val="0"/>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pacing w:val="0"/>
                      <w:szCs w:val="21"/>
                      <w:lang w:eastAsia="zh-CN"/>
                    </w:rPr>
                  </w:pPr>
                  <w:r>
                    <w:rPr>
                      <w:rFonts w:hint="eastAsia" w:cs="Times New Roman"/>
                      <w:color w:val="auto"/>
                      <w:spacing w:val="0"/>
                      <w:szCs w:val="21"/>
                      <w:lang w:val="en-US" w:eastAsia="zh-CN"/>
                    </w:rPr>
                    <w:t>主车间</w:t>
                  </w:r>
                  <w:r>
                    <w:rPr>
                      <w:rFonts w:hint="default" w:ascii="Times New Roman" w:hAnsi="Times New Roman" w:eastAsia="宋体" w:cs="Times New Roman"/>
                      <w:color w:val="auto"/>
                      <w:spacing w:val="0"/>
                      <w:szCs w:val="21"/>
                    </w:rPr>
                    <w:t>除尘</w:t>
                  </w:r>
                  <w:r>
                    <w:rPr>
                      <w:rFonts w:hint="eastAsia" w:cs="Times New Roman"/>
                      <w:color w:val="auto"/>
                      <w:spacing w:val="0"/>
                      <w:szCs w:val="21"/>
                      <w:lang w:val="en-US" w:eastAsia="zh-CN"/>
                    </w:rPr>
                    <w:t>灰</w:t>
                  </w:r>
                </w:p>
              </w:tc>
              <w:tc>
                <w:tcPr>
                  <w:tcW w:w="3773"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r>
                    <w:rPr>
                      <w:rFonts w:hint="default" w:ascii="Times New Roman" w:hAnsi="Times New Roman" w:eastAsia="宋体" w:cs="Times New Roman"/>
                      <w:color w:val="auto"/>
                      <w:spacing w:val="0"/>
                    </w:rPr>
                    <w:t>回用于生产</w:t>
                  </w:r>
                </w:p>
              </w:tc>
              <w:tc>
                <w:tcPr>
                  <w:tcW w:w="89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p>
              </w:tc>
              <w:tc>
                <w:tcPr>
                  <w:tcW w:w="1348" w:type="dxa"/>
                  <w:noWrap w:val="0"/>
                  <w:vAlign w:val="center"/>
                </w:tcPr>
                <w:p>
                  <w:pPr>
                    <w:keepNext w:val="0"/>
                    <w:keepLines w:val="0"/>
                    <w:kinsoku/>
                    <w:wordWrap/>
                    <w:overflowPunct/>
                    <w:topLinePunct w:val="0"/>
                    <w:autoSpaceDE w:val="0"/>
                    <w:autoSpaceDN w:val="0"/>
                    <w:bidi w:val="0"/>
                    <w:spacing w:beforeAutospacing="0" w:afterAutospacing="0"/>
                    <w:ind w:left="0" w:leftChars="0" w:right="0" w:rightChars="0"/>
                    <w:contextualSpacing/>
                    <w:jc w:val="center"/>
                    <w:outlineLvl w:val="9"/>
                    <w:rPr>
                      <w:rFonts w:hint="default" w:cs="Times New Roman"/>
                      <w:color w:val="auto"/>
                      <w:spacing w:val="0"/>
                      <w:szCs w:val="21"/>
                      <w:lang w:val="en-US" w:eastAsia="zh-CN"/>
                    </w:rPr>
                  </w:pPr>
                  <w:r>
                    <w:rPr>
                      <w:rFonts w:hint="eastAsia" w:cs="Times New Roman"/>
                      <w:color w:val="auto"/>
                      <w:spacing w:val="0"/>
                      <w:szCs w:val="21"/>
                      <w:lang w:val="en-US" w:eastAsia="zh-CN"/>
                    </w:rPr>
                    <w:t>锅炉除尘灰</w:t>
                  </w:r>
                </w:p>
              </w:tc>
              <w:tc>
                <w:tcPr>
                  <w:tcW w:w="3773"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lang w:val="en-US" w:eastAsia="zh-CN"/>
                    </w:rPr>
                  </w:pPr>
                  <w:r>
                    <w:rPr>
                      <w:rFonts w:hint="eastAsia" w:cs="Times New Roman"/>
                      <w:color w:val="auto"/>
                      <w:spacing w:val="0"/>
                      <w:lang w:val="en-US" w:eastAsia="zh-CN"/>
                    </w:rPr>
                    <w:t>集中收集，交由市政部门统一处理</w:t>
                  </w:r>
                </w:p>
              </w:tc>
              <w:tc>
                <w:tcPr>
                  <w:tcW w:w="89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p>
              </w:tc>
              <w:tc>
                <w:tcPr>
                  <w:tcW w:w="1348"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r>
                    <w:rPr>
                      <w:rFonts w:hint="default" w:ascii="Times New Roman" w:hAnsi="Times New Roman" w:eastAsia="宋体" w:cs="Times New Roman"/>
                      <w:color w:val="auto"/>
                      <w:spacing w:val="0"/>
                    </w:rPr>
                    <w:t>废包装袋</w:t>
                  </w:r>
                </w:p>
              </w:tc>
              <w:tc>
                <w:tcPr>
                  <w:tcW w:w="3773"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r>
                    <w:rPr>
                      <w:rFonts w:hint="default" w:ascii="Times New Roman" w:hAnsi="Times New Roman" w:eastAsia="宋体" w:cs="Times New Roman"/>
                      <w:color w:val="auto"/>
                      <w:spacing w:val="0"/>
                    </w:rPr>
                    <w:t>集中收集，统一外售综合利用</w:t>
                  </w:r>
                </w:p>
              </w:tc>
              <w:tc>
                <w:tcPr>
                  <w:tcW w:w="89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p>
              </w:tc>
              <w:tc>
                <w:tcPr>
                  <w:tcW w:w="1348"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14:textFill>
                        <w14:solidFill>
                          <w14:schemeClr w14:val="tx1"/>
                        </w14:solidFill>
                      </w14:textFill>
                    </w:rPr>
                  </w:pPr>
                  <w:r>
                    <w:rPr>
                      <w:rFonts w:hint="eastAsia" w:cs="Times New Roman"/>
                      <w:color w:val="000000" w:themeColor="text1"/>
                      <w:spacing w:val="0"/>
                      <w:lang w:val="en-US" w:eastAsia="zh-CN"/>
                      <w14:textFill>
                        <w14:solidFill>
                          <w14:schemeClr w14:val="tx1"/>
                        </w14:solidFill>
                      </w14:textFill>
                    </w:rPr>
                    <w:t>实验室</w:t>
                  </w:r>
                  <w:r>
                    <w:rPr>
                      <w:rFonts w:hint="default" w:ascii="Times New Roman" w:hAnsi="Times New Roman" w:eastAsia="宋体" w:cs="Times New Roman"/>
                      <w:color w:val="000000" w:themeColor="text1"/>
                      <w:spacing w:val="0"/>
                      <w14:textFill>
                        <w14:solidFill>
                          <w14:schemeClr w14:val="tx1"/>
                        </w14:solidFill>
                      </w14:textFill>
                    </w:rPr>
                    <w:t>废液</w:t>
                  </w:r>
                </w:p>
              </w:tc>
              <w:tc>
                <w:tcPr>
                  <w:tcW w:w="3773"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szCs w:val="21"/>
                      <w14:textFill>
                        <w14:solidFill>
                          <w14:schemeClr w14:val="tx1"/>
                        </w14:solidFill>
                      </w14:textFill>
                    </w:rPr>
                  </w:pPr>
                  <w:r>
                    <w:rPr>
                      <w:rFonts w:hint="default" w:ascii="Times New Roman" w:hAnsi="Times New Roman" w:eastAsia="宋体" w:cs="Times New Roman"/>
                      <w:color w:val="000000" w:themeColor="text1"/>
                      <w:spacing w:val="0"/>
                      <w:szCs w:val="21"/>
                      <w14:textFill>
                        <w14:solidFill>
                          <w14:schemeClr w14:val="tx1"/>
                        </w14:solidFill>
                      </w14:textFill>
                    </w:rPr>
                    <w:t>危废代码为HW49,900-047-49，属于危废废物，暂存于危废暂存间内，定期委托有资质单位处理</w:t>
                  </w:r>
                </w:p>
              </w:tc>
              <w:tc>
                <w:tcPr>
                  <w:tcW w:w="89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c>
                <w:tcPr>
                  <w:tcW w:w="104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rPr>
                  </w:pPr>
                </w:p>
              </w:tc>
              <w:tc>
                <w:tcPr>
                  <w:tcW w:w="1348"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14:textFill>
                        <w14:solidFill>
                          <w14:schemeClr w14:val="tx1"/>
                        </w14:solidFill>
                      </w14:textFill>
                    </w:rPr>
                  </w:pPr>
                  <w:r>
                    <w:rPr>
                      <w:rFonts w:hint="default" w:ascii="Times New Roman" w:hAnsi="Times New Roman" w:eastAsia="宋体" w:cs="Times New Roman"/>
                      <w:color w:val="000000" w:themeColor="text1"/>
                      <w:spacing w:val="0"/>
                      <w14:textFill>
                        <w14:solidFill>
                          <w14:schemeClr w14:val="tx1"/>
                        </w14:solidFill>
                      </w14:textFill>
                    </w:rPr>
                    <w:t>过期实验药品及废弃实验药品容器</w:t>
                  </w:r>
                </w:p>
              </w:tc>
              <w:tc>
                <w:tcPr>
                  <w:tcW w:w="3773" w:type="dxa"/>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000000" w:themeColor="text1"/>
                      <w:spacing w:val="0"/>
                      <w:szCs w:val="21"/>
                      <w14:textFill>
                        <w14:solidFill>
                          <w14:schemeClr w14:val="tx1"/>
                        </w14:solidFill>
                      </w14:textFill>
                    </w:rPr>
                  </w:pPr>
                  <w:r>
                    <w:rPr>
                      <w:rFonts w:hint="default" w:ascii="Times New Roman" w:hAnsi="Times New Roman" w:eastAsia="宋体" w:cs="Times New Roman"/>
                      <w:color w:val="000000" w:themeColor="text1"/>
                      <w:spacing w:val="0"/>
                      <w:szCs w:val="21"/>
                      <w14:textFill>
                        <w14:solidFill>
                          <w14:schemeClr w14:val="tx1"/>
                        </w14:solidFill>
                      </w14:textFill>
                    </w:rPr>
                    <w:t>危废代码为HW49,900-047-49，属于危废废物，暂存于危废暂存间内，定期委托有资质单位处理</w:t>
                  </w:r>
                </w:p>
              </w:tc>
              <w:tc>
                <w:tcPr>
                  <w:tcW w:w="892" w:type="dxa"/>
                  <w:vMerge w:val="continue"/>
                  <w:noWrap w:val="0"/>
                  <w:vAlign w:val="center"/>
                </w:tcPr>
                <w:p>
                  <w:pPr>
                    <w:pStyle w:val="29"/>
                    <w:keepNext w:val="0"/>
                    <w:keepLines w:val="0"/>
                    <w:kinsoku/>
                    <w:wordWrap/>
                    <w:overflowPunct/>
                    <w:topLinePunct w:val="0"/>
                    <w:bidi w:val="0"/>
                    <w:adjustRightInd w:val="0"/>
                    <w:snapToGrid w:val="0"/>
                    <w:spacing w:beforeAutospacing="0" w:afterAutospacing="0" w:line="240" w:lineRule="auto"/>
                    <w:ind w:left="0" w:leftChars="0" w:right="0" w:rightChars="0"/>
                    <w:outlineLvl w:val="9"/>
                    <w:rPr>
                      <w:rFonts w:hint="default" w:ascii="Times New Roman" w:hAnsi="Times New Roman" w:eastAsia="宋体" w:cs="Times New Roman"/>
                      <w:color w:val="auto"/>
                      <w:spacing w:val="0"/>
                      <w:szCs w:val="21"/>
                    </w:rPr>
                  </w:pPr>
                </w:p>
              </w:tc>
            </w:tr>
          </w:tbl>
          <w:p>
            <w:pPr>
              <w:keepNext w:val="0"/>
              <w:keepLines w:val="0"/>
              <w:numPr>
                <w:ilvl w:val="0"/>
                <w:numId w:val="2"/>
              </w:numPr>
              <w:kinsoku/>
              <w:wordWrap/>
              <w:overflowPunct/>
              <w:topLinePunct w:val="0"/>
              <w:bidi w:val="0"/>
              <w:adjustRightInd w:val="0"/>
              <w:snapToGrid w:val="0"/>
              <w:spacing w:beforeAutospacing="0" w:afterAutospacing="0" w:line="360" w:lineRule="auto"/>
              <w:ind w:left="0" w:leftChars="0" w:right="0" w:rightChars="0" w:firstLine="482" w:firstLineChars="200"/>
              <w:outlineLvl w:val="9"/>
              <w:rPr>
                <w:rFonts w:hint="default" w:ascii="Times New Roman" w:hAnsi="Times New Roman" w:eastAsia="宋体" w:cs="Times New Roman"/>
                <w:b/>
                <w:color w:val="auto"/>
                <w:spacing w:val="0"/>
                <w:sz w:val="24"/>
              </w:rPr>
            </w:pPr>
            <w:r>
              <w:rPr>
                <w:rFonts w:hint="default" w:ascii="Times New Roman" w:hAnsi="Times New Roman" w:eastAsia="宋体" w:cs="Times New Roman"/>
                <w:b/>
                <w:color w:val="auto"/>
                <w:spacing w:val="0"/>
                <w:sz w:val="24"/>
              </w:rPr>
              <w:t>产品方案</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bCs/>
                <w:color w:val="auto"/>
                <w:spacing w:val="0"/>
                <w:sz w:val="24"/>
              </w:rPr>
            </w:pPr>
            <w:r>
              <w:rPr>
                <w:rFonts w:hint="default" w:ascii="Times New Roman" w:hAnsi="Times New Roman" w:eastAsia="宋体" w:cs="Times New Roman"/>
                <w:bCs/>
                <w:color w:val="auto"/>
                <w:spacing w:val="0"/>
                <w:sz w:val="24"/>
              </w:rPr>
              <w:t>本项目运营期主要进行畜禽饲料的生产，总产量约为</w:t>
            </w:r>
            <w:r>
              <w:rPr>
                <w:rFonts w:hint="eastAsia" w:cs="Times New Roman"/>
                <w:bCs/>
                <w:color w:val="auto"/>
                <w:spacing w:val="0"/>
                <w:sz w:val="24"/>
                <w:lang w:val="en-US" w:eastAsia="zh-CN"/>
              </w:rPr>
              <w:t>10000</w:t>
            </w:r>
            <w:r>
              <w:rPr>
                <w:rFonts w:hint="default" w:ascii="Times New Roman" w:hAnsi="Times New Roman" w:eastAsia="宋体" w:cs="Times New Roman"/>
                <w:bCs/>
                <w:color w:val="auto"/>
                <w:spacing w:val="0"/>
                <w:sz w:val="24"/>
              </w:rPr>
              <w:t>t/a。本项目产品方案见表2-2。</w:t>
            </w:r>
          </w:p>
          <w:p>
            <w:pPr>
              <w:pStyle w:val="30"/>
              <w:keepNext w:val="0"/>
              <w:keepLines w:val="0"/>
              <w:pageBreakBefore/>
              <w:widowControl w:val="0"/>
              <w:kinsoku/>
              <w:wordWrap/>
              <w:overflowPunct/>
              <w:topLinePunct w:val="0"/>
              <w:autoSpaceDE/>
              <w:autoSpaceDN/>
              <w:bidi w:val="0"/>
              <w:adjustRightInd/>
              <w:snapToGrid/>
              <w:spacing w:beforeAutospacing="0" w:afterAutospacing="0"/>
              <w:ind w:left="0" w:leftChars="0" w:right="0" w:rightChars="0"/>
              <w:jc w:val="center"/>
              <w:textAlignment w:val="auto"/>
              <w:outlineLvl w:val="9"/>
              <w:rPr>
                <w:rFonts w:hint="default" w:ascii="Times New Roman" w:hAnsi="Times New Roman" w:eastAsia="宋体" w:cs="Times New Roman"/>
                <w:color w:val="auto"/>
                <w:spacing w:val="0"/>
                <w:kern w:val="2"/>
                <w:sz w:val="24"/>
                <w:szCs w:val="24"/>
              </w:rPr>
            </w:pPr>
            <w:bookmarkStart w:id="12" w:name="_Toc4157"/>
            <w:bookmarkStart w:id="13" w:name="_Toc16200"/>
            <w:bookmarkStart w:id="14" w:name="_Toc85913392"/>
            <w:bookmarkStart w:id="15" w:name="_Toc20553"/>
            <w:bookmarkStart w:id="16" w:name="_Toc1465"/>
            <w:bookmarkStart w:id="17" w:name="_Toc29438"/>
            <w:bookmarkStart w:id="18" w:name="_Toc23631"/>
            <w:bookmarkStart w:id="19" w:name="_Toc11375"/>
            <w:bookmarkStart w:id="20" w:name="_Toc5228"/>
            <w:bookmarkStart w:id="21" w:name="_Toc85913114"/>
            <w:r>
              <w:rPr>
                <w:rFonts w:hint="default" w:ascii="Times New Roman" w:hAnsi="Times New Roman" w:eastAsia="宋体" w:cs="Times New Roman"/>
                <w:color w:val="auto"/>
                <w:spacing w:val="0"/>
                <w:kern w:val="2"/>
                <w:sz w:val="24"/>
                <w:szCs w:val="24"/>
              </w:rPr>
              <w:t>表2-2  产品方案一览表</w:t>
            </w:r>
            <w:bookmarkEnd w:id="12"/>
            <w:bookmarkEnd w:id="13"/>
            <w:bookmarkEnd w:id="14"/>
            <w:bookmarkEnd w:id="15"/>
            <w:bookmarkEnd w:id="16"/>
            <w:bookmarkEnd w:id="17"/>
            <w:bookmarkEnd w:id="18"/>
            <w:bookmarkEnd w:id="19"/>
            <w:bookmarkEnd w:id="20"/>
            <w:bookmarkEnd w:id="21"/>
          </w:p>
          <w:tbl>
            <w:tblPr>
              <w:tblStyle w:val="18"/>
              <w:tblW w:w="77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4"/>
              <w:gridCol w:w="2431"/>
              <w:gridCol w:w="1782"/>
              <w:gridCol w:w="13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244" w:type="dxa"/>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产品名称</w:t>
                  </w:r>
                </w:p>
              </w:tc>
              <w:tc>
                <w:tcPr>
                  <w:tcW w:w="2431" w:type="dxa"/>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年产量</w:t>
                  </w:r>
                </w:p>
              </w:tc>
              <w:tc>
                <w:tcPr>
                  <w:tcW w:w="1782" w:type="dxa"/>
                  <w:tcBorders>
                    <w:top w:val="single" w:color="auto" w:sz="12" w:space="0"/>
                    <w:bottom w:val="single" w:color="auto" w:sz="4" w:space="0"/>
                    <w:righ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存放方式</w:t>
                  </w:r>
                </w:p>
              </w:tc>
              <w:tc>
                <w:tcPr>
                  <w:tcW w:w="1341" w:type="dxa"/>
                  <w:tcBorders>
                    <w:lef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存放位置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244" w:type="dxa"/>
                  <w:noWrap w:val="0"/>
                  <w:vAlign w:val="center"/>
                </w:tcPr>
                <w:p>
                  <w:pPr>
                    <w:keepNext w:val="0"/>
                    <w:keepLines w:val="0"/>
                    <w:topLinePunct w:val="0"/>
                    <w:bidi w:val="0"/>
                    <w:jc w:val="center"/>
                    <w:outlineLvl w:val="9"/>
                    <w:rPr>
                      <w:rFonts w:hint="default" w:ascii="Times New Roman" w:hAnsi="Times New Roman" w:eastAsia="宋体" w:cs="Times New Roman"/>
                      <w:color w:val="auto"/>
                      <w:spacing w:val="0"/>
                      <w:szCs w:val="21"/>
                    </w:rPr>
                  </w:pPr>
                  <w:r>
                    <w:rPr>
                      <w:rFonts w:hint="eastAsia" w:ascii="Times New Roman" w:hAnsi="Times New Roman"/>
                      <w:lang w:val="en-US" w:eastAsia="zh-CN"/>
                    </w:rPr>
                    <w:t>猪用浓缩饲料</w:t>
                  </w:r>
                </w:p>
              </w:tc>
              <w:tc>
                <w:tcPr>
                  <w:tcW w:w="2431" w:type="dxa"/>
                  <w:noWrap w:val="0"/>
                  <w:vAlign w:val="center"/>
                </w:tcPr>
                <w:p>
                  <w:pPr>
                    <w:keepNext w:val="0"/>
                    <w:keepLines w:val="0"/>
                    <w:topLinePunct w:val="0"/>
                    <w:bidi w:val="0"/>
                    <w:jc w:val="center"/>
                    <w:outlineLvl w:val="9"/>
                    <w:rPr>
                      <w:rFonts w:hint="default" w:ascii="Times New Roman" w:hAnsi="Times New Roman" w:eastAsia="宋体" w:cs="Times New Roman"/>
                      <w:color w:val="auto"/>
                      <w:spacing w:val="0"/>
                      <w:szCs w:val="21"/>
                    </w:rPr>
                  </w:pPr>
                  <w:r>
                    <w:rPr>
                      <w:rFonts w:hint="eastAsia" w:ascii="Times New Roman" w:hAnsi="Times New Roman"/>
                      <w:lang w:val="en-US" w:eastAsia="zh-CN"/>
                    </w:rPr>
                    <w:t>5000吨/年</w:t>
                  </w:r>
                </w:p>
              </w:tc>
              <w:tc>
                <w:tcPr>
                  <w:tcW w:w="1782" w:type="dxa"/>
                  <w:tcBorders>
                    <w:top w:val="single" w:color="auto" w:sz="4" w:space="0"/>
                    <w:bottom w:val="single" w:color="auto" w:sz="4" w:space="0"/>
                    <w:righ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袋装</w:t>
                  </w:r>
                </w:p>
              </w:tc>
              <w:tc>
                <w:tcPr>
                  <w:tcW w:w="1341" w:type="dxa"/>
                  <w:tcBorders>
                    <w:lef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饲料仓</w:t>
                  </w:r>
                  <w:r>
                    <w:rPr>
                      <w:rFonts w:hint="default" w:ascii="Times New Roman" w:hAnsi="Times New Roman" w:eastAsia="宋体" w:cs="Times New Roman"/>
                      <w:color w:val="auto"/>
                      <w:spacing w:val="0"/>
                      <w:szCs w:val="21"/>
                    </w:rPr>
                    <w:t>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244" w:type="dxa"/>
                  <w:noWrap w:val="0"/>
                  <w:vAlign w:val="center"/>
                </w:tcPr>
                <w:p>
                  <w:pPr>
                    <w:keepNext w:val="0"/>
                    <w:keepLines w:val="0"/>
                    <w:topLinePunct w:val="0"/>
                    <w:bidi w:val="0"/>
                    <w:jc w:val="center"/>
                    <w:outlineLvl w:val="9"/>
                    <w:rPr>
                      <w:rFonts w:hint="default" w:ascii="Times New Roman" w:hAnsi="Times New Roman" w:eastAsia="宋体" w:cs="Times New Roman"/>
                      <w:color w:val="auto"/>
                      <w:spacing w:val="0"/>
                      <w:szCs w:val="21"/>
                    </w:rPr>
                  </w:pPr>
                  <w:r>
                    <w:rPr>
                      <w:rFonts w:hint="eastAsia" w:ascii="Times New Roman" w:hAnsi="Times New Roman"/>
                      <w:lang w:val="en-US" w:eastAsia="zh-CN"/>
                    </w:rPr>
                    <w:t>猪用配合饲料</w:t>
                  </w:r>
                </w:p>
              </w:tc>
              <w:tc>
                <w:tcPr>
                  <w:tcW w:w="2431" w:type="dxa"/>
                  <w:noWrap w:val="0"/>
                  <w:vAlign w:val="center"/>
                </w:tcPr>
                <w:p>
                  <w:pPr>
                    <w:keepNext w:val="0"/>
                    <w:keepLines w:val="0"/>
                    <w:topLinePunct w:val="0"/>
                    <w:bidi w:val="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lang w:val="en-US" w:eastAsia="zh-CN"/>
                    </w:rPr>
                    <w:t>3000吨/年</w:t>
                  </w:r>
                </w:p>
              </w:tc>
              <w:tc>
                <w:tcPr>
                  <w:tcW w:w="1782" w:type="dxa"/>
                  <w:tcBorders>
                    <w:top w:val="single" w:color="auto" w:sz="4" w:space="0"/>
                    <w:bottom w:val="single" w:color="auto" w:sz="4" w:space="0"/>
                    <w:righ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袋装</w:t>
                  </w:r>
                </w:p>
              </w:tc>
              <w:tc>
                <w:tcPr>
                  <w:tcW w:w="1341" w:type="dxa"/>
                  <w:tcBorders>
                    <w:lef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饲料仓</w:t>
                  </w:r>
                  <w:r>
                    <w:rPr>
                      <w:rFonts w:hint="default" w:ascii="Times New Roman" w:hAnsi="Times New Roman" w:eastAsia="宋体" w:cs="Times New Roman"/>
                      <w:color w:val="auto"/>
                      <w:spacing w:val="0"/>
                      <w:szCs w:val="21"/>
                    </w:rPr>
                    <w:t>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244" w:type="dxa"/>
                  <w:noWrap w:val="0"/>
                  <w:vAlign w:val="center"/>
                </w:tcPr>
                <w:p>
                  <w:pPr>
                    <w:keepNext w:val="0"/>
                    <w:keepLines w:val="0"/>
                    <w:topLinePunct w:val="0"/>
                    <w:bidi w:val="0"/>
                    <w:jc w:val="center"/>
                    <w:outlineLvl w:val="9"/>
                    <w:rPr>
                      <w:rFonts w:hint="default" w:ascii="Times New Roman" w:hAnsi="Times New Roman" w:eastAsia="宋体" w:cs="Times New Roman"/>
                      <w:color w:val="auto"/>
                      <w:spacing w:val="0"/>
                      <w:szCs w:val="21"/>
                    </w:rPr>
                  </w:pPr>
                  <w:r>
                    <w:rPr>
                      <w:rFonts w:hint="eastAsia" w:ascii="Times New Roman" w:hAnsi="Times New Roman"/>
                      <w:lang w:val="en-US" w:eastAsia="zh-CN"/>
                    </w:rPr>
                    <w:t>反刍浓缩饲料</w:t>
                  </w:r>
                </w:p>
              </w:tc>
              <w:tc>
                <w:tcPr>
                  <w:tcW w:w="2431" w:type="dxa"/>
                  <w:noWrap w:val="0"/>
                  <w:vAlign w:val="center"/>
                </w:tcPr>
                <w:p>
                  <w:pPr>
                    <w:keepNext w:val="0"/>
                    <w:keepLines w:val="0"/>
                    <w:topLinePunct w:val="0"/>
                    <w:bidi w:val="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lang w:val="en-US" w:eastAsia="zh-CN"/>
                    </w:rPr>
                    <w:t>1000吨/年</w:t>
                  </w:r>
                </w:p>
              </w:tc>
              <w:tc>
                <w:tcPr>
                  <w:tcW w:w="1782" w:type="dxa"/>
                  <w:tcBorders>
                    <w:top w:val="single" w:color="auto" w:sz="4" w:space="0"/>
                    <w:bottom w:val="single" w:color="auto" w:sz="4" w:space="0"/>
                    <w:righ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袋装</w:t>
                  </w:r>
                </w:p>
              </w:tc>
              <w:tc>
                <w:tcPr>
                  <w:tcW w:w="1341" w:type="dxa"/>
                  <w:tcBorders>
                    <w:lef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饲料仓</w:t>
                  </w:r>
                  <w:r>
                    <w:rPr>
                      <w:rFonts w:hint="default" w:ascii="Times New Roman" w:hAnsi="Times New Roman" w:eastAsia="宋体" w:cs="Times New Roman"/>
                      <w:color w:val="auto"/>
                      <w:spacing w:val="0"/>
                      <w:szCs w:val="21"/>
                    </w:rPr>
                    <w:t>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244" w:type="dxa"/>
                  <w:noWrap w:val="0"/>
                  <w:vAlign w:val="center"/>
                </w:tcPr>
                <w:p>
                  <w:pPr>
                    <w:keepNext w:val="0"/>
                    <w:keepLines w:val="0"/>
                    <w:topLinePunct w:val="0"/>
                    <w:bidi w:val="0"/>
                    <w:jc w:val="center"/>
                    <w:outlineLvl w:val="9"/>
                    <w:rPr>
                      <w:rFonts w:hint="default" w:ascii="Times New Roman" w:hAnsi="Times New Roman" w:eastAsia="宋体" w:cs="Times New Roman"/>
                      <w:color w:val="auto"/>
                      <w:spacing w:val="0"/>
                      <w:szCs w:val="21"/>
                    </w:rPr>
                  </w:pPr>
                  <w:r>
                    <w:rPr>
                      <w:rFonts w:hint="eastAsia" w:ascii="Times New Roman" w:hAnsi="Times New Roman"/>
                      <w:lang w:val="en-US" w:eastAsia="zh-CN"/>
                    </w:rPr>
                    <w:t>反刍配合饲料</w:t>
                  </w:r>
                </w:p>
              </w:tc>
              <w:tc>
                <w:tcPr>
                  <w:tcW w:w="2431" w:type="dxa"/>
                  <w:noWrap w:val="0"/>
                  <w:vAlign w:val="center"/>
                </w:tcPr>
                <w:p>
                  <w:pPr>
                    <w:keepNext w:val="0"/>
                    <w:keepLines w:val="0"/>
                    <w:topLinePunct w:val="0"/>
                    <w:bidi w:val="0"/>
                    <w:jc w:val="center"/>
                    <w:outlineLvl w:val="9"/>
                    <w:rPr>
                      <w:rFonts w:hint="default" w:ascii="Times New Roman" w:hAnsi="Times New Roman" w:eastAsia="宋体" w:cs="Times New Roman"/>
                      <w:color w:val="auto"/>
                      <w:spacing w:val="0"/>
                      <w:szCs w:val="21"/>
                      <w:lang w:val="en-US" w:eastAsia="zh-CN"/>
                    </w:rPr>
                  </w:pPr>
                  <w:r>
                    <w:rPr>
                      <w:rFonts w:hint="eastAsia"/>
                      <w:lang w:val="en-US" w:eastAsia="zh-CN"/>
                    </w:rPr>
                    <w:t>1000</w:t>
                  </w:r>
                  <w:r>
                    <w:rPr>
                      <w:rFonts w:hint="eastAsia" w:ascii="Times New Roman" w:hAnsi="Times New Roman"/>
                      <w:lang w:val="en-US" w:eastAsia="zh-CN"/>
                    </w:rPr>
                    <w:t>吨/年</w:t>
                  </w:r>
                </w:p>
              </w:tc>
              <w:tc>
                <w:tcPr>
                  <w:tcW w:w="1782" w:type="dxa"/>
                  <w:tcBorders>
                    <w:top w:val="single" w:color="auto" w:sz="4" w:space="0"/>
                    <w:righ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袋装</w:t>
                  </w:r>
                </w:p>
              </w:tc>
              <w:tc>
                <w:tcPr>
                  <w:tcW w:w="1341" w:type="dxa"/>
                  <w:tcBorders>
                    <w:left w:val="single" w:color="auto" w:sz="4" w:space="0"/>
                  </w:tcBorders>
                  <w:noWrap w:val="0"/>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饲料仓</w:t>
                  </w:r>
                  <w:r>
                    <w:rPr>
                      <w:rFonts w:hint="default" w:ascii="Times New Roman" w:hAnsi="Times New Roman" w:eastAsia="宋体" w:cs="Times New Roman"/>
                      <w:color w:val="auto"/>
                      <w:spacing w:val="0"/>
                      <w:szCs w:val="21"/>
                    </w:rPr>
                    <w:t>库</w:t>
                  </w:r>
                </w:p>
              </w:tc>
            </w:tr>
          </w:tbl>
          <w:p>
            <w:pPr>
              <w:keepNext w:val="0"/>
              <w:keepLines w:val="0"/>
              <w:numPr>
                <w:ilvl w:val="0"/>
                <w:numId w:val="2"/>
              </w:numPr>
              <w:tabs>
                <w:tab w:val="left" w:pos="5399"/>
              </w:tabs>
              <w:kinsoku/>
              <w:wordWrap/>
              <w:overflowPunct/>
              <w:topLinePunct w:val="0"/>
              <w:bidi w:val="0"/>
              <w:adjustRightInd w:val="0"/>
              <w:snapToGrid w:val="0"/>
              <w:spacing w:beforeAutospacing="0" w:afterAutospacing="0" w:line="360" w:lineRule="auto"/>
              <w:ind w:left="0" w:leftChars="0" w:right="0" w:rightChars="0" w:firstLine="482" w:firstLineChars="200"/>
              <w:outlineLvl w:val="9"/>
              <w:rPr>
                <w:rFonts w:hint="default" w:ascii="Times New Roman" w:hAnsi="Times New Roman" w:eastAsia="宋体" w:cs="Times New Roman"/>
                <w:b/>
                <w:color w:val="auto"/>
                <w:spacing w:val="0"/>
                <w:sz w:val="24"/>
              </w:rPr>
            </w:pPr>
            <w:r>
              <w:rPr>
                <w:rFonts w:hint="default" w:ascii="Times New Roman" w:hAnsi="Times New Roman" w:eastAsia="宋体" w:cs="Times New Roman"/>
                <w:b/>
                <w:color w:val="auto"/>
                <w:spacing w:val="0"/>
                <w:sz w:val="24"/>
              </w:rPr>
              <w:t>主要生产设备</w:t>
            </w:r>
          </w:p>
          <w:p>
            <w:pPr>
              <w:keepNext w:val="0"/>
              <w:keepLines w:val="0"/>
              <w:kinsoku/>
              <w:wordWrap/>
              <w:overflowPunct/>
              <w:topLinePunct w:val="0"/>
              <w:bidi w:val="0"/>
              <w:adjustRightInd w:val="0"/>
              <w:snapToGrid w:val="0"/>
              <w:spacing w:beforeAutospacing="0" w:afterAutospacing="0"/>
              <w:ind w:left="0" w:leftChars="0" w:right="0" w:rightChars="0" w:firstLine="480" w:firstLineChars="200"/>
              <w:outlineLvl w:val="9"/>
              <w:rPr>
                <w:rFonts w:hint="default" w:ascii="Times New Roman" w:hAnsi="Times New Roman" w:eastAsia="宋体" w:cs="Times New Roman"/>
                <w:color w:val="auto"/>
                <w:spacing w:val="0"/>
                <w:sz w:val="24"/>
              </w:rPr>
            </w:pPr>
            <w:r>
              <w:rPr>
                <w:rFonts w:hint="default" w:ascii="Times New Roman" w:hAnsi="Times New Roman" w:eastAsia="宋体" w:cs="Times New Roman"/>
                <w:color w:val="auto"/>
                <w:spacing w:val="0"/>
                <w:sz w:val="24"/>
              </w:rPr>
              <w:t>本项目主要生产设备见表2-3。</w:t>
            </w:r>
          </w:p>
          <w:p>
            <w:pPr>
              <w:pStyle w:val="30"/>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kern w:val="2"/>
                <w:sz w:val="24"/>
                <w:szCs w:val="24"/>
              </w:rPr>
            </w:pPr>
            <w:bookmarkStart w:id="22" w:name="_Toc31460"/>
            <w:bookmarkStart w:id="23" w:name="_Toc29924"/>
            <w:bookmarkStart w:id="24" w:name="_Toc16822"/>
            <w:bookmarkStart w:id="25" w:name="_Toc2999"/>
            <w:bookmarkStart w:id="26" w:name="_Toc31694"/>
            <w:bookmarkStart w:id="27" w:name="_Toc18000"/>
            <w:bookmarkStart w:id="28" w:name="_Toc17723"/>
            <w:bookmarkStart w:id="29" w:name="_Toc29498"/>
            <w:bookmarkStart w:id="30" w:name="_Toc85913393"/>
            <w:bookmarkStart w:id="31" w:name="_Toc85913115"/>
            <w:r>
              <w:rPr>
                <w:rFonts w:hint="default" w:ascii="Times New Roman" w:hAnsi="Times New Roman" w:eastAsia="宋体" w:cs="Times New Roman"/>
                <w:color w:val="auto"/>
                <w:spacing w:val="0"/>
                <w:kern w:val="2"/>
                <w:sz w:val="24"/>
                <w:szCs w:val="24"/>
              </w:rPr>
              <w:t>表2-3  本项目主要生产设备</w:t>
            </w:r>
            <w:bookmarkEnd w:id="22"/>
            <w:bookmarkEnd w:id="23"/>
            <w:bookmarkEnd w:id="24"/>
            <w:bookmarkEnd w:id="25"/>
            <w:bookmarkEnd w:id="26"/>
            <w:bookmarkEnd w:id="27"/>
            <w:bookmarkEnd w:id="28"/>
            <w:bookmarkEnd w:id="29"/>
          </w:p>
          <w:bookmarkEnd w:id="30"/>
          <w:bookmarkEnd w:id="31"/>
          <w:tbl>
            <w:tblPr>
              <w:tblStyle w:val="18"/>
              <w:tblW w:w="786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25"/>
              <w:gridCol w:w="1755"/>
              <w:gridCol w:w="1470"/>
              <w:gridCol w:w="2220"/>
              <w:gridCol w:w="169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725" w:type="dxa"/>
                  <w:vMerge w:val="restart"/>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序号</w:t>
                  </w:r>
                </w:p>
              </w:tc>
              <w:tc>
                <w:tcPr>
                  <w:tcW w:w="1755" w:type="dxa"/>
                  <w:vMerge w:val="restart"/>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sz w:val="21"/>
                      <w:szCs w:val="21"/>
                      <w:u w:val="none"/>
                      <w:lang w:eastAsia="zh-CN"/>
                    </w:rPr>
                  </w:pPr>
                  <w:r>
                    <w:rPr>
                      <w:rFonts w:hint="default" w:ascii="Times New Roman" w:hAnsi="Times New Roman" w:eastAsia="宋体" w:cs="Times New Roman"/>
                      <w:b/>
                      <w:bCs/>
                      <w:i w:val="0"/>
                      <w:iCs w:val="0"/>
                      <w:color w:val="auto"/>
                      <w:spacing w:val="0"/>
                      <w:sz w:val="21"/>
                      <w:szCs w:val="21"/>
                      <w:u w:val="none"/>
                      <w:lang w:eastAsia="zh-CN"/>
                    </w:rPr>
                    <w:t>名称</w:t>
                  </w:r>
                </w:p>
              </w:tc>
              <w:tc>
                <w:tcPr>
                  <w:tcW w:w="1470" w:type="dxa"/>
                  <w:vMerge w:val="restart"/>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型号</w:t>
                  </w:r>
                </w:p>
              </w:tc>
              <w:tc>
                <w:tcPr>
                  <w:tcW w:w="2220" w:type="dxa"/>
                  <w:vMerge w:val="restart"/>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供应商</w:t>
                  </w:r>
                </w:p>
              </w:tc>
              <w:tc>
                <w:tcPr>
                  <w:tcW w:w="1696" w:type="dxa"/>
                  <w:vMerge w:val="restart"/>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sz w:val="21"/>
                      <w:szCs w:val="21"/>
                      <w:u w:val="none"/>
                      <w:lang w:val="en-US" w:eastAsia="zh-CN"/>
                    </w:rPr>
                  </w:pPr>
                  <w:r>
                    <w:rPr>
                      <w:rFonts w:hint="default" w:ascii="Times New Roman" w:hAnsi="Times New Roman" w:eastAsia="宋体" w:cs="Times New Roman"/>
                      <w:b/>
                      <w:bCs/>
                      <w:i w:val="0"/>
                      <w:iCs w:val="0"/>
                      <w:color w:val="auto"/>
                      <w:spacing w:val="0"/>
                      <w:sz w:val="21"/>
                      <w:szCs w:val="21"/>
                      <w:u w:val="none"/>
                      <w:lang w:val="en-US" w:eastAsia="zh-CN"/>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725" w:type="dxa"/>
                  <w:vMerge w:val="continue"/>
                  <w:tcBorders>
                    <w:tl2br w:val="nil"/>
                    <w:tr2bl w:val="nil"/>
                  </w:tcBorders>
                  <w:noWrap w:val="0"/>
                  <w:vAlign w:val="center"/>
                </w:tcPr>
                <w:p>
                  <w:pPr>
                    <w:keepNext w:val="0"/>
                    <w:keepLines w:val="0"/>
                    <w:pageBreakBefore w:val="0"/>
                    <w:widowControl/>
                    <w:kinsoku/>
                    <w:wordWrap w:val="0"/>
                    <w:overflowPunct/>
                    <w:topLinePunct w:val="0"/>
                    <w:autoSpaceDE/>
                    <w:autoSpaceDN/>
                    <w:bidi w:val="0"/>
                    <w:adjustRightInd/>
                    <w:snapToGrid/>
                    <w:spacing w:beforeAutospacing="0" w:afterAutospacing="0" w:line="240" w:lineRule="auto"/>
                    <w:ind w:left="0" w:leftChars="0" w:right="0" w:rightChars="0"/>
                    <w:jc w:val="center"/>
                    <w:outlineLvl w:val="9"/>
                    <w:rPr>
                      <w:rFonts w:hint="default" w:ascii="Times New Roman" w:hAnsi="Times New Roman" w:eastAsia="宋体" w:cs="Times New Roman"/>
                      <w:b/>
                      <w:bCs/>
                      <w:i w:val="0"/>
                      <w:iCs w:val="0"/>
                      <w:color w:val="auto"/>
                      <w:spacing w:val="0"/>
                      <w:sz w:val="21"/>
                      <w:szCs w:val="21"/>
                      <w:u w:val="none"/>
                    </w:rPr>
                  </w:pPr>
                </w:p>
              </w:tc>
              <w:tc>
                <w:tcPr>
                  <w:tcW w:w="1755" w:type="dxa"/>
                  <w:vMerge w:val="continue"/>
                  <w:tcBorders>
                    <w:tl2br w:val="nil"/>
                    <w:tr2bl w:val="nil"/>
                  </w:tcBorders>
                  <w:noWrap w:val="0"/>
                  <w:vAlign w:val="center"/>
                </w:tcPr>
                <w:p>
                  <w:pPr>
                    <w:keepNext w:val="0"/>
                    <w:keepLines w:val="0"/>
                    <w:pageBreakBefore w:val="0"/>
                    <w:widowControl/>
                    <w:kinsoku/>
                    <w:wordWrap w:val="0"/>
                    <w:overflowPunct/>
                    <w:topLinePunct w:val="0"/>
                    <w:autoSpaceDE/>
                    <w:autoSpaceDN/>
                    <w:bidi w:val="0"/>
                    <w:adjustRightInd/>
                    <w:snapToGrid/>
                    <w:spacing w:beforeAutospacing="0" w:afterAutospacing="0" w:line="240" w:lineRule="auto"/>
                    <w:ind w:left="0" w:leftChars="0" w:right="0" w:rightChars="0"/>
                    <w:jc w:val="center"/>
                    <w:outlineLvl w:val="9"/>
                    <w:rPr>
                      <w:rFonts w:hint="default" w:ascii="Times New Roman" w:hAnsi="Times New Roman" w:eastAsia="宋体" w:cs="Times New Roman"/>
                      <w:b/>
                      <w:bCs/>
                      <w:i w:val="0"/>
                      <w:iCs w:val="0"/>
                      <w:color w:val="auto"/>
                      <w:spacing w:val="0"/>
                      <w:sz w:val="21"/>
                      <w:szCs w:val="21"/>
                      <w:u w:val="none"/>
                    </w:rPr>
                  </w:pPr>
                </w:p>
              </w:tc>
              <w:tc>
                <w:tcPr>
                  <w:tcW w:w="1470" w:type="dxa"/>
                  <w:vMerge w:val="continue"/>
                  <w:tcBorders>
                    <w:tl2br w:val="nil"/>
                    <w:tr2bl w:val="nil"/>
                  </w:tcBorders>
                  <w:noWrap w:val="0"/>
                  <w:vAlign w:val="center"/>
                </w:tcPr>
                <w:p>
                  <w:pPr>
                    <w:keepNext w:val="0"/>
                    <w:keepLines w:val="0"/>
                    <w:pageBreakBefore w:val="0"/>
                    <w:widowControl/>
                    <w:kinsoku/>
                    <w:wordWrap w:val="0"/>
                    <w:overflowPunct/>
                    <w:topLinePunct w:val="0"/>
                    <w:autoSpaceDE/>
                    <w:autoSpaceDN/>
                    <w:bidi w:val="0"/>
                    <w:adjustRightInd/>
                    <w:snapToGrid/>
                    <w:spacing w:beforeAutospacing="0" w:afterAutospacing="0" w:line="240" w:lineRule="auto"/>
                    <w:ind w:left="0" w:leftChars="0" w:right="0" w:rightChars="0"/>
                    <w:jc w:val="center"/>
                    <w:outlineLvl w:val="9"/>
                    <w:rPr>
                      <w:rFonts w:hint="default" w:ascii="Times New Roman" w:hAnsi="Times New Roman" w:eastAsia="宋体" w:cs="Times New Roman"/>
                      <w:b/>
                      <w:bCs/>
                      <w:i w:val="0"/>
                      <w:iCs w:val="0"/>
                      <w:color w:val="auto"/>
                      <w:spacing w:val="0"/>
                      <w:sz w:val="21"/>
                      <w:szCs w:val="21"/>
                      <w:u w:val="none"/>
                    </w:rPr>
                  </w:pPr>
                </w:p>
              </w:tc>
              <w:tc>
                <w:tcPr>
                  <w:tcW w:w="2220" w:type="dxa"/>
                  <w:vMerge w:val="continue"/>
                  <w:tcBorders>
                    <w:tl2br w:val="nil"/>
                    <w:tr2bl w:val="nil"/>
                  </w:tcBorders>
                  <w:noWrap w:val="0"/>
                  <w:vAlign w:val="center"/>
                </w:tcPr>
                <w:p>
                  <w:pPr>
                    <w:keepNext w:val="0"/>
                    <w:keepLines w:val="0"/>
                    <w:pageBreakBefore w:val="0"/>
                    <w:widowControl/>
                    <w:kinsoku/>
                    <w:wordWrap w:val="0"/>
                    <w:overflowPunct/>
                    <w:topLinePunct w:val="0"/>
                    <w:autoSpaceDE/>
                    <w:autoSpaceDN/>
                    <w:bidi w:val="0"/>
                    <w:adjustRightInd/>
                    <w:snapToGrid/>
                    <w:spacing w:beforeAutospacing="0" w:afterAutospacing="0" w:line="240" w:lineRule="auto"/>
                    <w:ind w:left="0" w:leftChars="0" w:right="0" w:rightChars="0"/>
                    <w:jc w:val="center"/>
                    <w:outlineLvl w:val="9"/>
                    <w:rPr>
                      <w:rFonts w:hint="default" w:ascii="Times New Roman" w:hAnsi="Times New Roman" w:eastAsia="宋体" w:cs="Times New Roman"/>
                      <w:b/>
                      <w:bCs/>
                      <w:i w:val="0"/>
                      <w:iCs w:val="0"/>
                      <w:color w:val="auto"/>
                      <w:spacing w:val="0"/>
                      <w:sz w:val="21"/>
                      <w:szCs w:val="21"/>
                      <w:u w:val="none"/>
                    </w:rPr>
                  </w:pPr>
                </w:p>
              </w:tc>
              <w:tc>
                <w:tcPr>
                  <w:tcW w:w="1696" w:type="dxa"/>
                  <w:vMerge w:val="continue"/>
                  <w:tcBorders>
                    <w:tl2br w:val="nil"/>
                    <w:tr2bl w:val="nil"/>
                  </w:tcBorders>
                  <w:noWrap w:val="0"/>
                  <w:vAlign w:val="center"/>
                </w:tcPr>
                <w:p>
                  <w:pPr>
                    <w:keepNext w:val="0"/>
                    <w:keepLines w:val="0"/>
                    <w:pageBreakBefore w:val="0"/>
                    <w:widowControl/>
                    <w:kinsoku/>
                    <w:wordWrap w:val="0"/>
                    <w:overflowPunct/>
                    <w:topLinePunct w:val="0"/>
                    <w:autoSpaceDE/>
                    <w:autoSpaceDN/>
                    <w:bidi w:val="0"/>
                    <w:adjustRightInd/>
                    <w:snapToGrid/>
                    <w:spacing w:beforeAutospacing="0" w:afterAutospacing="0" w:line="240" w:lineRule="auto"/>
                    <w:ind w:left="0" w:leftChars="0" w:right="0" w:rightChars="0"/>
                    <w:jc w:val="center"/>
                    <w:outlineLvl w:val="9"/>
                    <w:rPr>
                      <w:rFonts w:hint="default" w:ascii="Times New Roman" w:hAnsi="Times New Roman" w:eastAsia="宋体" w:cs="Times New Roman"/>
                      <w:b/>
                      <w:bCs/>
                      <w:i w:val="0"/>
                      <w:iCs w:val="0"/>
                      <w:color w:val="auto"/>
                      <w:spacing w:val="0"/>
                      <w:sz w:val="21"/>
                      <w:szCs w:val="21"/>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866" w:type="dxa"/>
                  <w:gridSpan w:val="5"/>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复合预混合饲料生产线</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脉冲除尘器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TBLMa8</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过滤面积8㎡，风量800-2200m³/h，功率2.2kW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自清斗式提升机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ZTDTG36/23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功率3kw，20 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分配器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TFPX-4</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4分配口，功率0.75kW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3m³</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3m³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配料搅龙</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PLSS15</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不锈钢，8-12t/h,功率1.5kW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1.6m³</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不锈钢，1.6m³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配料绞龙</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PLSS10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不锈钢，6-10t/h,功率1.5kW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1.5m³</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不锈钢，1.5m³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配料搅龙</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PLSS8</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不锈钢，5-8t/h,功率0.75kW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配料秤</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PCS-500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唐山天恒工控技术有限公司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both"/>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最大称量500kg，V4896型数显仪表，CFBLS型拉压力传感器， 精度：静态0.1%、动态0.3%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配料秤</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PCS-300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唐山天恒工控技术有限公司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both"/>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最大称量300kg，V4896型数显仪表，CFBLS型拉压力传感器，精度：静态0.1%、动态0.3%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配料称</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PCS-100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唐山天恒工控技术有限公司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both"/>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最大称量100kg，V4896型数显仪表，CFBLS型拉压力传感器， 精度：静态0.1%、动态0.3%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双层高效混合机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SJHS1</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江苏牧羊控股有限公司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混合量500kg/批次，功率15kW，CV≤5%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电子背重式定量自动充填机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Link-25FY</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哈尔滨联科包装机械有限公司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包装重量25kg，气源0.6MPa，1.2m</w:t>
                  </w:r>
                  <w:r>
                    <w:rPr>
                      <w:rFonts w:hint="default" w:ascii="Times New Roman" w:hAnsi="Times New Roman" w:eastAsia="宋体" w:cs="Times New Roman"/>
                      <w:i w:val="0"/>
                      <w:iCs w:val="0"/>
                      <w:color w:val="auto"/>
                      <w:spacing w:val="0"/>
                      <w:kern w:val="0"/>
                      <w:sz w:val="21"/>
                      <w:szCs w:val="21"/>
                      <w:u w:val="none"/>
                      <w:vertAlign w:val="superscript"/>
                      <w:lang w:val="en-US" w:eastAsia="zh-CN" w:bidi="ar"/>
                    </w:rPr>
                    <w:t>3</w:t>
                  </w:r>
                  <w:r>
                    <w:rPr>
                      <w:rFonts w:hint="default" w:ascii="Times New Roman" w:hAnsi="Times New Roman" w:eastAsia="宋体" w:cs="Times New Roman"/>
                      <w:i w:val="0"/>
                      <w:iCs w:val="0"/>
                      <w:color w:val="auto"/>
                      <w:spacing w:val="0"/>
                      <w:kern w:val="0"/>
                      <w:sz w:val="21"/>
                      <w:szCs w:val="21"/>
                      <w:u w:val="none"/>
                      <w:lang w:val="en-US" w:eastAsia="zh-CN" w:bidi="ar"/>
                    </w:rPr>
                    <w: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电动葫芦</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3吨</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哈尔滨矿山起重机厂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起重重量3吨，功率3kW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转鼓式混合机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50kg</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郑州永兴重工机械有限公司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混合量50kg/批次，功率2.2kW,CV≤5%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空压机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7.5kw</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上海捷豹压缩机制造有限公司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功率7.5kW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配料及控制系统</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唐山天恒工控技术有限公司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计算机自动控制系统（包括配料及混合工段），配三菱PLCFX3U系列可编程控制器，配料精度：静态0.1%、动态0.3%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866" w:type="dxa"/>
                  <w:gridSpan w:val="5"/>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配合饲料和浓缩饲料生产线</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刮板输送机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TGSLL25（2台）</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20t/h，3kw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提升机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TDTG36/23（2台）</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10-15t/h，4kw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初清筛</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SCQY500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溧阳市德瑞农牧机械厂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20t/h，1.5kw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永磁筒</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TCXT25</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 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待粉碎仓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1.5*1.5*3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共1个，6.75m</w:t>
                  </w:r>
                  <w:r>
                    <w:rPr>
                      <w:rFonts w:hint="default" w:ascii="Times New Roman" w:hAnsi="Times New Roman" w:eastAsia="宋体" w:cs="Times New Roman"/>
                      <w:i w:val="0"/>
                      <w:iCs w:val="0"/>
                      <w:color w:val="auto"/>
                      <w:spacing w:val="0"/>
                      <w:kern w:val="0"/>
                      <w:sz w:val="21"/>
                      <w:szCs w:val="21"/>
                      <w:u w:val="none"/>
                      <w:vertAlign w:val="superscript"/>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料位器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KZ0223-WB</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共2个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粉碎机供料器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TWLLS600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唐山双义机械厂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20t/h，1.5kw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粉碎机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SFSP968</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唐山双义机械厂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5-10t/h，75kw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脉冲除尘器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TBLE36</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过滤面积20</w:t>
                  </w:r>
                  <w:r>
                    <w:rPr>
                      <w:rFonts w:hint="default" w:ascii="Times New Roman" w:hAnsi="Times New Roman" w:cs="Times New Roman"/>
                      <w:i w:val="0"/>
                      <w:iCs w:val="0"/>
                      <w:color w:val="auto"/>
                      <w:spacing w:val="0"/>
                      <w:kern w:val="0"/>
                      <w:sz w:val="21"/>
                      <w:szCs w:val="21"/>
                      <w:u w:val="none"/>
                      <w:lang w:val="en-US" w:eastAsia="zh-CN" w:bidi="ar"/>
                    </w:rPr>
                    <w:t>m</w:t>
                  </w:r>
                  <w:r>
                    <w:rPr>
                      <w:rFonts w:hint="default" w:ascii="Times New Roman" w:hAnsi="Times New Roman" w:cs="Times New Roman"/>
                      <w:i w:val="0"/>
                      <w:iCs w:val="0"/>
                      <w:color w:val="auto"/>
                      <w:spacing w:val="0"/>
                      <w:kern w:val="0"/>
                      <w:sz w:val="21"/>
                      <w:szCs w:val="21"/>
                      <w:u w:val="none"/>
                      <w:vertAlign w:val="superscript"/>
                      <w:lang w:val="en-US" w:eastAsia="zh-CN" w:bidi="ar"/>
                    </w:rPr>
                    <w:t>2</w:t>
                  </w:r>
                  <w:r>
                    <w:rPr>
                      <w:rFonts w:hint="default" w:ascii="Times New Roman" w:hAnsi="Times New Roman" w:eastAsia="宋体" w:cs="Times New Roman"/>
                      <w:i w:val="0"/>
                      <w:iCs w:val="0"/>
                      <w:color w:val="auto"/>
                      <w:spacing w:val="0"/>
                      <w:kern w:val="0"/>
                      <w:sz w:val="21"/>
                      <w:szCs w:val="21"/>
                      <w:u w:val="none"/>
                      <w:lang w:val="en-US" w:eastAsia="zh-CN" w:bidi="ar"/>
                    </w:rPr>
                    <w:t>，风量6000-9000 m³/h，功率11kw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料封绞龙</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TWLLS25</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共1个，3kw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提升机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TDTG36/23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10-15t/h，4kw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电控旋转分配器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TFPX8（2台）</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溧阳市德瑞农牧机械厂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20t/h，0.55kw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配料仓（12个）</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8m³×12个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料位器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KZ0223-WB</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共24个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出仓机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TWLLS25-20-16</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15t/h，2.2kw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配料秤</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SPLG-1000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唐山天恒自动化研究所</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最大称量1000</w:t>
                  </w:r>
                  <w:r>
                    <w:rPr>
                      <w:rFonts w:hint="default" w:ascii="Times New Roman" w:hAnsi="Times New Roman" w:cs="Times New Roman"/>
                      <w:i w:val="0"/>
                      <w:iCs w:val="0"/>
                      <w:color w:val="auto"/>
                      <w:spacing w:val="0"/>
                      <w:kern w:val="0"/>
                      <w:sz w:val="21"/>
                      <w:szCs w:val="21"/>
                      <w:u w:val="none"/>
                      <w:lang w:val="en-US" w:eastAsia="zh-CN" w:bidi="ar"/>
                    </w:rPr>
                    <w:t>kg</w:t>
                  </w:r>
                  <w:r>
                    <w:rPr>
                      <w:rFonts w:hint="default" w:ascii="Times New Roman" w:hAnsi="Times New Roman" w:eastAsia="宋体" w:cs="Times New Roman"/>
                      <w:i w:val="0"/>
                      <w:iCs w:val="0"/>
                      <w:color w:val="auto"/>
                      <w:spacing w:val="0"/>
                      <w:kern w:val="0"/>
                      <w:sz w:val="21"/>
                      <w:szCs w:val="21"/>
                      <w:u w:val="none"/>
                      <w:lang w:val="en-US" w:eastAsia="zh-CN" w:bidi="ar"/>
                    </w:rPr>
                    <w:t>，V4896型数显仪表，CFBLS型拉压力传感器，精度：静态0.1%、动态0.3%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气动闸板</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TZMQ40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30t/h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双轴混合机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SLHY2.0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溧阳市德瑞农牧机械厂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容积2.0 m</w:t>
                  </w:r>
                  <w:r>
                    <w:rPr>
                      <w:rFonts w:hint="default" w:ascii="Times New Roman" w:hAnsi="Times New Roman" w:cs="Times New Roman"/>
                      <w:i w:val="0"/>
                      <w:iCs w:val="0"/>
                      <w:color w:val="auto"/>
                      <w:spacing w:val="0"/>
                      <w:kern w:val="0"/>
                      <w:sz w:val="21"/>
                      <w:szCs w:val="21"/>
                      <w:u w:val="none"/>
                      <w:vertAlign w:val="superscript"/>
                      <w:lang w:val="en-US" w:eastAsia="zh-CN" w:bidi="ar"/>
                    </w:rPr>
                    <w:t>3</w:t>
                  </w:r>
                  <w:r>
                    <w:rPr>
                      <w:rFonts w:hint="default" w:ascii="Times New Roman" w:hAnsi="Times New Roman" w:eastAsia="宋体" w:cs="Times New Roman"/>
                      <w:i w:val="0"/>
                      <w:iCs w:val="0"/>
                      <w:color w:val="auto"/>
                      <w:spacing w:val="0"/>
                      <w:kern w:val="0"/>
                      <w:sz w:val="21"/>
                      <w:szCs w:val="21"/>
                      <w:u w:val="none"/>
                      <w:lang w:val="en-US" w:eastAsia="zh-CN" w:bidi="ar"/>
                    </w:rPr>
                    <w:t>，1t/批，混合时间180-210s，18.5kw，CV≤7.0%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刮板输送机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TGSLL25</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20t/h，3kw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提升机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TDTG36/28</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20t/h，4 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三通阀门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TBDQ20X20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25t/h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永磁筒</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TCXT20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 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待制粒仓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1.5*2.3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vertAlign w:val="superscript"/>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共1个，9m</w:t>
                  </w:r>
                  <w:r>
                    <w:rPr>
                      <w:rFonts w:hint="default" w:ascii="Times New Roman" w:hAnsi="Times New Roman" w:cs="Times New Roman"/>
                      <w:i w:val="0"/>
                      <w:iCs w:val="0"/>
                      <w:color w:val="auto"/>
                      <w:spacing w:val="0"/>
                      <w:kern w:val="0"/>
                      <w:sz w:val="21"/>
                      <w:szCs w:val="21"/>
                      <w:u w:val="none"/>
                      <w:vertAlign w:val="superscript"/>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料位器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KZ0223-WB</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共2个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制粒机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SZLH400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溧阳市同创饲料机械厂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3-6t/h，90kw</w:t>
                  </w:r>
                  <w:r>
                    <w:rPr>
                      <w:rFonts w:hint="default" w:ascii="Times New Roman" w:hAnsi="Times New Roman" w:cs="Times New Roman"/>
                      <w:i w:val="0"/>
                      <w:iCs w:val="0"/>
                      <w:color w:val="auto"/>
                      <w:spacing w:val="0"/>
                      <w:kern w:val="0"/>
                      <w:sz w:val="21"/>
                      <w:szCs w:val="21"/>
                      <w:u w:val="none"/>
                      <w:lang w:val="en-US" w:eastAsia="zh-CN" w:bidi="ar"/>
                    </w:rPr>
                    <w:t>，</w:t>
                  </w:r>
                  <w:r>
                    <w:rPr>
                      <w:rFonts w:hint="default" w:ascii="Times New Roman" w:hAnsi="Times New Roman" w:eastAsia="宋体" w:cs="Times New Roman"/>
                      <w:i w:val="0"/>
                      <w:iCs w:val="0"/>
                      <w:color w:val="auto"/>
                      <w:spacing w:val="0"/>
                      <w:kern w:val="0"/>
                      <w:sz w:val="21"/>
                      <w:szCs w:val="21"/>
                      <w:u w:val="none"/>
                      <w:lang w:val="en-US" w:eastAsia="zh-CN" w:bidi="ar"/>
                    </w:rPr>
                    <w:t>颗粒规格Ф2-Ф10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冷却器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SWLN5</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溧阳市德瑞农牧机械厂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12t/h，冷却时间10-15s，1.5kw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碎粒机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SSLG20*170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溧阳市德瑞农牧机械厂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12t/h，5.5kw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提升机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TDTG36/23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20t/h，4kw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回转分级筛</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SFJH125*2b</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溧阳市德瑞农牧机械厂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12t/h，3kw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粉料筛</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SCQY60-80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溧阳市德瑞农牧机械厂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15t/h，5.5kw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成品仓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2*3*2</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共2个，12m</w:t>
                  </w:r>
                  <w:r>
                    <w:rPr>
                      <w:rFonts w:hint="default" w:ascii="Times New Roman" w:hAnsi="Times New Roman" w:cs="Times New Roman"/>
                      <w:i w:val="0"/>
                      <w:iCs w:val="0"/>
                      <w:color w:val="auto"/>
                      <w:spacing w:val="0"/>
                      <w:kern w:val="0"/>
                      <w:sz w:val="21"/>
                      <w:szCs w:val="21"/>
                      <w:u w:val="none"/>
                      <w:vertAlign w:val="superscript"/>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料位器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KZ0223-WB</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共2个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气动闸板</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TZMQ40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30t/h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自动包装称</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DCS–BD-50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哈尔滨联科机电有限公司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额定称重50kg/包，显示分辩率10g，计量准确度静态≤±0.1%、动态≤±0.2%，包装速度300-400包/h。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空压机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V-1.05</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上海人民泵业科技制造有限公司</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排气量3.6 m</w:t>
                  </w:r>
                  <w:r>
                    <w:rPr>
                      <w:rFonts w:hint="default" w:ascii="Times New Roman" w:hAnsi="Times New Roman" w:cs="Times New Roman"/>
                      <w:i w:val="0"/>
                      <w:iCs w:val="0"/>
                      <w:color w:val="auto"/>
                      <w:spacing w:val="0"/>
                      <w:kern w:val="0"/>
                      <w:sz w:val="21"/>
                      <w:szCs w:val="21"/>
                      <w:u w:val="none"/>
                      <w:vertAlign w:val="superscript"/>
                      <w:lang w:val="en-US" w:eastAsia="zh-CN" w:bidi="ar"/>
                    </w:rPr>
                    <w:t>3</w:t>
                  </w:r>
                  <w:r>
                    <w:rPr>
                      <w:rFonts w:hint="default" w:ascii="Times New Roman" w:hAnsi="Times New Roman" w:eastAsia="宋体" w:cs="Times New Roman"/>
                      <w:i w:val="0"/>
                      <w:iCs w:val="0"/>
                      <w:color w:val="auto"/>
                      <w:spacing w:val="0"/>
                      <w:kern w:val="0"/>
                      <w:sz w:val="21"/>
                      <w:szCs w:val="21"/>
                      <w:u w:val="none"/>
                      <w:lang w:val="en-US" w:eastAsia="zh-CN" w:bidi="ar"/>
                    </w:rPr>
                    <w:t>/min，排气压力：0.4-1Mpa，7.5kw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电控系统</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p>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PCS-1000</w:t>
                  </w:r>
                </w:p>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唐山天恒自动化研究所</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计算机自动控制系统（包括配料及混合工段），配三菱PLC FX3U系列可编程控制器，配料精度：静态0.1%、动态0.3%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866" w:type="dxa"/>
                  <w:gridSpan w:val="5"/>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精料补充料生产线</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提升机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TDTG36/23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输送量10-15t/h，功率4KW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永磁筒</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TCXT25</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30T/H，3KW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粒料筛</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SDJH60-80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江苏德瑞农牧机械厂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30T/H，1.5KW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待粉仓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1500x5000mm</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共1个，12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粉碎机供料器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TWLLS16</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20T</w:t>
                  </w:r>
                  <w:r>
                    <w:rPr>
                      <w:rFonts w:hint="default" w:ascii="Times New Roman" w:hAnsi="Times New Roman" w:cs="Times New Roman"/>
                      <w:i w:val="0"/>
                      <w:iCs w:val="0"/>
                      <w:color w:val="auto"/>
                      <w:spacing w:val="0"/>
                      <w:kern w:val="0"/>
                      <w:sz w:val="21"/>
                      <w:szCs w:val="21"/>
                      <w:u w:val="none"/>
                      <w:lang w:val="en-US" w:eastAsia="zh-CN" w:bidi="ar"/>
                    </w:rPr>
                    <w:t>/</w:t>
                  </w:r>
                  <w:r>
                    <w:rPr>
                      <w:rFonts w:hint="default" w:ascii="Times New Roman" w:hAnsi="Times New Roman" w:eastAsia="宋体" w:cs="Times New Roman"/>
                      <w:i w:val="0"/>
                      <w:iCs w:val="0"/>
                      <w:color w:val="auto"/>
                      <w:spacing w:val="0"/>
                      <w:kern w:val="0"/>
                      <w:sz w:val="21"/>
                      <w:szCs w:val="21"/>
                      <w:u w:val="none"/>
                      <w:lang w:val="en-US" w:eastAsia="zh-CN" w:bidi="ar"/>
                    </w:rPr>
                    <w:t>h，1.5kw，变频喂料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锤片式粉碎机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SFSP50—60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森大饲料机械厂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生产率 10-15t/h，功率37KW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避风绞龙</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TWLLS20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3kw/个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提升机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TDTG36/23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输送量10-15t/h</w:t>
                  </w:r>
                  <w:r>
                    <w:rPr>
                      <w:rFonts w:hint="default" w:ascii="Times New Roman" w:hAnsi="Times New Roman" w:cs="Times New Roman"/>
                      <w:i w:val="0"/>
                      <w:iCs w:val="0"/>
                      <w:color w:val="auto"/>
                      <w:spacing w:val="0"/>
                      <w:kern w:val="0"/>
                      <w:sz w:val="21"/>
                      <w:szCs w:val="21"/>
                      <w:u w:val="none"/>
                      <w:lang w:val="en-US" w:eastAsia="zh-CN" w:bidi="ar"/>
                    </w:rPr>
                    <w:t>，</w:t>
                  </w:r>
                  <w:r>
                    <w:rPr>
                      <w:rFonts w:hint="default" w:ascii="Times New Roman" w:hAnsi="Times New Roman" w:eastAsia="宋体" w:cs="Times New Roman"/>
                      <w:i w:val="0"/>
                      <w:iCs w:val="0"/>
                      <w:color w:val="auto"/>
                      <w:spacing w:val="0"/>
                      <w:kern w:val="0"/>
                      <w:sz w:val="21"/>
                      <w:szCs w:val="21"/>
                      <w:u w:val="none"/>
                      <w:lang w:val="en-US" w:eastAsia="zh-CN" w:bidi="ar"/>
                    </w:rPr>
                    <w:t>功率4KW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旋转分配器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TFPX8-10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江苏德瑞农牧机械厂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接近开关控制运转平稳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料位器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Kz0223-WB</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上海施派</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共40个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12个</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每个容积8立方米，总容积96立方米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配料绞龙</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TWLLS16—20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共12个，2.2kw/个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配料秤</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PCS-1000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唐山天恒自动化研究所</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配料精度：静态0.1%，动态0.2称量范围：最大称量1200K，最小称量5KG</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气动闸门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TZMQ40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流量20-30t/h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单轴混合机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SLYH2</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森大饲料机械厂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每批容量1000kg，混合时间180-360S，混合机容积2立方米：功率：15KW，变异系数Cv≤7%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刮板传送机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TGSLL20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20t/h，3kw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提升机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TDTG36/23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输送量10-15t/h，功率4KW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气动三通</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TZMG20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天正气缸运转平稳流量20-30 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待制粒仓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1.5x2x3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共1个，9立方米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颗粒机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SZLH350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森大饲料机械厂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电机功率30*2KW，生产率4-6t/h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辊式破碎机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SSLG15*1400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森大饲料机械厂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电机功率5.5KW ，生产率5-8t/h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逆流式冷却器</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SWLN3</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森大饲料机械厂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电机功率1.5KW，生产率10-15t/h，冷却时间10-15min</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回转分级筛</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SFJH100*2b</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森大饲料机械厂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电机功率3KW，生产率5-10t/h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成品仓</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2x1.5x2</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辽宁鹏博饲料机械厂</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共2个，6</w:t>
                  </w:r>
                  <w:r>
                    <w:rPr>
                      <w:rFonts w:hint="default" w:ascii="Times New Roman" w:hAnsi="Times New Roman" w:cs="Times New Roman"/>
                      <w:i w:val="0"/>
                      <w:iCs w:val="0"/>
                      <w:color w:val="auto"/>
                      <w:spacing w:val="0"/>
                      <w:kern w:val="0"/>
                      <w:sz w:val="21"/>
                      <w:szCs w:val="21"/>
                      <w:u w:val="none"/>
                      <w:lang w:val="en-US" w:eastAsia="zh-CN" w:bidi="ar"/>
                    </w:rPr>
                    <w:t>m</w:t>
                  </w:r>
                  <w:r>
                    <w:rPr>
                      <w:rFonts w:hint="default" w:ascii="Times New Roman" w:hAnsi="Times New Roman" w:cs="Times New Roman"/>
                      <w:i w:val="0"/>
                      <w:iCs w:val="0"/>
                      <w:color w:val="auto"/>
                      <w:spacing w:val="0"/>
                      <w:kern w:val="0"/>
                      <w:sz w:val="21"/>
                      <w:szCs w:val="21"/>
                      <w:u w:val="none"/>
                      <w:vertAlign w:val="superscript"/>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自动包装秤</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DCS-BD-50</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哈尔滨联科</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生产率10-15t/h ，准确度等级X0.5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电脑配料系统</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PCS-1000</w:t>
                  </w:r>
                </w:p>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唐山天恒自动化研究所</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计算机自动控制系统（包括配料及混合工段），配三菱PLC FX3U系列可编程控制器， 配料精度：静态0.1%、动态0.3%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25" w:type="dxa"/>
                  <w:tcBorders>
                    <w:tl2br w:val="nil"/>
                    <w:tr2bl w:val="nil"/>
                  </w:tcBorders>
                  <w:noWrap w:val="0"/>
                  <w:vAlign w:val="center"/>
                </w:tcPr>
                <w:p>
                  <w:pPr>
                    <w:keepNext w:val="0"/>
                    <w:keepLines w:val="0"/>
                    <w:pageBreakBefore w:val="0"/>
                    <w:widowControl/>
                    <w:numPr>
                      <w:ilvl w:val="0"/>
                      <w:numId w:val="4"/>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755"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空压机</w:t>
                  </w:r>
                </w:p>
              </w:tc>
              <w:tc>
                <w:tcPr>
                  <w:tcW w:w="147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JG7.5A</w:t>
                  </w:r>
                </w:p>
              </w:tc>
              <w:tc>
                <w:tcPr>
                  <w:tcW w:w="2220"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上海捷豹</w:t>
                  </w:r>
                </w:p>
              </w:tc>
              <w:tc>
                <w:tcPr>
                  <w:tcW w:w="1696" w:type="dxa"/>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排气量3.6立方米/min，排气压力0.4-1MPa</w:t>
                  </w:r>
                </w:p>
              </w:tc>
            </w:tr>
          </w:tbl>
          <w:p>
            <w:pPr>
              <w:keepNext w:val="0"/>
              <w:keepLines w:val="0"/>
              <w:numPr>
                <w:ilvl w:val="0"/>
                <w:numId w:val="2"/>
              </w:numPr>
              <w:kinsoku/>
              <w:wordWrap/>
              <w:overflowPunct/>
              <w:topLinePunct w:val="0"/>
              <w:bidi w:val="0"/>
              <w:adjustRightInd w:val="0"/>
              <w:snapToGrid w:val="0"/>
              <w:spacing w:beforeAutospacing="0" w:afterAutospacing="0" w:line="360" w:lineRule="auto"/>
              <w:ind w:left="0" w:leftChars="0" w:right="0" w:rightChars="0" w:firstLine="482" w:firstLineChars="200"/>
              <w:outlineLvl w:val="9"/>
              <w:rPr>
                <w:rFonts w:hint="default" w:ascii="Times New Roman" w:hAnsi="Times New Roman" w:eastAsia="宋体" w:cs="Times New Roman"/>
                <w:b/>
                <w:color w:val="auto"/>
                <w:spacing w:val="0"/>
                <w:sz w:val="24"/>
              </w:rPr>
            </w:pPr>
            <w:r>
              <w:rPr>
                <w:rFonts w:hint="default" w:ascii="Times New Roman" w:hAnsi="Times New Roman" w:eastAsia="宋体" w:cs="Times New Roman"/>
                <w:b/>
                <w:color w:val="auto"/>
                <w:spacing w:val="0"/>
                <w:sz w:val="24"/>
              </w:rPr>
              <w:t>主要原辅料</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bCs/>
                <w:color w:val="auto"/>
                <w:spacing w:val="0"/>
                <w:sz w:val="24"/>
              </w:rPr>
            </w:pPr>
            <w:r>
              <w:rPr>
                <w:rFonts w:hint="default" w:ascii="Times New Roman" w:hAnsi="Times New Roman" w:eastAsia="宋体" w:cs="Times New Roman"/>
                <w:bCs/>
                <w:color w:val="auto"/>
                <w:spacing w:val="0"/>
                <w:sz w:val="24"/>
              </w:rPr>
              <w:t>本项目主要原辅材料用量见表2-4</w:t>
            </w:r>
            <w:r>
              <w:rPr>
                <w:rFonts w:hint="eastAsia" w:cs="Times New Roman"/>
                <w:bCs/>
                <w:color w:val="auto"/>
                <w:spacing w:val="0"/>
                <w:sz w:val="24"/>
                <w:lang w:eastAsia="zh-CN"/>
              </w:rPr>
              <w:t>；</w:t>
            </w:r>
            <w:r>
              <w:rPr>
                <w:rFonts w:hint="eastAsia" w:cs="Times New Roman"/>
                <w:bCs/>
                <w:color w:val="auto"/>
                <w:spacing w:val="0"/>
                <w:sz w:val="24"/>
                <w:lang w:val="en-US" w:eastAsia="zh-CN"/>
              </w:rPr>
              <w:t>物料平衡见图2-1</w:t>
            </w:r>
            <w:r>
              <w:rPr>
                <w:rFonts w:hint="default" w:ascii="Times New Roman" w:hAnsi="Times New Roman" w:eastAsia="宋体" w:cs="Times New Roman"/>
                <w:bCs/>
                <w:color w:val="auto"/>
                <w:spacing w:val="0"/>
                <w:sz w:val="24"/>
              </w:rPr>
              <w:t>。</w:t>
            </w:r>
          </w:p>
          <w:p>
            <w:pPr>
              <w:pStyle w:val="30"/>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kern w:val="2"/>
                <w:sz w:val="24"/>
                <w:szCs w:val="24"/>
              </w:rPr>
            </w:pPr>
            <w:bookmarkStart w:id="32" w:name="_Toc3387"/>
            <w:bookmarkStart w:id="33" w:name="_Toc85913394"/>
            <w:bookmarkStart w:id="34" w:name="_Toc28889"/>
            <w:bookmarkStart w:id="35" w:name="_Toc17307"/>
            <w:bookmarkStart w:id="36" w:name="_Toc30431"/>
            <w:bookmarkStart w:id="37" w:name="_Toc2273"/>
            <w:bookmarkStart w:id="38" w:name="_Toc12228"/>
            <w:bookmarkStart w:id="39" w:name="_Toc31958"/>
            <w:bookmarkStart w:id="40" w:name="_Toc85913116"/>
            <w:bookmarkStart w:id="41" w:name="_Toc16249"/>
            <w:r>
              <w:rPr>
                <w:rFonts w:hint="default" w:ascii="Times New Roman" w:hAnsi="Times New Roman" w:eastAsia="宋体" w:cs="Times New Roman"/>
                <w:color w:val="auto"/>
                <w:spacing w:val="0"/>
                <w:kern w:val="2"/>
                <w:sz w:val="24"/>
                <w:szCs w:val="24"/>
              </w:rPr>
              <w:t>表2-4  本项目主要原辅料使用情况</w:t>
            </w:r>
            <w:bookmarkEnd w:id="32"/>
            <w:bookmarkEnd w:id="33"/>
            <w:bookmarkEnd w:id="34"/>
            <w:bookmarkEnd w:id="35"/>
            <w:bookmarkEnd w:id="36"/>
            <w:bookmarkEnd w:id="37"/>
            <w:bookmarkEnd w:id="38"/>
            <w:bookmarkEnd w:id="39"/>
            <w:bookmarkEnd w:id="40"/>
            <w:bookmarkEnd w:id="41"/>
          </w:p>
          <w:tbl>
            <w:tblPr>
              <w:tblStyle w:val="18"/>
              <w:tblW w:w="7811" w:type="dxa"/>
              <w:tblInd w:w="93"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71"/>
              <w:gridCol w:w="1965"/>
              <w:gridCol w:w="750"/>
              <w:gridCol w:w="1106"/>
              <w:gridCol w:w="1106"/>
              <w:gridCol w:w="1106"/>
              <w:gridCol w:w="1107"/>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 w:hRule="atLeast"/>
              </w:trPr>
              <w:tc>
                <w:tcPr>
                  <w:tcW w:w="671" w:type="dxa"/>
                  <w:tcBorders>
                    <w:bottom w:val="single" w:color="000000" w:sz="4" w:space="0"/>
                    <w:right w:val="single" w:color="000000" w:sz="4" w:space="0"/>
                  </w:tcBorders>
                  <w:noWrap/>
                  <w:vAlign w:val="center"/>
                </w:tcPr>
                <w:p>
                  <w:pPr>
                    <w:keepNext w:val="0"/>
                    <w:keepLines w:val="0"/>
                    <w:pageBreakBefore w:val="0"/>
                    <w:widowControl w:val="0"/>
                    <w:kinsoku w:val="0"/>
                    <w:wordWrap/>
                    <w:overflowPunct w:val="0"/>
                    <w:topLinePunct w:val="0"/>
                    <w:autoSpaceDE w:val="0"/>
                    <w:autoSpaceDN w:val="0"/>
                    <w:bidi w:val="0"/>
                    <w:adjustRightInd/>
                    <w:snapToGrid/>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序号</w:t>
                  </w:r>
                </w:p>
              </w:tc>
              <w:tc>
                <w:tcPr>
                  <w:tcW w:w="1965" w:type="dxa"/>
                  <w:tcBorders>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原料名称</w:t>
                  </w:r>
                </w:p>
              </w:tc>
              <w:tc>
                <w:tcPr>
                  <w:tcW w:w="750" w:type="dxa"/>
                  <w:tcBorders>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单位</w:t>
                  </w:r>
                </w:p>
              </w:tc>
              <w:tc>
                <w:tcPr>
                  <w:tcW w:w="1106" w:type="dxa"/>
                  <w:tcBorders>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年用量</w:t>
                  </w:r>
                </w:p>
              </w:tc>
              <w:tc>
                <w:tcPr>
                  <w:tcW w:w="1106" w:type="dxa"/>
                  <w:tcBorders>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库存量</w:t>
                  </w:r>
                </w:p>
              </w:tc>
              <w:tc>
                <w:tcPr>
                  <w:tcW w:w="1106" w:type="dxa"/>
                  <w:tcBorders>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来源</w:t>
                  </w:r>
                </w:p>
              </w:tc>
              <w:tc>
                <w:tcPr>
                  <w:tcW w:w="1107" w:type="dxa"/>
                  <w:tcBorders>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szCs w:val="21"/>
                      <w:lang w:eastAsia="zh-CN"/>
                    </w:rPr>
                  </w:pPr>
                  <w:r>
                    <w:rPr>
                      <w:rFonts w:hint="eastAsia" w:cs="Times New Roman"/>
                      <w:color w:val="auto"/>
                      <w:spacing w:val="0"/>
                      <w:kern w:val="0"/>
                      <w:szCs w:val="21"/>
                      <w:lang w:val="en-US" w:eastAsia="zh-CN" w:bidi="ar"/>
                    </w:rPr>
                    <w:t>包装规格</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45%豆粕</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2</w:t>
                  </w:r>
                  <w:r>
                    <w:rPr>
                      <w:rFonts w:hint="eastAsia" w:ascii="Times New Roman" w:hAnsi="Times New Roman" w:eastAsia="宋体" w:cs="Times New Roman"/>
                      <w:color w:val="auto"/>
                      <w:spacing w:val="0"/>
                      <w:szCs w:val="21"/>
                      <w:lang w:val="en-US" w:eastAsia="zh-CN"/>
                    </w:rPr>
                    <w:t>600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100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70kg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43%豆粕</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3600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100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70kg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玉米</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370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50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散装</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膨化大豆</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1260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30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50kg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米糠粕</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100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30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60kg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喷浆玉米皮</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420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30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50kg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膨化大米</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80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15</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40kg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氯化钠</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450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50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50kg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DDG</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80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30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50kg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eastAsia="zh-CN" w:bidi="ar"/>
                    </w:rPr>
                  </w:pPr>
                  <w:r>
                    <w:rPr>
                      <w:rFonts w:hint="eastAsia" w:ascii="Times New Roman" w:hAnsi="Times New Roman" w:eastAsia="宋体" w:cs="Times New Roman"/>
                      <w:color w:val="auto"/>
                      <w:spacing w:val="0"/>
                      <w:kern w:val="0"/>
                      <w:szCs w:val="21"/>
                      <w:lang w:val="en-US" w:eastAsia="zh-CN" w:bidi="ar"/>
                    </w:rPr>
                    <w:t>大豆油</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szCs w:val="21"/>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240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10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散装</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70赖氨酸</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szCs w:val="21"/>
                      <w:lang w:eastAsia="zh-CN"/>
                    </w:rPr>
                  </w:pPr>
                  <w:r>
                    <w:rPr>
                      <w:rFonts w:hint="eastAsia" w:cs="Times New Roman"/>
                      <w:color w:val="auto"/>
                      <w:spacing w:val="0"/>
                      <w:szCs w:val="21"/>
                      <w:lang w:val="en-US" w:eastAsia="zh-CN"/>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80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40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25kg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98赖氨酸</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40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20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25kg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蛋氨酸</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100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8</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25kg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苏氨酸</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lang w:val="en-US"/>
                    </w:rPr>
                  </w:pPr>
                  <w:r>
                    <w:rPr>
                      <w:rFonts w:hint="eastAsia" w:cs="Times New Roman"/>
                      <w:color w:val="auto"/>
                      <w:spacing w:val="0"/>
                      <w:szCs w:val="21"/>
                      <w:lang w:val="en-US" w:eastAsia="zh-CN"/>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highlight w:val="yellow"/>
                      <w:lang w:val="en-US" w:eastAsia="zh-CN"/>
                    </w:rPr>
                  </w:pPr>
                  <w:r>
                    <w:rPr>
                      <w:rFonts w:hint="eastAsia" w:ascii="Times New Roman" w:hAnsi="Times New Roman" w:eastAsia="宋体" w:cs="Times New Roman"/>
                      <w:color w:val="auto"/>
                      <w:spacing w:val="0"/>
                      <w:szCs w:val="21"/>
                      <w:highlight w:val="none"/>
                      <w:lang w:val="en-US" w:eastAsia="zh-CN"/>
                    </w:rPr>
                    <w:t>320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10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25kg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氢钙</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highlight w:val="yellow"/>
                      <w:lang w:val="en-US" w:eastAsia="zh-CN"/>
                    </w:rPr>
                  </w:pPr>
                  <w:r>
                    <w:rPr>
                      <w:rFonts w:hint="eastAsia" w:ascii="Times New Roman" w:hAnsi="Times New Roman" w:eastAsia="宋体" w:cs="Times New Roman"/>
                      <w:color w:val="auto"/>
                      <w:spacing w:val="0"/>
                      <w:szCs w:val="21"/>
                      <w:lang w:val="en-US" w:eastAsia="zh-CN"/>
                    </w:rPr>
                    <w:t>200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50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50kg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石粉</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k</w:t>
                  </w:r>
                  <w:r>
                    <w:rPr>
                      <w:rFonts w:hint="eastAsia" w:ascii="Times New Roman" w:hAnsi="Times New Roman" w:eastAsia="宋体" w:cs="Times New Roman"/>
                      <w:color w:val="auto"/>
                      <w:spacing w:val="0"/>
                      <w:szCs w:val="21"/>
                      <w:lang w:val="en-US" w:eastAsia="zh-CN"/>
                    </w:rPr>
                    <w:t>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highlight w:val="yellow"/>
                      <w:lang w:val="en-US" w:eastAsia="zh-CN"/>
                    </w:rPr>
                  </w:pPr>
                  <w:r>
                    <w:rPr>
                      <w:rFonts w:hint="eastAsia" w:cs="Times New Roman"/>
                      <w:color w:val="auto"/>
                      <w:spacing w:val="0"/>
                      <w:szCs w:val="21"/>
                      <w:lang w:val="en-US" w:eastAsia="zh-CN"/>
                    </w:rPr>
                    <w:t>5</w:t>
                  </w:r>
                  <w:r>
                    <w:rPr>
                      <w:rFonts w:hint="eastAsia" w:ascii="Times New Roman" w:hAnsi="Times New Roman" w:eastAsia="宋体" w:cs="Times New Roman"/>
                      <w:color w:val="auto"/>
                      <w:spacing w:val="0"/>
                      <w:szCs w:val="21"/>
                      <w:lang w:val="en-US" w:eastAsia="zh-CN"/>
                    </w:rPr>
                    <w:t>00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50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50kg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鱼粉</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szCs w:val="21"/>
                      <w:lang w:eastAsia="zh-CN"/>
                    </w:rPr>
                  </w:pPr>
                  <w:r>
                    <w:rPr>
                      <w:rFonts w:hint="eastAsia" w:cs="Times New Roman"/>
                      <w:color w:val="auto"/>
                      <w:spacing w:val="0"/>
                      <w:szCs w:val="21"/>
                      <w:lang w:val="en-US" w:eastAsia="zh-CN"/>
                    </w:rPr>
                    <w:t>k</w:t>
                  </w:r>
                  <w:r>
                    <w:rPr>
                      <w:rFonts w:hint="eastAsia" w:ascii="Times New Roman" w:hAnsi="Times New Roman" w:eastAsia="宋体" w:cs="Times New Roman"/>
                      <w:color w:val="auto"/>
                      <w:spacing w:val="0"/>
                      <w:szCs w:val="21"/>
                      <w:lang w:val="en-US" w:eastAsia="zh-CN"/>
                    </w:rPr>
                    <w:t>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288</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30</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50kg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面粉</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szCs w:val="21"/>
                      <w:lang w:eastAsia="zh-CN"/>
                    </w:rPr>
                  </w:pPr>
                  <w:r>
                    <w:rPr>
                      <w:rFonts w:hint="default" w:ascii="Times New Roman" w:hAnsi="Times New Roman" w:eastAsia="宋体" w:cs="Times New Roman"/>
                      <w:color w:val="auto"/>
                      <w:spacing w:val="0"/>
                      <w:szCs w:val="21"/>
                    </w:rPr>
                    <w:t>kg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highlight w:val="none"/>
                      <w:lang w:val="en-US" w:eastAsia="zh-CN"/>
                    </w:rPr>
                  </w:pPr>
                  <w:r>
                    <w:rPr>
                      <w:rFonts w:hint="eastAsia" w:ascii="Times New Roman" w:hAnsi="Times New Roman" w:eastAsia="宋体" w:cs="Times New Roman"/>
                      <w:color w:val="auto"/>
                      <w:spacing w:val="0"/>
                      <w:szCs w:val="21"/>
                      <w:highlight w:val="none"/>
                      <w:lang w:val="en-US" w:eastAsia="zh-CN"/>
                    </w:rPr>
                    <w:t>320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5</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25kg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色氨酸</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szCs w:val="21"/>
                      <w:lang w:eastAsia="zh-CN"/>
                    </w:rPr>
                  </w:pPr>
                  <w:r>
                    <w:rPr>
                      <w:rFonts w:hint="eastAsia" w:cs="Times New Roman"/>
                      <w:color w:val="auto"/>
                      <w:spacing w:val="0"/>
                      <w:szCs w:val="21"/>
                      <w:lang w:val="en-US" w:eastAsia="zh-CN"/>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highlight w:val="none"/>
                      <w:lang w:val="en-US" w:eastAsia="zh-CN"/>
                    </w:rPr>
                  </w:pPr>
                  <w:r>
                    <w:rPr>
                      <w:rFonts w:hint="eastAsia" w:ascii="Times New Roman" w:hAnsi="Times New Roman" w:eastAsia="宋体" w:cs="Times New Roman"/>
                      <w:color w:val="auto"/>
                      <w:spacing w:val="0"/>
                      <w:szCs w:val="21"/>
                      <w:highlight w:val="none"/>
                      <w:lang w:val="en-US" w:eastAsia="zh-CN"/>
                    </w:rPr>
                    <w:t>2</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1</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25kg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葡萄糖</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highlight w:val="none"/>
                      <w:lang w:val="en-US" w:eastAsia="zh-CN"/>
                    </w:rPr>
                  </w:pPr>
                  <w:r>
                    <w:rPr>
                      <w:rFonts w:hint="eastAsia" w:cs="Times New Roman"/>
                      <w:color w:val="auto"/>
                      <w:spacing w:val="0"/>
                      <w:szCs w:val="21"/>
                      <w:highlight w:val="none"/>
                      <w:lang w:val="en-US" w:eastAsia="zh-CN"/>
                    </w:rPr>
                    <w:t xml:space="preserve">50 </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5</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25kg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ascii="Times New Roman" w:hAnsi="Times New Roman" w:eastAsia="宋体" w:cs="Times New Roman"/>
                      <w:color w:val="auto"/>
                      <w:spacing w:val="0"/>
                      <w:kern w:val="0"/>
                      <w:szCs w:val="21"/>
                      <w:lang w:val="en-US" w:eastAsia="zh-CN" w:bidi="ar"/>
                    </w:rPr>
                    <w:t>微量元素预混料</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lang w:eastAsia="zh-CN"/>
                    </w:rPr>
                  </w:pPr>
                  <w:r>
                    <w:rPr>
                      <w:rFonts w:hint="eastAsia" w:cs="Times New Roman"/>
                      <w:color w:val="auto"/>
                      <w:spacing w:val="0"/>
                      <w:szCs w:val="21"/>
                      <w:lang w:val="en-US" w:eastAsia="zh-CN"/>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10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ascii="Times New Roman" w:hAnsi="Times New Roman" w:eastAsia="宋体" w:cs="Times New Roman"/>
                      <w:color w:val="auto"/>
                      <w:spacing w:val="0"/>
                      <w:szCs w:val="21"/>
                      <w:lang w:val="en-US" w:eastAsia="zh-CN"/>
                    </w:rPr>
                    <w:t>5</w:t>
                  </w:r>
                  <w:r>
                    <w:rPr>
                      <w:rFonts w:hint="default" w:ascii="Times New Roman" w:hAnsi="Times New Roman" w:eastAsia="宋体" w:cs="Times New Roman"/>
                      <w:color w:val="auto"/>
                      <w:spacing w:val="0"/>
                      <w:kern w:val="0"/>
                      <w:szCs w:val="21"/>
                      <w:lang w:bidi="ar"/>
                    </w:rPr>
                    <w:t>t</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default" w:ascii="Times New Roman" w:hAnsi="Times New Roman" w:eastAsia="宋体" w:cs="Times New Roman"/>
                      <w:color w:val="auto"/>
                      <w:spacing w:val="0"/>
                      <w:kern w:val="0"/>
                      <w:szCs w:val="21"/>
                      <w:lang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ascii="Times New Roman" w:hAnsi="Times New Roman" w:eastAsia="宋体" w:cs="Times New Roman"/>
                      <w:color w:val="auto"/>
                      <w:spacing w:val="0"/>
                      <w:kern w:val="0"/>
                      <w:szCs w:val="21"/>
                      <w:lang w:val="en-US" w:eastAsia="zh-CN" w:bidi="ar"/>
                    </w:rPr>
                    <w:t>25kg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kern w:val="0"/>
                      <w:szCs w:val="21"/>
                      <w:lang w:val="en-US" w:eastAsia="zh-CN" w:bidi="ar"/>
                    </w:rPr>
                  </w:pPr>
                  <w:r>
                    <w:rPr>
                      <w:rFonts w:hint="eastAsia" w:cs="Times New Roman"/>
                      <w:color w:val="auto"/>
                      <w:spacing w:val="0"/>
                      <w:sz w:val="22"/>
                      <w:szCs w:val="22"/>
                      <w:lang w:val="en-US" w:eastAsia="zh-CN"/>
                    </w:rPr>
                    <w:t>硫酸</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L</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24</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12L</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cs="Times New Roman"/>
                      <w:color w:val="auto"/>
                      <w:spacing w:val="0"/>
                      <w:kern w:val="0"/>
                      <w:szCs w:val="21"/>
                      <w:lang w:val="en-US" w:eastAsia="zh-CN"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val="en-US" w:eastAsia="zh-CN" w:bidi="ar"/>
                    </w:rPr>
                  </w:pPr>
                  <w:r>
                    <w:rPr>
                      <w:rFonts w:hint="eastAsia" w:cs="Times New Roman"/>
                      <w:color w:val="auto"/>
                      <w:spacing w:val="0"/>
                      <w:kern w:val="0"/>
                      <w:szCs w:val="21"/>
                      <w:lang w:val="en-US" w:eastAsia="zh-CN" w:bidi="ar"/>
                    </w:rPr>
                    <w:t>500mL</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val="en-US" w:eastAsia="zh-CN" w:bidi="ar"/>
                    </w:rPr>
                  </w:pPr>
                  <w:r>
                    <w:rPr>
                      <w:rFonts w:hint="eastAsia" w:cs="Times New Roman"/>
                      <w:color w:val="auto"/>
                      <w:spacing w:val="0"/>
                      <w:kern w:val="0"/>
                      <w:szCs w:val="21"/>
                      <w:lang w:val="en-US" w:eastAsia="zh-CN" w:bidi="ar"/>
                    </w:rPr>
                    <w:t>氢氧化钠</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kg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48</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24kg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cs="Times New Roman"/>
                      <w:color w:val="auto"/>
                      <w:spacing w:val="0"/>
                      <w:kern w:val="0"/>
                      <w:szCs w:val="21"/>
                      <w:lang w:val="en-US" w:eastAsia="zh-CN"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cs="Times New Roman"/>
                      <w:color w:val="auto"/>
                      <w:spacing w:val="0"/>
                      <w:szCs w:val="21"/>
                      <w:lang w:val="en-US" w:eastAsia="zh-CN"/>
                    </w:rPr>
                    <w:t>500g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val="en-US" w:eastAsia="zh-CN" w:bidi="ar"/>
                    </w:rPr>
                  </w:pPr>
                  <w:r>
                    <w:rPr>
                      <w:rFonts w:hint="eastAsia" w:cs="Times New Roman"/>
                      <w:color w:val="auto"/>
                      <w:spacing w:val="0"/>
                      <w:kern w:val="0"/>
                      <w:szCs w:val="21"/>
                      <w:lang w:val="en-US" w:eastAsia="zh-CN" w:bidi="ar"/>
                    </w:rPr>
                    <w:t>硼酸</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500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500g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cs="Times New Roman"/>
                      <w:color w:val="auto"/>
                      <w:spacing w:val="0"/>
                      <w:kern w:val="0"/>
                      <w:szCs w:val="21"/>
                      <w:lang w:val="en-US" w:eastAsia="zh-CN"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cs="Times New Roman"/>
                      <w:color w:val="auto"/>
                      <w:spacing w:val="0"/>
                      <w:szCs w:val="21"/>
                      <w:lang w:val="en-US" w:eastAsia="zh-CN"/>
                    </w:rPr>
                    <w:t>500g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val="en-US" w:eastAsia="zh-CN" w:bidi="ar"/>
                    </w:rPr>
                  </w:pPr>
                  <w:r>
                    <w:rPr>
                      <w:rFonts w:hint="eastAsia" w:cs="Times New Roman"/>
                      <w:color w:val="auto"/>
                      <w:spacing w:val="0"/>
                      <w:kern w:val="0"/>
                      <w:szCs w:val="21"/>
                      <w:lang w:val="en-US" w:eastAsia="zh-CN" w:bidi="ar"/>
                    </w:rPr>
                    <w:t>硫酸铜</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500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500g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cs="Times New Roman"/>
                      <w:color w:val="auto"/>
                      <w:spacing w:val="0"/>
                      <w:kern w:val="0"/>
                      <w:szCs w:val="21"/>
                      <w:lang w:val="en-US" w:eastAsia="zh-CN"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cs="Times New Roman"/>
                      <w:color w:val="auto"/>
                      <w:spacing w:val="0"/>
                      <w:szCs w:val="21"/>
                      <w:lang w:val="en-US" w:eastAsia="zh-CN"/>
                    </w:rPr>
                    <w:t>500g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val="en-US" w:eastAsia="zh-CN" w:bidi="ar"/>
                    </w:rPr>
                  </w:pPr>
                  <w:r>
                    <w:rPr>
                      <w:rFonts w:hint="eastAsia" w:cs="Times New Roman"/>
                      <w:color w:val="auto"/>
                      <w:spacing w:val="0"/>
                      <w:kern w:val="0"/>
                      <w:szCs w:val="21"/>
                      <w:lang w:val="en-US" w:eastAsia="zh-CN" w:bidi="ar"/>
                    </w:rPr>
                    <w:t>硫酸钾</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rPr>
                  </w:pPr>
                  <w:r>
                    <w:rPr>
                      <w:rFonts w:hint="eastAsia" w:cs="Times New Roman"/>
                      <w:color w:val="auto"/>
                      <w:spacing w:val="0"/>
                      <w:szCs w:val="21"/>
                      <w:lang w:val="en-US" w:eastAsia="zh-CN"/>
                    </w:rPr>
                    <w:t>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500</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500g</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cs="Times New Roman"/>
                      <w:color w:val="auto"/>
                      <w:spacing w:val="0"/>
                      <w:kern w:val="0"/>
                      <w:szCs w:val="21"/>
                      <w:lang w:val="en-US" w:eastAsia="zh-CN"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cs="Times New Roman"/>
                      <w:color w:val="auto"/>
                      <w:spacing w:val="0"/>
                      <w:szCs w:val="21"/>
                      <w:lang w:val="en-US" w:eastAsia="zh-CN"/>
                    </w:rPr>
                    <w:t>500g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4"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cs="Times New Roman"/>
                      <w:color w:val="auto"/>
                      <w:spacing w:val="0"/>
                      <w:kern w:val="0"/>
                      <w:szCs w:val="21"/>
                      <w:lang w:val="en-US" w:eastAsia="zh-CN" w:bidi="ar"/>
                    </w:rPr>
                  </w:pPr>
                  <w:r>
                    <w:rPr>
                      <w:rFonts w:hint="eastAsia" w:cs="Times New Roman"/>
                      <w:color w:val="auto"/>
                      <w:spacing w:val="0"/>
                      <w:kern w:val="0"/>
                      <w:szCs w:val="21"/>
                      <w:lang w:val="en-US" w:eastAsia="zh-CN" w:bidi="ar"/>
                    </w:rPr>
                    <w:t>赤霉稀酮</w:t>
                  </w:r>
                </w:p>
              </w:tc>
              <w:tc>
                <w:tcPr>
                  <w:tcW w:w="7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瓶</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1</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1瓶</w:t>
                  </w:r>
                </w:p>
              </w:tc>
              <w:tc>
                <w:tcPr>
                  <w:tcW w:w="110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cs="Times New Roman"/>
                      <w:color w:val="auto"/>
                      <w:spacing w:val="0"/>
                      <w:kern w:val="0"/>
                      <w:szCs w:val="21"/>
                      <w:lang w:val="en-US" w:eastAsia="zh-CN" w:bidi="ar"/>
                    </w:rPr>
                    <w:t>外购</w:t>
                  </w:r>
                </w:p>
              </w:tc>
              <w:tc>
                <w:tcPr>
                  <w:tcW w:w="1107" w:type="dxa"/>
                  <w:tcBorders>
                    <w:top w:val="single" w:color="000000" w:sz="4" w:space="0"/>
                    <w:left w:val="single" w:color="000000" w:sz="4" w:space="0"/>
                    <w:bottom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val="en-US" w:eastAsia="zh-CN" w:bidi="ar"/>
                    </w:rPr>
                  </w:pPr>
                  <w:r>
                    <w:rPr>
                      <w:rFonts w:hint="eastAsia" w:cs="Times New Roman"/>
                      <w:color w:val="auto"/>
                      <w:spacing w:val="0"/>
                      <w:kern w:val="0"/>
                      <w:szCs w:val="21"/>
                      <w:lang w:val="en-US" w:eastAsia="zh-CN" w:bidi="ar"/>
                    </w:rPr>
                    <w:t>10mg</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671" w:type="dxa"/>
                  <w:tcBorders>
                    <w:top w:val="single" w:color="000000" w:sz="4" w:space="0"/>
                    <w:bottom w:val="single" w:color="000000" w:sz="12" w:space="0"/>
                    <w:right w:val="single" w:color="000000" w:sz="4" w:space="0"/>
                  </w:tcBorders>
                  <w:noWrap/>
                  <w:vAlign w:val="center"/>
                </w:tcPr>
                <w:p>
                  <w:pPr>
                    <w:keepNext w:val="0"/>
                    <w:keepLines w:val="0"/>
                    <w:pageBreakBefore w:val="0"/>
                    <w:widowControl/>
                    <w:numPr>
                      <w:ilvl w:val="0"/>
                      <w:numId w:val="5"/>
                    </w:numPr>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sz w:val="21"/>
                      <w:szCs w:val="21"/>
                      <w:u w:val="none"/>
                      <w:lang w:val="en-US" w:eastAsia="zh-CN"/>
                    </w:rPr>
                  </w:pPr>
                </w:p>
              </w:tc>
              <w:tc>
                <w:tcPr>
                  <w:tcW w:w="1965" w:type="dxa"/>
                  <w:tcBorders>
                    <w:top w:val="single" w:color="000000" w:sz="4" w:space="0"/>
                    <w:left w:val="single" w:color="000000" w:sz="4" w:space="0"/>
                    <w:bottom w:val="single" w:color="000000" w:sz="12"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cs="Times New Roman"/>
                      <w:color w:val="auto"/>
                      <w:spacing w:val="0"/>
                      <w:kern w:val="0"/>
                      <w:szCs w:val="21"/>
                      <w:lang w:val="en-US" w:eastAsia="zh-CN" w:bidi="ar"/>
                    </w:rPr>
                  </w:pPr>
                  <w:r>
                    <w:rPr>
                      <w:rFonts w:hint="eastAsia" w:cs="Times New Roman"/>
                      <w:color w:val="auto"/>
                      <w:spacing w:val="0"/>
                      <w:kern w:val="0"/>
                      <w:szCs w:val="21"/>
                      <w:lang w:val="en-US" w:eastAsia="zh-CN" w:bidi="ar"/>
                    </w:rPr>
                    <w:t>黄曲霉毒素</w:t>
                  </w:r>
                </w:p>
              </w:tc>
              <w:tc>
                <w:tcPr>
                  <w:tcW w:w="750" w:type="dxa"/>
                  <w:tcBorders>
                    <w:top w:val="single" w:color="000000" w:sz="4" w:space="0"/>
                    <w:left w:val="single" w:color="000000" w:sz="4" w:space="0"/>
                    <w:bottom w:val="single" w:color="000000" w:sz="12"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瓶</w:t>
                  </w:r>
                </w:p>
              </w:tc>
              <w:tc>
                <w:tcPr>
                  <w:tcW w:w="1106" w:type="dxa"/>
                  <w:tcBorders>
                    <w:top w:val="single" w:color="000000" w:sz="4" w:space="0"/>
                    <w:left w:val="single" w:color="000000" w:sz="4" w:space="0"/>
                    <w:bottom w:val="single" w:color="000000" w:sz="12"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default"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1</w:t>
                  </w:r>
                </w:p>
              </w:tc>
              <w:tc>
                <w:tcPr>
                  <w:tcW w:w="1106" w:type="dxa"/>
                  <w:tcBorders>
                    <w:top w:val="single" w:color="000000" w:sz="4" w:space="0"/>
                    <w:left w:val="single" w:color="000000" w:sz="4" w:space="0"/>
                    <w:bottom w:val="single" w:color="000000" w:sz="12" w:space="0"/>
                    <w:right w:val="single" w:color="000000" w:sz="4" w:space="0"/>
                  </w:tcBorders>
                  <w:noWrap/>
                  <w:vAlign w:val="center"/>
                </w:tcPr>
                <w:p>
                  <w:pPr>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szCs w:val="21"/>
                      <w:lang w:val="en-US" w:eastAsia="zh-CN"/>
                    </w:rPr>
                  </w:pPr>
                  <w:r>
                    <w:rPr>
                      <w:rFonts w:hint="eastAsia" w:cs="Times New Roman"/>
                      <w:color w:val="auto"/>
                      <w:spacing w:val="0"/>
                      <w:szCs w:val="21"/>
                      <w:lang w:val="en-US" w:eastAsia="zh-CN"/>
                    </w:rPr>
                    <w:t>1瓶</w:t>
                  </w:r>
                </w:p>
              </w:tc>
              <w:tc>
                <w:tcPr>
                  <w:tcW w:w="1106" w:type="dxa"/>
                  <w:tcBorders>
                    <w:top w:val="single" w:color="000000" w:sz="4" w:space="0"/>
                    <w:left w:val="single" w:color="000000" w:sz="4" w:space="0"/>
                    <w:bottom w:val="single" w:color="000000" w:sz="12" w:space="0"/>
                    <w:right w:val="single" w:color="000000" w:sz="4"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default" w:ascii="Times New Roman" w:hAnsi="Times New Roman" w:eastAsia="宋体" w:cs="Times New Roman"/>
                      <w:color w:val="auto"/>
                      <w:spacing w:val="0"/>
                      <w:kern w:val="0"/>
                      <w:szCs w:val="21"/>
                      <w:lang w:bidi="ar"/>
                    </w:rPr>
                  </w:pPr>
                  <w:r>
                    <w:rPr>
                      <w:rFonts w:hint="eastAsia" w:cs="Times New Roman"/>
                      <w:color w:val="auto"/>
                      <w:spacing w:val="0"/>
                      <w:kern w:val="0"/>
                      <w:szCs w:val="21"/>
                      <w:lang w:val="en-US" w:eastAsia="zh-CN" w:bidi="ar"/>
                    </w:rPr>
                    <w:t>外购</w:t>
                  </w:r>
                </w:p>
              </w:tc>
              <w:tc>
                <w:tcPr>
                  <w:tcW w:w="1107" w:type="dxa"/>
                  <w:tcBorders>
                    <w:top w:val="single" w:color="000000" w:sz="4" w:space="0"/>
                    <w:left w:val="single" w:color="000000" w:sz="4" w:space="0"/>
                    <w:bottom w:val="single" w:color="000000" w:sz="12" w:space="0"/>
                  </w:tcBorders>
                  <w:noWrap/>
                  <w:vAlign w:val="center"/>
                </w:tcPr>
                <w:p>
                  <w:pPr>
                    <w:keepNext w:val="0"/>
                    <w:keepLines w:val="0"/>
                    <w:widowControl/>
                    <w:kinsoku/>
                    <w:wordWrap/>
                    <w:overflowPunct/>
                    <w:topLinePunct w:val="0"/>
                    <w:bidi w:val="0"/>
                    <w:spacing w:beforeAutospacing="0" w:afterAutospacing="0"/>
                    <w:ind w:left="0" w:leftChars="0" w:right="0" w:rightChars="0"/>
                    <w:jc w:val="center"/>
                    <w:textAlignment w:val="center"/>
                    <w:outlineLvl w:val="9"/>
                    <w:rPr>
                      <w:rFonts w:hint="eastAsia" w:ascii="Times New Roman" w:hAnsi="Times New Roman" w:eastAsia="宋体" w:cs="Times New Roman"/>
                      <w:color w:val="auto"/>
                      <w:spacing w:val="0"/>
                      <w:kern w:val="0"/>
                      <w:szCs w:val="21"/>
                      <w:lang w:val="en-US" w:eastAsia="zh-CN" w:bidi="ar"/>
                    </w:rPr>
                  </w:pPr>
                  <w:r>
                    <w:rPr>
                      <w:rFonts w:hint="eastAsia" w:cs="Times New Roman"/>
                      <w:color w:val="auto"/>
                      <w:spacing w:val="0"/>
                      <w:kern w:val="0"/>
                      <w:szCs w:val="21"/>
                      <w:lang w:val="en-US" w:eastAsia="zh-CN" w:bidi="ar"/>
                    </w:rPr>
                    <w:t>10mg</w:t>
                  </w:r>
                </w:p>
              </w:tc>
            </w:tr>
          </w:tbl>
          <w:p>
            <w:pPr>
              <w:pStyle w:val="30"/>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kern w:val="2"/>
                <w:sz w:val="24"/>
                <w:szCs w:val="24"/>
                <w:lang w:val="en-US" w:eastAsia="zh-CN"/>
              </w:rPr>
            </w:pPr>
          </w:p>
          <w:p>
            <w:pPr>
              <w:rPr>
                <w:rFonts w:hint="eastAsia"/>
                <w:lang w:val="en-US" w:eastAsia="zh-CN"/>
              </w:rPr>
            </w:pPr>
            <w:r>
              <w:rPr>
                <w:sz w:val="24"/>
              </w:rPr>
              <mc:AlternateContent>
                <mc:Choice Requires="wps">
                  <w:drawing>
                    <wp:anchor distT="0" distB="0" distL="114300" distR="114300" simplePos="0" relativeHeight="251700224" behindDoc="0" locked="0" layoutInCell="1" allowOverlap="1">
                      <wp:simplePos x="0" y="0"/>
                      <wp:positionH relativeFrom="column">
                        <wp:posOffset>3410585</wp:posOffset>
                      </wp:positionH>
                      <wp:positionV relativeFrom="paragraph">
                        <wp:posOffset>1391920</wp:posOffset>
                      </wp:positionV>
                      <wp:extent cx="552450" cy="0"/>
                      <wp:effectExtent l="0" t="0" r="0" b="0"/>
                      <wp:wrapNone/>
                      <wp:docPr id="134" name="直接连接符 134"/>
                      <wp:cNvGraphicFramePr/>
                      <a:graphic xmlns:a="http://schemas.openxmlformats.org/drawingml/2006/main">
                        <a:graphicData uri="http://schemas.microsoft.com/office/word/2010/wordprocessingShape">
                          <wps:wsp>
                            <wps:cNvCnPr/>
                            <wps:spPr>
                              <a:xfrm>
                                <a:off x="0" y="0"/>
                                <a:ext cx="552450" cy="0"/>
                              </a:xfrm>
                              <a:prstGeom prst="line">
                                <a:avLst/>
                              </a:prstGeom>
                              <a:ln w="12700" cmpd="sng">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68.55pt;margin-top:109.6pt;height:0pt;width:43.5pt;z-index:251700224;mso-width-relative:page;mso-height-relative:page;" filled="f" stroked="t" coordsize="21600,21600" o:gfxdata="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tWUJg2QAA&#10;AAsBAAAPAAAAAAAAAAEAIAAAACIAAABkcnMvZG93bnJldi54bWxQSwECFAAUAAAACACHTuJAhCsv&#10;KOQBAAC0AwAADgAAAAAAAAABACAAAAAoAQAAZHJzL2Uyb0RvYy54bWxQSwUGAAAAAAYABgBZAQAA&#10;fgUAAAAA&#10;">
                      <v:fill on="f" focussize="0,0"/>
                      <v:stroke weight="1pt" color="#000000 [3213]" miterlimit="8" joinstyle="miter" dashstyle="dash"/>
                      <v:imagedata o:title=""/>
                      <o:lock v:ext="edit" aspectratio="f"/>
                    </v:line>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3401060</wp:posOffset>
                      </wp:positionH>
                      <wp:positionV relativeFrom="paragraph">
                        <wp:posOffset>1420495</wp:posOffset>
                      </wp:positionV>
                      <wp:extent cx="0" cy="219075"/>
                      <wp:effectExtent l="6350" t="0" r="12700" b="9525"/>
                      <wp:wrapNone/>
                      <wp:docPr id="133" name="直接连接符 133"/>
                      <wp:cNvGraphicFramePr/>
                      <a:graphic xmlns:a="http://schemas.openxmlformats.org/drawingml/2006/main">
                        <a:graphicData uri="http://schemas.microsoft.com/office/word/2010/wordprocessingShape">
                          <wps:wsp>
                            <wps:cNvCnPr/>
                            <wps:spPr>
                              <a:xfrm flipV="1">
                                <a:off x="0" y="0"/>
                                <a:ext cx="0" cy="219075"/>
                              </a:xfrm>
                              <a:prstGeom prst="line">
                                <a:avLst/>
                              </a:prstGeom>
                              <a:ln w="12700" cmpd="sng">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67.8pt;margin-top:111.85pt;height:17.25pt;width:0pt;z-index:251699200;mso-width-relative:page;mso-height-relative:page;" filled="f" stroked="t" coordsize="21600,21600" o:gfxdata="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zo+xbaAAAACwEAAA8AAAAAAAAAAQAgAAAAIgAAAGRycy9kb3ducmV2LnhtbFBLAQIUABQAAAAI&#10;AIdO4kATyqDp6wEAAL4DAAAOAAAAAAAAAAEAIAAAACkBAABkcnMvZTJvRG9jLnhtbFBLBQYAAAAA&#10;BgAGAFkBAACGBQAAAAA=&#10;">
                      <v:fill on="f" focussize="0,0"/>
                      <v:stroke weight="1pt" color="#000000 [3213]" miterlimit="8" joinstyle="miter" dashstyle="dash"/>
                      <v:imagedata o:title=""/>
                      <o:lock v:ext="edit" aspectratio="f"/>
                    </v:line>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2505710</wp:posOffset>
                      </wp:positionH>
                      <wp:positionV relativeFrom="paragraph">
                        <wp:posOffset>572770</wp:posOffset>
                      </wp:positionV>
                      <wp:extent cx="1457325" cy="9525"/>
                      <wp:effectExtent l="0" t="0" r="0" b="0"/>
                      <wp:wrapNone/>
                      <wp:docPr id="132" name="直接连接符 132"/>
                      <wp:cNvGraphicFramePr/>
                      <a:graphic xmlns:a="http://schemas.openxmlformats.org/drawingml/2006/main">
                        <a:graphicData uri="http://schemas.microsoft.com/office/word/2010/wordprocessingShape">
                          <wps:wsp>
                            <wps:cNvCnPr/>
                            <wps:spPr>
                              <a:xfrm>
                                <a:off x="0" y="0"/>
                                <a:ext cx="1457325" cy="9525"/>
                              </a:xfrm>
                              <a:prstGeom prst="line">
                                <a:avLst/>
                              </a:prstGeom>
                              <a:ln w="12700" cmpd="sng">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97.3pt;margin-top:45.1pt;height:0.75pt;width:114.75pt;z-index:251698176;mso-width-relative:page;mso-height-relative:page;" filled="f" stroked="t" coordsize="21600,21600" o:gfxdata="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3&#10;qzPX2gAAAAkBAAAPAAAAAAAAAAEAIAAAACIAAABkcnMvZG93bnJldi54bWxQSwECFAAUAAAACACH&#10;TuJAEGc6PekBAAC4AwAADgAAAAAAAAABACAAAAApAQAAZHJzL2Uyb0RvYy54bWxQSwUGAAAAAAYA&#10;BgBZAQAAhAUAAAAA&#10;">
                      <v:fill on="f" focussize="0,0"/>
                      <v:stroke weight="1pt" color="#000000 [3213]" miterlimit="8" joinstyle="miter" dashstyle="dash"/>
                      <v:imagedata o:title=""/>
                      <o:lock v:ext="edit" aspectratio="f"/>
                    </v:lin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2515235</wp:posOffset>
                      </wp:positionH>
                      <wp:positionV relativeFrom="paragraph">
                        <wp:posOffset>582295</wp:posOffset>
                      </wp:positionV>
                      <wp:extent cx="9525" cy="1066800"/>
                      <wp:effectExtent l="6350" t="0" r="22225" b="0"/>
                      <wp:wrapNone/>
                      <wp:docPr id="131" name="直接连接符 131"/>
                      <wp:cNvGraphicFramePr/>
                      <a:graphic xmlns:a="http://schemas.openxmlformats.org/drawingml/2006/main">
                        <a:graphicData uri="http://schemas.microsoft.com/office/word/2010/wordprocessingShape">
                          <wps:wsp>
                            <wps:cNvCnPr/>
                            <wps:spPr>
                              <a:xfrm flipH="1" flipV="1">
                                <a:off x="4043680" y="2397760"/>
                                <a:ext cx="9525" cy="1066800"/>
                              </a:xfrm>
                              <a:prstGeom prst="line">
                                <a:avLst/>
                              </a:prstGeom>
                              <a:ln w="12700" cmpd="sng">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98.05pt;margin-top:45.85pt;height:84pt;width:0.75pt;z-index:251660288;mso-width-relative:page;mso-height-relative:page;" filled="f" stroked="t" coordsize="21600,21600" o:gfxdata="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LW3f3ZAAAACgEAAA8AAAAAAAAAAQAgAAAAIgAAAGRy&#10;cy9kb3ducmV2LnhtbFBLAQIUABQAAAAIAIdO4kByRYXmBAIAANgDAAAOAAAAAAAAAAEAIAAAACgB&#10;AABkcnMvZTJvRG9jLnhtbFBLBQYAAAAABgAGAFkBAACeBQAAAAA=&#10;">
                      <v:fill on="f" focussize="0,0"/>
                      <v:stroke weight="1pt" color="#000000 [3213]" miterlimit="8" joinstyle="miter" dashstyle="dash"/>
                      <v:imagedata o:title=""/>
                      <o:lock v:ext="edit" aspectratio="f"/>
                    </v:line>
                  </w:pict>
                </mc:Fallback>
              </mc:AlternateContent>
            </w:r>
            <w:r>
              <w:rPr>
                <w:rFonts w:hint="default" w:ascii="Times New Roman" w:hAnsi="Times New Roman" w:eastAsia="宋体" w:cs="Times New Roman"/>
                <w:bCs/>
                <w:color w:val="auto"/>
                <w:spacing w:val="0"/>
                <w:sz w:val="24"/>
              </w:rPr>
              <mc:AlternateContent>
                <mc:Choice Requires="wpc">
                  <w:drawing>
                    <wp:inline distT="0" distB="0" distL="114300" distR="114300">
                      <wp:extent cx="6097270" cy="3131820"/>
                      <wp:effectExtent l="0" t="0" r="0" b="0"/>
                      <wp:docPr id="144" name="画布 1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 name="矩形 106"/>
                              <wps:cNvSpPr/>
                              <wps:spPr>
                                <a:xfrm>
                                  <a:off x="47625" y="1636395"/>
                                  <a:ext cx="582295" cy="562610"/>
                                </a:xfrm>
                                <a:prstGeom prst="rect">
                                  <a:avLst/>
                                </a:prstGeom>
                                <a:noFill/>
                                <a:ln>
                                  <a:noFill/>
                                </a:ln>
                              </wps:spPr>
                              <wps:txbx>
                                <w:txbxContent>
                                  <w:p>
                                    <w:r>
                                      <w:rPr>
                                        <w:rFonts w:hint="eastAsia"/>
                                      </w:rPr>
                                      <w:t>玉米、粕类</w:t>
                                    </w:r>
                                  </w:p>
                                </w:txbxContent>
                              </wps:txbx>
                              <wps:bodyPr upright="1"/>
                            </wps:wsp>
                            <wps:wsp>
                              <wps:cNvPr id="67" name="直接箭头连接符 107"/>
                              <wps:cNvCnPr/>
                              <wps:spPr>
                                <a:xfrm>
                                  <a:off x="493395" y="1772920"/>
                                  <a:ext cx="361950" cy="0"/>
                                </a:xfrm>
                                <a:prstGeom prst="straightConnector1">
                                  <a:avLst/>
                                </a:prstGeom>
                                <a:ln w="9525" cap="flat" cmpd="sng">
                                  <a:solidFill>
                                    <a:srgbClr val="000000"/>
                                  </a:solidFill>
                                  <a:prstDash val="solid"/>
                                  <a:headEnd type="none" w="med" len="med"/>
                                  <a:tailEnd type="triangle" w="med" len="med"/>
                                </a:ln>
                              </wps:spPr>
                              <wps:bodyPr/>
                            </wps:wsp>
                            <wps:wsp>
                              <wps:cNvPr id="91" name="矩形 108"/>
                              <wps:cNvSpPr/>
                              <wps:spPr>
                                <a:xfrm>
                                  <a:off x="1540510" y="1637665"/>
                                  <a:ext cx="464820" cy="2559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投料</w:t>
                                    </w:r>
                                  </w:p>
                                </w:txbxContent>
                              </wps:txbx>
                              <wps:bodyPr upright="1"/>
                            </wps:wsp>
                            <wps:wsp>
                              <wps:cNvPr id="92" name="直接箭头连接符 109"/>
                              <wps:cNvCnPr/>
                              <wps:spPr>
                                <a:xfrm>
                                  <a:off x="2029460" y="1765300"/>
                                  <a:ext cx="248285" cy="635"/>
                                </a:xfrm>
                                <a:prstGeom prst="straightConnector1">
                                  <a:avLst/>
                                </a:prstGeom>
                                <a:ln w="9525" cap="flat" cmpd="sng">
                                  <a:solidFill>
                                    <a:srgbClr val="000000"/>
                                  </a:solidFill>
                                  <a:prstDash val="solid"/>
                                  <a:headEnd type="none" w="med" len="med"/>
                                  <a:tailEnd type="triangle" w="med" len="med"/>
                                </a:ln>
                              </wps:spPr>
                              <wps:bodyPr/>
                            </wps:wsp>
                            <wps:wsp>
                              <wps:cNvPr id="93" name="矩形 110"/>
                              <wps:cNvSpPr/>
                              <wps:spPr>
                                <a:xfrm>
                                  <a:off x="2277745" y="1648460"/>
                                  <a:ext cx="479425" cy="25463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粉碎</w:t>
                                    </w:r>
                                  </w:p>
                                </w:txbxContent>
                              </wps:txbx>
                              <wps:bodyPr upright="1"/>
                            </wps:wsp>
                            <wps:wsp>
                              <wps:cNvPr id="94" name="直接箭头连接符 111"/>
                              <wps:cNvCnPr/>
                              <wps:spPr>
                                <a:xfrm>
                                  <a:off x="2757170" y="1765300"/>
                                  <a:ext cx="248285" cy="635"/>
                                </a:xfrm>
                                <a:prstGeom prst="straightConnector1">
                                  <a:avLst/>
                                </a:prstGeom>
                                <a:ln w="9525" cap="flat" cmpd="sng">
                                  <a:solidFill>
                                    <a:srgbClr val="000000"/>
                                  </a:solidFill>
                                  <a:prstDash val="solid"/>
                                  <a:headEnd type="none" w="med" len="med"/>
                                  <a:tailEnd type="triangle" w="med" len="med"/>
                                </a:ln>
                              </wps:spPr>
                              <wps:bodyPr/>
                            </wps:wsp>
                            <wps:wsp>
                              <wps:cNvPr id="95" name="矩形 112"/>
                              <wps:cNvSpPr/>
                              <wps:spPr>
                                <a:xfrm>
                                  <a:off x="2987040" y="1648460"/>
                                  <a:ext cx="475615"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混合</w:t>
                                    </w:r>
                                  </w:p>
                                </w:txbxContent>
                              </wps:txbx>
                              <wps:bodyPr upright="1"/>
                            </wps:wsp>
                            <wps:wsp>
                              <wps:cNvPr id="97" name="直接箭头连接符 113"/>
                              <wps:cNvCnPr/>
                              <wps:spPr>
                                <a:xfrm flipH="1">
                                  <a:off x="3246755" y="1364615"/>
                                  <a:ext cx="1270" cy="284480"/>
                                </a:xfrm>
                                <a:prstGeom prst="straightConnector1">
                                  <a:avLst/>
                                </a:prstGeom>
                                <a:ln w="9525" cap="flat" cmpd="sng">
                                  <a:solidFill>
                                    <a:srgbClr val="000000"/>
                                  </a:solidFill>
                                  <a:prstDash val="solid"/>
                                  <a:headEnd type="none" w="med" len="med"/>
                                  <a:tailEnd type="triangle" w="med" len="med"/>
                                </a:ln>
                              </wps:spPr>
                              <wps:bodyPr/>
                            </wps:wsp>
                            <wps:wsp>
                              <wps:cNvPr id="25" name="直接箭头连接符 116"/>
                              <wps:cNvCnPr/>
                              <wps:spPr>
                                <a:xfrm>
                                  <a:off x="3462655" y="1772285"/>
                                  <a:ext cx="248285" cy="1270"/>
                                </a:xfrm>
                                <a:prstGeom prst="straightConnector1">
                                  <a:avLst/>
                                </a:prstGeom>
                                <a:ln w="9525" cap="flat" cmpd="sng">
                                  <a:solidFill>
                                    <a:srgbClr val="000000"/>
                                  </a:solidFill>
                                  <a:prstDash val="solid"/>
                                  <a:headEnd type="none" w="med" len="med"/>
                                  <a:tailEnd type="triangle" w="med" len="med"/>
                                </a:ln>
                              </wps:spPr>
                              <wps:bodyPr/>
                            </wps:wsp>
                            <wps:wsp>
                              <wps:cNvPr id="27" name="矩形 117"/>
                              <wps:cNvSpPr/>
                              <wps:spPr>
                                <a:xfrm>
                                  <a:off x="3710940" y="1642110"/>
                                  <a:ext cx="483870"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制粒</w:t>
                                    </w:r>
                                  </w:p>
                                </w:txbxContent>
                              </wps:txbx>
                              <wps:bodyPr upright="1"/>
                            </wps:wsp>
                            <wps:wsp>
                              <wps:cNvPr id="28" name="直接箭头连接符 118"/>
                              <wps:cNvCnPr/>
                              <wps:spPr>
                                <a:xfrm>
                                  <a:off x="4194810" y="1770380"/>
                                  <a:ext cx="247015" cy="635"/>
                                </a:xfrm>
                                <a:prstGeom prst="straightConnector1">
                                  <a:avLst/>
                                </a:prstGeom>
                                <a:ln w="9525" cap="flat" cmpd="sng">
                                  <a:solidFill>
                                    <a:srgbClr val="000000"/>
                                  </a:solidFill>
                                  <a:prstDash val="solid"/>
                                  <a:headEnd type="none" w="med" len="med"/>
                                  <a:tailEnd type="triangle" w="med" len="med"/>
                                </a:ln>
                              </wps:spPr>
                              <wps:bodyPr/>
                            </wps:wsp>
                            <wps:wsp>
                              <wps:cNvPr id="129" name="矩形 120"/>
                              <wps:cNvSpPr/>
                              <wps:spPr>
                                <a:xfrm>
                                  <a:off x="4439285" y="1647825"/>
                                  <a:ext cx="467995"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冷却</w:t>
                                    </w:r>
                                  </w:p>
                                </w:txbxContent>
                              </wps:txbx>
                              <wps:bodyPr upright="1"/>
                            </wps:wsp>
                            <wps:wsp>
                              <wps:cNvPr id="31" name="矩形 121"/>
                              <wps:cNvSpPr/>
                              <wps:spPr>
                                <a:xfrm>
                                  <a:off x="3394710" y="2124075"/>
                                  <a:ext cx="467995"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成品</w:t>
                                    </w:r>
                                  </w:p>
                                </w:txbxContent>
                              </wps:txbx>
                              <wps:bodyPr upright="1"/>
                            </wps:wsp>
                            <wps:wsp>
                              <wps:cNvPr id="35" name="直接箭头连接符 125"/>
                              <wps:cNvCnPr/>
                              <wps:spPr>
                                <a:xfrm flipH="1">
                                  <a:off x="3246120" y="848995"/>
                                  <a:ext cx="635" cy="248285"/>
                                </a:xfrm>
                                <a:prstGeom prst="straightConnector1">
                                  <a:avLst/>
                                </a:prstGeom>
                                <a:ln w="9525" cap="flat" cmpd="sng">
                                  <a:solidFill>
                                    <a:srgbClr val="000000"/>
                                  </a:solidFill>
                                  <a:prstDash val="solid"/>
                                  <a:headEnd type="none" w="med" len="med"/>
                                  <a:tailEnd type="triangle" w="med" len="med"/>
                                </a:ln>
                              </wps:spPr>
                              <wps:bodyPr/>
                            </wps:wsp>
                            <wps:wsp>
                              <wps:cNvPr id="36" name="矩形 126"/>
                              <wps:cNvSpPr/>
                              <wps:spPr>
                                <a:xfrm>
                                  <a:off x="3024505" y="1081405"/>
                                  <a:ext cx="522605" cy="25336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配料</w:t>
                                    </w:r>
                                  </w:p>
                                </w:txbxContent>
                              </wps:txbx>
                              <wps:bodyPr upright="1"/>
                            </wps:wsp>
                            <wps:wsp>
                              <wps:cNvPr id="39" name="矩形 127"/>
                              <wps:cNvSpPr/>
                              <wps:spPr>
                                <a:xfrm>
                                  <a:off x="4402455" y="2133600"/>
                                  <a:ext cx="468630" cy="2540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包装</w:t>
                                    </w:r>
                                  </w:p>
                                </w:txbxContent>
                              </wps:txbx>
                              <wps:bodyPr upright="1"/>
                            </wps:wsp>
                            <wps:wsp>
                              <wps:cNvPr id="42" name="矩形 129"/>
                              <wps:cNvSpPr/>
                              <wps:spPr>
                                <a:xfrm>
                                  <a:off x="337820" y="1541145"/>
                                  <a:ext cx="876935" cy="254635"/>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8430</w:t>
                                    </w:r>
                                  </w:p>
                                </w:txbxContent>
                              </wps:txbx>
                              <wps:bodyPr upright="1"/>
                            </wps:wsp>
                            <wps:wsp>
                              <wps:cNvPr id="45" name="矩形 130"/>
                              <wps:cNvSpPr/>
                              <wps:spPr>
                                <a:xfrm>
                                  <a:off x="3274060" y="798195"/>
                                  <a:ext cx="876935" cy="254635"/>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1573.108</w:t>
                                    </w:r>
                                  </w:p>
                                </w:txbxContent>
                              </wps:txbx>
                              <wps:bodyPr upright="1"/>
                            </wps:wsp>
                            <wps:wsp>
                              <wps:cNvPr id="47" name="矩形 132"/>
                              <wps:cNvSpPr/>
                              <wps:spPr>
                                <a:xfrm>
                                  <a:off x="3749675" y="66675"/>
                                  <a:ext cx="518795" cy="254000"/>
                                </a:xfrm>
                                <a:prstGeom prst="rect">
                                  <a:avLst/>
                                </a:prstGeom>
                                <a:noFill/>
                                <a:ln>
                                  <a:noFill/>
                                </a:ln>
                              </wps:spPr>
                              <wps:txbx>
                                <w:txbxContent>
                                  <w:p>
                                    <w:r>
                                      <w:rPr>
                                        <w:rFonts w:hint="eastAsia"/>
                                      </w:rPr>
                                      <w:t>粉尘</w:t>
                                    </w:r>
                                  </w:p>
                                </w:txbxContent>
                              </wps:txbx>
                              <wps:bodyPr upright="1"/>
                            </wps:wsp>
                            <wps:wsp>
                              <wps:cNvPr id="48" name="矩形 133"/>
                              <wps:cNvSpPr/>
                              <wps:spPr>
                                <a:xfrm>
                                  <a:off x="3953510" y="854710"/>
                                  <a:ext cx="485775" cy="226060"/>
                                </a:xfrm>
                                <a:prstGeom prst="rect">
                                  <a:avLst/>
                                </a:prstGeom>
                                <a:noFill/>
                                <a:ln>
                                  <a:noFill/>
                                </a:ln>
                              </wps:spPr>
                              <wps:txbx>
                                <w:txbxContent>
                                  <w:p>
                                    <w:pPr>
                                      <w:rPr>
                                        <w:rFonts w:hint="default"/>
                                        <w:sz w:val="18"/>
                                        <w:szCs w:val="18"/>
                                        <w:lang w:val="en-US"/>
                                      </w:rPr>
                                    </w:pPr>
                                    <w:r>
                                      <w:rPr>
                                        <w:rFonts w:hint="eastAsia"/>
                                        <w:sz w:val="18"/>
                                        <w:szCs w:val="18"/>
                                        <w:lang w:val="en-US" w:eastAsia="zh-CN"/>
                                      </w:rPr>
                                      <w:t>0.004</w:t>
                                    </w:r>
                                  </w:p>
                                </w:txbxContent>
                              </wps:txbx>
                              <wps:bodyPr upright="1"/>
                            </wps:wsp>
                            <wps:wsp>
                              <wps:cNvPr id="49" name="矩形 134"/>
                              <wps:cNvSpPr/>
                              <wps:spPr>
                                <a:xfrm>
                                  <a:off x="3854450" y="2042160"/>
                                  <a:ext cx="814705" cy="254000"/>
                                </a:xfrm>
                                <a:prstGeom prst="rect">
                                  <a:avLst/>
                                </a:prstGeom>
                                <a:noFill/>
                                <a:ln>
                                  <a:noFill/>
                                </a:ln>
                              </wps:spPr>
                              <wps:txbx>
                                <w:txbxContent>
                                  <w:p>
                                    <w:pPr>
                                      <w:rPr>
                                        <w:rFonts w:hint="default"/>
                                        <w:sz w:val="18"/>
                                        <w:szCs w:val="18"/>
                                        <w:lang w:val="en-US"/>
                                      </w:rPr>
                                    </w:pPr>
                                    <w:r>
                                      <w:rPr>
                                        <w:rFonts w:hint="eastAsia"/>
                                        <w:sz w:val="18"/>
                                        <w:szCs w:val="18"/>
                                        <w:lang w:val="en-US" w:eastAsia="zh-CN"/>
                                      </w:rPr>
                                      <w:t>10000</w:t>
                                    </w:r>
                                  </w:p>
                                </w:txbxContent>
                              </wps:txbx>
                              <wps:bodyPr upright="1"/>
                            </wps:wsp>
                            <wps:wsp>
                              <wps:cNvPr id="51" name="直接箭头连接符 136"/>
                              <wps:cNvCnPr/>
                              <wps:spPr>
                                <a:xfrm>
                                  <a:off x="4667885" y="1906270"/>
                                  <a:ext cx="7620" cy="227330"/>
                                </a:xfrm>
                                <a:prstGeom prst="straightConnector1">
                                  <a:avLst/>
                                </a:prstGeom>
                                <a:ln w="9525" cap="flat" cmpd="sng">
                                  <a:solidFill>
                                    <a:srgbClr val="000000"/>
                                  </a:solidFill>
                                  <a:prstDash val="solid"/>
                                  <a:headEnd type="none" w="med" len="med"/>
                                  <a:tailEnd type="triangle" w="med" len="med"/>
                                </a:ln>
                              </wps:spPr>
                              <wps:bodyPr/>
                            </wps:wsp>
                            <wps:wsp>
                              <wps:cNvPr id="52" name="直接箭头连接符 140"/>
                              <wps:cNvCnPr/>
                              <wps:spPr>
                                <a:xfrm flipH="1">
                                  <a:off x="3854450" y="2230755"/>
                                  <a:ext cx="537210" cy="635"/>
                                </a:xfrm>
                                <a:prstGeom prst="straightConnector1">
                                  <a:avLst/>
                                </a:prstGeom>
                                <a:ln w="9525" cap="flat" cmpd="sng">
                                  <a:solidFill>
                                    <a:srgbClr val="000000"/>
                                  </a:solidFill>
                                  <a:prstDash val="solid"/>
                                  <a:headEnd type="none" w="med" len="med"/>
                                  <a:tailEnd type="triangle" w="med" len="med"/>
                                </a:ln>
                              </wps:spPr>
                              <wps:bodyPr/>
                            </wps:wsp>
                            <wps:wsp>
                              <wps:cNvPr id="55" name="直接箭头连接符 143"/>
                              <wps:cNvCnPr/>
                              <wps:spPr>
                                <a:xfrm flipH="1" flipV="1">
                                  <a:off x="3963035" y="325120"/>
                                  <a:ext cx="2540" cy="1289050"/>
                                </a:xfrm>
                                <a:prstGeom prst="straightConnector1">
                                  <a:avLst/>
                                </a:prstGeom>
                                <a:ln w="9525" cap="flat" cmpd="sng">
                                  <a:solidFill>
                                    <a:srgbClr val="000000"/>
                                  </a:solidFill>
                                  <a:prstDash val="dash"/>
                                  <a:headEnd type="none" w="med" len="med"/>
                                  <a:tailEnd type="triangle" w="med" len="med"/>
                                </a:ln>
                              </wps:spPr>
                              <wps:bodyPr/>
                            </wps:wsp>
                            <wps:wsp>
                              <wps:cNvPr id="58" name="直接箭头连接符 6"/>
                              <wps:cNvCnPr/>
                              <wps:spPr>
                                <a:xfrm>
                                  <a:off x="4613275" y="2421255"/>
                                  <a:ext cx="1270" cy="277495"/>
                                </a:xfrm>
                                <a:prstGeom prst="straightConnector1">
                                  <a:avLst/>
                                </a:prstGeom>
                                <a:ln w="9525" cap="flat" cmpd="sng">
                                  <a:solidFill>
                                    <a:srgbClr val="000000"/>
                                  </a:solidFill>
                                  <a:prstDash val="dash"/>
                                  <a:headEnd type="none" w="med" len="med"/>
                                  <a:tailEnd type="triangle" w="med" len="med"/>
                                </a:ln>
                              </wps:spPr>
                              <wps:bodyPr/>
                            </wps:wsp>
                            <wps:wsp>
                              <wps:cNvPr id="60" name="矩形 18"/>
                              <wps:cNvSpPr/>
                              <wps:spPr>
                                <a:xfrm>
                                  <a:off x="4061460" y="2680970"/>
                                  <a:ext cx="1066800" cy="254635"/>
                                </a:xfrm>
                                <a:prstGeom prst="rect">
                                  <a:avLst/>
                                </a:prstGeom>
                                <a:noFill/>
                                <a:ln>
                                  <a:noFill/>
                                </a:ln>
                              </wps:spPr>
                              <wps:txbx>
                                <w:txbxContent>
                                  <w:p>
                                    <w:pPr>
                                      <w:jc w:val="center"/>
                                      <w:rPr>
                                        <w:rFonts w:hint="default" w:eastAsia="宋体"/>
                                        <w:sz w:val="18"/>
                                        <w:szCs w:val="18"/>
                                        <w:lang w:val="en-US" w:eastAsia="zh-CN"/>
                                      </w:rPr>
                                    </w:pPr>
                                    <w:r>
                                      <w:rPr>
                                        <w:rFonts w:hint="eastAsia"/>
                                        <w:sz w:val="18"/>
                                        <w:szCs w:val="18"/>
                                        <w:lang w:val="en-US" w:eastAsia="zh-CN"/>
                                      </w:rPr>
                                      <w:t>粉尘</w:t>
                                    </w:r>
                                  </w:p>
                                </w:txbxContent>
                              </wps:txbx>
                              <wps:bodyPr upright="1"/>
                            </wps:wsp>
                            <wps:wsp>
                              <wps:cNvPr id="61" name="矩形 20"/>
                              <wps:cNvSpPr/>
                              <wps:spPr>
                                <a:xfrm>
                                  <a:off x="4075430" y="2440305"/>
                                  <a:ext cx="492760" cy="294005"/>
                                </a:xfrm>
                                <a:prstGeom prst="rect">
                                  <a:avLst/>
                                </a:prstGeom>
                                <a:noFill/>
                                <a:ln>
                                  <a:noFill/>
                                </a:ln>
                              </wps:spPr>
                              <wps:txbx>
                                <w:txbxContent>
                                  <w:p>
                                    <w:pPr>
                                      <w:jc w:val="center"/>
                                      <w:rPr>
                                        <w:sz w:val="18"/>
                                        <w:szCs w:val="18"/>
                                      </w:rPr>
                                    </w:pPr>
                                    <w:r>
                                      <w:rPr>
                                        <w:rFonts w:hint="eastAsia"/>
                                        <w:sz w:val="18"/>
                                        <w:szCs w:val="18"/>
                                        <w:lang w:val="en-US" w:eastAsia="zh-CN"/>
                                      </w:rPr>
                                      <w:t>0.04</w:t>
                                    </w:r>
                                  </w:p>
                                </w:txbxContent>
                              </wps:txbx>
                              <wps:bodyPr upright="1"/>
                            </wps:wsp>
                            <wps:wsp>
                              <wps:cNvPr id="135" name="矩形 132"/>
                              <wps:cNvSpPr/>
                              <wps:spPr>
                                <a:xfrm>
                                  <a:off x="2914015" y="589280"/>
                                  <a:ext cx="851535" cy="254000"/>
                                </a:xfrm>
                                <a:prstGeom prst="rect">
                                  <a:avLst/>
                                </a:prstGeom>
                                <a:noFill/>
                                <a:ln>
                                  <a:noFill/>
                                </a:ln>
                              </wps:spPr>
                              <wps:txbx>
                                <w:txbxContent>
                                  <w:p>
                                    <w:pPr>
                                      <w:rPr>
                                        <w:rFonts w:hint="eastAsia" w:eastAsia="宋体"/>
                                        <w:lang w:val="en-US" w:eastAsia="zh-CN"/>
                                      </w:rPr>
                                    </w:pPr>
                                    <w:r>
                                      <w:rPr>
                                        <w:rFonts w:hint="eastAsia"/>
                                        <w:lang w:val="en-US" w:eastAsia="zh-CN"/>
                                      </w:rPr>
                                      <w:t>其余辅料</w:t>
                                    </w:r>
                                  </w:p>
                                </w:txbxContent>
                              </wps:txbx>
                              <wps:bodyPr upright="1"/>
                            </wps:wsp>
                            <wps:wsp>
                              <wps:cNvPr id="136" name="直接箭头连接符 143"/>
                              <wps:cNvCnPr/>
                              <wps:spPr>
                                <a:xfrm flipV="1">
                                  <a:off x="1782445" y="1068070"/>
                                  <a:ext cx="6350" cy="562610"/>
                                </a:xfrm>
                                <a:prstGeom prst="straightConnector1">
                                  <a:avLst/>
                                </a:prstGeom>
                                <a:ln w="9525" cap="flat" cmpd="sng">
                                  <a:solidFill>
                                    <a:srgbClr val="000000"/>
                                  </a:solidFill>
                                  <a:prstDash val="dash"/>
                                  <a:headEnd type="none" w="med" len="med"/>
                                  <a:tailEnd type="triangle" w="med" len="med"/>
                                </a:ln>
                              </wps:spPr>
                              <wps:bodyPr/>
                            </wps:wsp>
                            <wps:wsp>
                              <wps:cNvPr id="137" name="矩形 132"/>
                              <wps:cNvSpPr/>
                              <wps:spPr>
                                <a:xfrm>
                                  <a:off x="1513205" y="779780"/>
                                  <a:ext cx="518795" cy="254000"/>
                                </a:xfrm>
                                <a:prstGeom prst="rect">
                                  <a:avLst/>
                                </a:prstGeom>
                                <a:noFill/>
                                <a:ln>
                                  <a:noFill/>
                                </a:ln>
                              </wps:spPr>
                              <wps:txbx>
                                <w:txbxContent>
                                  <w:p>
                                    <w:r>
                                      <w:rPr>
                                        <w:rFonts w:hint="eastAsia"/>
                                      </w:rPr>
                                      <w:t>粉尘</w:t>
                                    </w:r>
                                  </w:p>
                                </w:txbxContent>
                              </wps:txbx>
                              <wps:bodyPr upright="1"/>
                            </wps:wsp>
                            <wps:wsp>
                              <wps:cNvPr id="138" name="矩形 133"/>
                              <wps:cNvSpPr/>
                              <wps:spPr>
                                <a:xfrm>
                                  <a:off x="1808480" y="1256030"/>
                                  <a:ext cx="485775" cy="226060"/>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2.98</w:t>
                                    </w:r>
                                  </w:p>
                                </w:txbxContent>
                              </wps:txbx>
                              <wps:bodyPr upright="1"/>
                            </wps:wsp>
                            <wps:wsp>
                              <wps:cNvPr id="139" name="矩形 108"/>
                              <wps:cNvSpPr/>
                              <wps:spPr>
                                <a:xfrm>
                                  <a:off x="836930" y="1637030"/>
                                  <a:ext cx="464820" cy="2559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lang w:val="en-US" w:eastAsia="zh-CN"/>
                                      </w:rPr>
                                      <w:t>卸</w:t>
                                    </w:r>
                                    <w:r>
                                      <w:rPr>
                                        <w:rFonts w:hint="eastAsia"/>
                                      </w:rPr>
                                      <w:t>料</w:t>
                                    </w:r>
                                  </w:p>
                                </w:txbxContent>
                              </wps:txbx>
                              <wps:bodyPr upright="1"/>
                            </wps:wsp>
                            <wps:wsp>
                              <wps:cNvPr id="140" name="直接箭头连接符 109"/>
                              <wps:cNvCnPr/>
                              <wps:spPr>
                                <a:xfrm>
                                  <a:off x="1303655" y="1779905"/>
                                  <a:ext cx="248285" cy="635"/>
                                </a:xfrm>
                                <a:prstGeom prst="straightConnector1">
                                  <a:avLst/>
                                </a:prstGeom>
                                <a:ln w="9525" cap="flat" cmpd="sng">
                                  <a:solidFill>
                                    <a:srgbClr val="000000"/>
                                  </a:solidFill>
                                  <a:prstDash val="solid"/>
                                  <a:headEnd type="none" w="med" len="med"/>
                                  <a:tailEnd type="triangle" w="med" len="med"/>
                                </a:ln>
                              </wps:spPr>
                              <wps:bodyPr/>
                            </wps:wsp>
                            <wps:wsp>
                              <wps:cNvPr id="141" name="直接箭头连接符 143"/>
                              <wps:cNvCnPr/>
                              <wps:spPr>
                                <a:xfrm flipV="1">
                                  <a:off x="1075055" y="1056005"/>
                                  <a:ext cx="6350" cy="562610"/>
                                </a:xfrm>
                                <a:prstGeom prst="straightConnector1">
                                  <a:avLst/>
                                </a:prstGeom>
                                <a:ln w="9525" cap="flat" cmpd="sng">
                                  <a:solidFill>
                                    <a:srgbClr val="000000"/>
                                  </a:solidFill>
                                  <a:prstDash val="dash"/>
                                  <a:headEnd type="none" w="med" len="med"/>
                                  <a:tailEnd type="triangle" w="med" len="med"/>
                                </a:ln>
                              </wps:spPr>
                              <wps:bodyPr/>
                            </wps:wsp>
                            <wps:wsp>
                              <wps:cNvPr id="142" name="矩形 132"/>
                              <wps:cNvSpPr/>
                              <wps:spPr>
                                <a:xfrm>
                                  <a:off x="846455" y="779780"/>
                                  <a:ext cx="518795" cy="254000"/>
                                </a:xfrm>
                                <a:prstGeom prst="rect">
                                  <a:avLst/>
                                </a:prstGeom>
                                <a:noFill/>
                                <a:ln>
                                  <a:noFill/>
                                </a:ln>
                              </wps:spPr>
                              <wps:txbx>
                                <w:txbxContent>
                                  <w:p>
                                    <w:r>
                                      <w:rPr>
                                        <w:rFonts w:hint="eastAsia"/>
                                      </w:rPr>
                                      <w:t>粉尘</w:t>
                                    </w:r>
                                  </w:p>
                                </w:txbxContent>
                              </wps:txbx>
                              <wps:bodyPr upright="1"/>
                            </wps:wsp>
                            <wps:wsp>
                              <wps:cNvPr id="143" name="矩形 133"/>
                              <wps:cNvSpPr/>
                              <wps:spPr>
                                <a:xfrm>
                                  <a:off x="1065530" y="1265555"/>
                                  <a:ext cx="485775" cy="226060"/>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0.084</w:t>
                                    </w:r>
                                  </w:p>
                                </w:txbxContent>
                              </wps:txbx>
                              <wps:bodyPr upright="1"/>
                            </wps:wsp>
                          </wpc:wpc>
                        </a:graphicData>
                      </a:graphic>
                    </wp:inline>
                  </w:drawing>
                </mc:Choice>
                <mc:Fallback>
                  <w:pict>
                    <v:group id="_x0000_s1026" o:spid="_x0000_s1026" o:spt="203" style="height:246.6pt;width:480.1pt;" coordsize="6097270,3131820" editas="canvas"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">
                      <o:lock v:ext="edit" aspectratio="f"/>
                      <v:shape id="_x0000_s1026" o:spid="_x0000_s1026" style="position:absolute;left:0;top:0;height:3131820;width:6097270;"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">
                        <v:fill on="f" focussize="0,0"/>
                        <v:stroke on="f"/>
                        <v:imagedata o:title=""/>
                        <o:lock v:ext="edit" aspectratio="t"/>
                      </v:shape>
                      <v:rect id="矩形 106" o:spid="_x0000_s1026" o:spt="1" style="position:absolute;left:47625;top:1636395;height:562610;width:58229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dlrbX&#10;1wAAAAUBAAAPAAAAAAAAAAEAIAAAACIAAABkcnMvZG93bnJldi54bWxQSwECFAAUAAAACACHTuJA&#10;G+KH87ABAABMAwAADgAAAAAAAAABACAAAAAmAQAAZHJzL2Uyb0RvYy54bWxQSwUGAAAAAAYABgBZ&#10;AQAASAUAAAAA&#10;">
                        <v:fill on="f" focussize="0,0"/>
                        <v:stroke on="f"/>
                        <v:imagedata o:title=""/>
                        <o:lock v:ext="edit" aspectratio="f"/>
                        <v:textbox>
                          <w:txbxContent>
                            <w:p>
                              <w:r>
                                <w:rPr>
                                  <w:rFonts w:hint="eastAsia"/>
                                </w:rPr>
                                <w:t>玉米、粕类</w:t>
                              </w:r>
                            </w:p>
                          </w:txbxContent>
                        </v:textbox>
                      </v:rect>
                      <v:shape id="直接箭头连接符 107" o:spid="_x0000_s1026" o:spt="32" type="#_x0000_t32" style="position:absolute;left:493395;top:1772920;height:0;width:361950;" filled="f" stroked="t" coordsize="21600,21600" o:gfxdata="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opRstcAAAAFAQAADwAAAAAA&#10;AAABACAAAAAiAAAAZHJzL2Rvd25yZXYueG1sUEsBAhQAFAAAAAgAh07iQDsFVUoUAgAA/QMAAA4A&#10;AAAAAAAAAQAgAAAAJgEAAGRycy9lMm9Eb2MueG1sUEsFBgAAAAAGAAYAWQEAAKwFAAAAAA==&#10;">
                        <v:fill on="f" focussize="0,0"/>
                        <v:stroke color="#000000" joinstyle="round" endarrow="block"/>
                        <v:imagedata o:title=""/>
                        <o:lock v:ext="edit" aspectratio="f"/>
                      </v:shape>
                      <v:rect id="矩形 108" o:spid="_x0000_s1026" o:spt="1" style="position:absolute;left:1540510;top:1637665;height:255905;width:464820;" fillcolor="#FFFFFF" filled="t" stroked="t" coordsize="21600,21600" o:gfxdata="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2PasAtUAAAAFAQAADwAAAAAAAAABACAA&#10;AAAiAAAAZHJzL2Rvd25yZXYueG1sUEsBAhQAFAAAAAgAh07iQFnqyAgQAgAANwQAAA4AAAAAAAAA&#10;AQAgAAAAJAEAAGRycy9lMm9Eb2MueG1sUEsFBgAAAAAGAAYAWQEAAKYFAAAAAA==&#10;">
                        <v:fill on="t" focussize="0,0"/>
                        <v:stroke color="#000000" joinstyle="miter"/>
                        <v:imagedata o:title=""/>
                        <o:lock v:ext="edit" aspectratio="f"/>
                        <v:textbox>
                          <w:txbxContent>
                            <w:p>
                              <w:pPr>
                                <w:rPr>
                                  <w:rFonts w:hint="eastAsia"/>
                                </w:rPr>
                              </w:pPr>
                              <w:r>
                                <w:rPr>
                                  <w:rFonts w:hint="eastAsia"/>
                                </w:rPr>
                                <w:t>投料</w:t>
                              </w:r>
                            </w:p>
                          </w:txbxContent>
                        </v:textbox>
                      </v:rect>
                      <v:shape id="直接箭头连接符 109" o:spid="_x0000_s1026" o:spt="32" type="#_x0000_t32" style="position:absolute;left:2029460;top:1765300;height:635;width:248285;" filled="f" stroked="t" coordsize="21600,21600" o:gfxdata="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qilGy1wAAAAUBAAAPAAAAAAAA&#10;AAEAIAAAACIAAABkcnMvZG93bnJldi54bWxQSwECFAAUAAAACACHTuJAZXSgcBMCAAAABAAADgAA&#10;AAAAAAABACAAAAAmAQAAZHJzL2Uyb0RvYy54bWxQSwUGAAAAAAYABgBZAQAAqwUAAAAA&#10;">
                        <v:fill on="f" focussize="0,0"/>
                        <v:stroke color="#000000" joinstyle="round" endarrow="block"/>
                        <v:imagedata o:title=""/>
                        <o:lock v:ext="edit" aspectratio="f"/>
                      </v:shape>
                      <v:rect id="矩形 110" o:spid="_x0000_s1026" o:spt="1" style="position:absolute;left:2277745;top:1648460;height:254635;width:479425;" fillcolor="#FFFFFF" filled="t" stroked="t" coordsize="21600,21600" o:gfxdata="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j2rALVAAAABQEAAA8AAAAAAAAAAQAgAAAA&#10;IgAAAGRycy9kb3ducmV2LnhtbFBLAQIUABQAAAAIAIdO4kBe0SvrDgIAADcEAAAOAAAAAAAAAAEA&#10;IAAAACQBAABkcnMvZTJvRG9jLnhtbFBLBQYAAAAABgAGAFkBAACkBQAAAAA=&#10;">
                        <v:fill on="t" focussize="0,0"/>
                        <v:stroke color="#000000" joinstyle="miter"/>
                        <v:imagedata o:title=""/>
                        <o:lock v:ext="edit" aspectratio="f"/>
                        <v:textbox>
                          <w:txbxContent>
                            <w:p>
                              <w:r>
                                <w:rPr>
                                  <w:rFonts w:hint="eastAsia"/>
                                </w:rPr>
                                <w:t>粉碎</w:t>
                              </w:r>
                            </w:p>
                          </w:txbxContent>
                        </v:textbox>
                      </v:rect>
                      <v:shape id="直接箭头连接符 111" o:spid="_x0000_s1026" o:spt="32" type="#_x0000_t32" style="position:absolute;left:2757170;top:1765300;height:635;width:248285;" filled="f" stroked="t" coordsize="21600,21600" o:gfxdata="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qilGy1wAAAAUBAAAPAAAAAAAA&#10;AAEAIAAAACIAAABkcnMvZG93bnJldi54bWxQSwECFAAUAAAACACHTuJAHXqcixMCAAAABAAADgAA&#10;AAAAAAABACAAAAAmAQAAZHJzL2Uyb0RvYy54bWxQSwUGAAAAAAYABgBZAQAAqwUAAAAA&#10;">
                        <v:fill on="f" focussize="0,0"/>
                        <v:stroke color="#000000" joinstyle="round" endarrow="block"/>
                        <v:imagedata o:title=""/>
                        <o:lock v:ext="edit" aspectratio="f"/>
                      </v:shape>
                      <v:rect id="矩形 112" o:spid="_x0000_s1026" o:spt="1" style="position:absolute;left:2987040;top:1648460;height:254000;width:475615;" fillcolor="#FFFFFF" filled="t" stroked="t" coordsize="21600,21600" o:gfxdata="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2PasAtUAAAAFAQAADwAAAAAAAAABACAA&#10;AAAiAAAAZHJzL2Rvd25yZXYueG1sUEsBAhQAFAAAAAgAh07iQKgSdUoQAgAANwQAAA4AAAAAAAAA&#10;AQAgAAAAJAEAAGRycy9lMm9Eb2MueG1sUEsFBgAAAAAGAAYAWQEAAKYFAAAAAA==&#10;">
                        <v:fill on="t" focussize="0,0"/>
                        <v:stroke color="#000000" joinstyle="miter"/>
                        <v:imagedata o:title=""/>
                        <o:lock v:ext="edit" aspectratio="f"/>
                        <v:textbox>
                          <w:txbxContent>
                            <w:p>
                              <w:r>
                                <w:rPr>
                                  <w:rFonts w:hint="eastAsia"/>
                                </w:rPr>
                                <w:t>混合</w:t>
                              </w:r>
                            </w:p>
                          </w:txbxContent>
                        </v:textbox>
                      </v:rect>
                      <v:shape id="直接箭头连接符 113" o:spid="_x0000_s1026" o:spt="32" type="#_x0000_t32" style="position:absolute;left:3246755;top:1364615;flip:x;height:284480;width:1270;" filled="f" stroked="t" coordsize="21600,21600" o:gfxdata="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FoWeczWAAAA&#10;BQEAAA8AAAAAAAAAAQAgAAAAIgAAAGRycy9kb3ducmV2LnhtbFBLAQIUABQAAAAIAIdO4kDeFfh5&#10;HwIAAAsEAAAOAAAAAAAAAAEAIAAAACUBAABkcnMvZTJvRG9jLnhtbFBLBQYAAAAABgAGAFkBAAC2&#10;BQAAAAA=&#10;">
                        <v:fill on="f" focussize="0,0"/>
                        <v:stroke color="#000000" joinstyle="round" endarrow="block"/>
                        <v:imagedata o:title=""/>
                        <o:lock v:ext="edit" aspectratio="f"/>
                      </v:shape>
                      <v:shape id="直接箭头连接符 116" o:spid="_x0000_s1026" o:spt="32" type="#_x0000_t32" style="position:absolute;left:3462655;top:1772285;height:1270;width:248285;" filled="f" stroked="t" coordsize="21600,21600" o:gfxdata="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qKUbLXAAAABQEAAA8AAAAA&#10;AAAAAQAgAAAAIgAAAGRycy9kb3ducmV2LnhtbFBLAQIUABQAAAAIAIdO4kAbyBjUFQIAAAEEAAAO&#10;AAAAAAAAAAEAIAAAACYBAABkcnMvZTJvRG9jLnhtbFBLBQYAAAAABgAGAFkBAACtBQAAAAA=&#10;">
                        <v:fill on="f" focussize="0,0"/>
                        <v:stroke color="#000000" joinstyle="round" endarrow="block"/>
                        <v:imagedata o:title=""/>
                        <o:lock v:ext="edit" aspectratio="f"/>
                      </v:shape>
                      <v:rect id="矩形 117" o:spid="_x0000_s1026" o:spt="1" style="position:absolute;left:3710940;top:1642110;height:254000;width:483870;" fillcolor="#FFFFFF" filled="t" stroked="t" coordsize="21600,21600" o:gfxdata="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2PasAtUAAAAFAQAADwAAAAAAAAAB&#10;ACAAAAAiAAAAZHJzL2Rvd25yZXYueG1sUEsBAhQAFAAAAAgAh07iQOGuOQITAgAANwQAAA4AAAAA&#10;AAAAAQAgAAAAJAEAAGRycy9lMm9Eb2MueG1sUEsFBgAAAAAGAAYAWQEAAKkFAAAAAA==&#10;">
                        <v:fill on="t" focussize="0,0"/>
                        <v:stroke color="#000000" joinstyle="miter"/>
                        <v:imagedata o:title=""/>
                        <o:lock v:ext="edit" aspectratio="f"/>
                        <v:textbox>
                          <w:txbxContent>
                            <w:p>
                              <w:r>
                                <w:rPr>
                                  <w:rFonts w:hint="eastAsia"/>
                                </w:rPr>
                                <w:t>制粒</w:t>
                              </w:r>
                            </w:p>
                          </w:txbxContent>
                        </v:textbox>
                      </v:rect>
                      <v:shape id="直接箭头连接符 118" o:spid="_x0000_s1026" o:spt="32" type="#_x0000_t32" style="position:absolute;left:4194810;top:1770380;height:635;width:247015;" filled="f" stroked="t" coordsize="21600,21600" o:gfxdata="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qKUbLXAAAABQEAAA8AAAAA&#10;AAAAAQAgAAAAIgAAAGRycy9kb3ducmV2LnhtbFBLAQIUABQAAAAIAIdO4kAoMg4sFQIAAAAEAAAO&#10;AAAAAAAAAAEAIAAAACYBAABkcnMvZTJvRG9jLnhtbFBLBQYAAAAABgAGAFkBAACtBQAAAAA=&#10;">
                        <v:fill on="f" focussize="0,0"/>
                        <v:stroke color="#000000" joinstyle="round" endarrow="block"/>
                        <v:imagedata o:title=""/>
                        <o:lock v:ext="edit" aspectratio="f"/>
                      </v:shape>
                      <v:rect id="矩形 120" o:spid="_x0000_s1026" o:spt="1" style="position:absolute;left:4439285;top:1647825;height:254000;width:467995;" fillcolor="#FFFFFF" filled="t" stroked="t" coordsize="21600,21600" o:gfxdata="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j2rALVAAAABQEAAA8AAAAAAAAAAQAg&#10;AAAAIgAAAGRycy9kb3ducmV2LnhtbFBLAQIUABQAAAAIAIdO4kBzvG/XEQIAADgEAAAOAAAAAAAA&#10;AAEAIAAAACQBAABkcnMvZTJvRG9jLnhtbFBLBQYAAAAABgAGAFkBAACnBQAAAAA=&#10;">
                        <v:fill on="t" focussize="0,0"/>
                        <v:stroke color="#000000" joinstyle="miter"/>
                        <v:imagedata o:title=""/>
                        <o:lock v:ext="edit" aspectratio="f"/>
                        <v:textbox>
                          <w:txbxContent>
                            <w:p>
                              <w:r>
                                <w:rPr>
                                  <w:rFonts w:hint="eastAsia"/>
                                </w:rPr>
                                <w:t>冷却</w:t>
                              </w:r>
                            </w:p>
                          </w:txbxContent>
                        </v:textbox>
                      </v:rect>
                      <v:rect id="矩形 121" o:spid="_x0000_s1026" o:spt="1" style="position:absolute;left:3394710;top:2124075;height:254000;width:467995;" fillcolor="#FFFFFF" filled="t" stroked="t" coordsize="21600,21600" o:gfxdata="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j2rALVAAAABQEAAA8AAAAAAAAAAQAg&#10;AAAAIgAAAGRycy9kb3ducmV2LnhtbFBLAQIUABQAAAAIAIdO4kDmNeIIEQIAADcEAAAOAAAAAAAA&#10;AAEAIAAAACQBAABkcnMvZTJvRG9jLnhtbFBLBQYAAAAABgAGAFkBAACnBQAAAAA=&#10;">
                        <v:fill on="t" focussize="0,0"/>
                        <v:stroke color="#000000" joinstyle="miter"/>
                        <v:imagedata o:title=""/>
                        <o:lock v:ext="edit" aspectratio="f"/>
                        <v:textbox>
                          <w:txbxContent>
                            <w:p>
                              <w:r>
                                <w:rPr>
                                  <w:rFonts w:hint="eastAsia"/>
                                </w:rPr>
                                <w:t>成品</w:t>
                              </w:r>
                            </w:p>
                          </w:txbxContent>
                        </v:textbox>
                      </v:rect>
                      <v:shape id="直接箭头连接符 125" o:spid="_x0000_s1026" o:spt="32" type="#_x0000_t32" style="position:absolute;left:3246120;top:848995;flip:x;height:248285;width:635;" filled="f" stroked="t" coordsize="21600,21600" o:gfxdata="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oWeczWAAAABQEA&#10;AA8AAAAAAAAAAQAgAAAAIgAAAGRycy9kb3ducmV2LnhtbFBLAQIUABQAAAAIAIdO4kDNO7YuHAIA&#10;AAkEAAAOAAAAAAAAAAEAIAAAACUBAABkcnMvZTJvRG9jLnhtbFBLBQYAAAAABgAGAFkBAACzBQAA&#10;AAA=&#10;">
                        <v:fill on="f" focussize="0,0"/>
                        <v:stroke color="#000000" joinstyle="round" endarrow="block"/>
                        <v:imagedata o:title=""/>
                        <o:lock v:ext="edit" aspectratio="f"/>
                      </v:shape>
                      <v:rect id="矩形 126" o:spid="_x0000_s1026" o:spt="1" style="position:absolute;left:3024505;top:1081405;height:253365;width:522605;" fillcolor="#FFFFFF" filled="t" stroked="t" coordsize="21600,21600" o:gfxdata="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2PasAtUAAAAFAQAADwAAAAAAAAABACAAAAAi&#10;AAAAZHJzL2Rvd25yZXYueG1sUEsBAhQAFAAAAAgAh07iQIUBeFcNAgAANwQAAA4AAAAAAAAAAQAg&#10;AAAAJAEAAGRycy9lMm9Eb2MueG1sUEsFBgAAAAAGAAYAWQEAAKMFAAAAAA==&#10;">
                        <v:fill on="t" focussize="0,0"/>
                        <v:stroke color="#000000" joinstyle="miter"/>
                        <v:imagedata o:title=""/>
                        <o:lock v:ext="edit" aspectratio="f"/>
                        <v:textbox>
                          <w:txbxContent>
                            <w:p>
                              <w:r>
                                <w:rPr>
                                  <w:rFonts w:hint="eastAsia"/>
                                </w:rPr>
                                <w:t>配料</w:t>
                              </w:r>
                            </w:p>
                          </w:txbxContent>
                        </v:textbox>
                      </v:rect>
                      <v:rect id="矩形 127" o:spid="_x0000_s1026" o:spt="1" style="position:absolute;left:4402455;top:2133600;height:254000;width:468630;" fillcolor="#FFFFFF" filled="t" stroked="t" coordsize="21600,21600" o:gfxdata="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j2rALVAAAABQEAAA8AAAAAAAAAAQAg&#10;AAAAIgAAAGRycy9kb3ducmV2LnhtbFBLAQIUABQAAAAIAIdO4kD4Y2Q1EQIAADcEAAAOAAAAAAAA&#10;AAEAIAAAACQBAABkcnMvZTJvRG9jLnhtbFBLBQYAAAAABgAGAFkBAACnBQAAAAA=&#10;">
                        <v:fill on="t" focussize="0,0"/>
                        <v:stroke color="#000000" joinstyle="miter"/>
                        <v:imagedata o:title=""/>
                        <o:lock v:ext="edit" aspectratio="f"/>
                        <v:textbox>
                          <w:txbxContent>
                            <w:p>
                              <w:r>
                                <w:rPr>
                                  <w:rFonts w:hint="eastAsia"/>
                                </w:rPr>
                                <w:t>包装</w:t>
                              </w:r>
                            </w:p>
                          </w:txbxContent>
                        </v:textbox>
                      </v:rect>
                      <v:rect id="矩形 129" o:spid="_x0000_s1026" o:spt="1" style="position:absolute;left:337820;top:1541145;height:254635;width:87693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B2W&#10;ttfXAAAABQEAAA8AAAAAAAAAAQAgAAAAIgAAAGRycy9kb3ducmV2LnhtbFBLAQIUABQAAAAIAIdO&#10;4kDcHufTsgEAAE4DAAAOAAAAAAAAAAEAIAAAACYBAABkcnMvZTJvRG9jLnhtbFBLBQYAAAAABgAG&#10;AFkBAABKBQ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8430</w:t>
                              </w:r>
                            </w:p>
                          </w:txbxContent>
                        </v:textbox>
                      </v:rect>
                      <v:rect id="矩形 130" o:spid="_x0000_s1026" o:spt="1" style="position:absolute;left:3274060;top:798195;height:254635;width:87693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2WttfX&#10;AAAABQEAAA8AAAAAAAAAAQAgAAAAIgAAAGRycy9kb3ducmV2LnhtbFBLAQIUABQAAAAIAIdO4kAw&#10;NknmrwEAAE4DAAAOAAAAAAAAAAEAIAAAACYBAABkcnMvZTJvRG9jLnhtbFBLBQYAAAAABgAGAFkB&#10;AABHBQ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1573.108</w:t>
                              </w:r>
                            </w:p>
                          </w:txbxContent>
                        </v:textbox>
                      </v:rect>
                      <v:rect id="矩形 132" o:spid="_x0000_s1026" o:spt="1" style="position:absolute;left:3749675;top:66675;height:254000;width:51879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HZa219cA&#10;AAAFAQAADwAAAAAAAAABACAAAAAiAAAAZHJzL2Rvd25yZXYueG1sUEsBAhQAFAAAAAgAh07iQOBg&#10;qa6uAQAATQMAAA4AAAAAAAAAAQAgAAAAJgEAAGRycy9lMm9Eb2MueG1sUEsFBgAAAAAGAAYAWQEA&#10;AEYFAAAAAA==&#10;">
                        <v:fill on="f" focussize="0,0"/>
                        <v:stroke on="f"/>
                        <v:imagedata o:title=""/>
                        <o:lock v:ext="edit" aspectratio="f"/>
                        <v:textbox>
                          <w:txbxContent>
                            <w:p>
                              <w:r>
                                <w:rPr>
                                  <w:rFonts w:hint="eastAsia"/>
                                </w:rPr>
                                <w:t>粉尘</w:t>
                              </w:r>
                            </w:p>
                          </w:txbxContent>
                        </v:textbox>
                      </v:rect>
                      <v:rect id="矩形 133" o:spid="_x0000_s1026" o:spt="1" style="position:absolute;left:3953510;top:854710;height:226060;width:48577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HZa2&#10;19cAAAAFAQAADwAAAAAAAAABACAAAAAiAAAAZHJzL2Rvd25yZXYueG1sUEsBAhQAFAAAAAgAh07i&#10;QGzLlcuxAQAATgMAAA4AAAAAAAAAAQAgAAAAJgEAAGRycy9lMm9Eb2MueG1sUEsFBgAAAAAGAAYA&#10;WQEAAEkFAAAAAA==&#10;">
                        <v:fill on="f" focussize="0,0"/>
                        <v:stroke on="f"/>
                        <v:imagedata o:title=""/>
                        <o:lock v:ext="edit" aspectratio="f"/>
                        <v:textbox>
                          <w:txbxContent>
                            <w:p>
                              <w:pPr>
                                <w:rPr>
                                  <w:rFonts w:hint="default"/>
                                  <w:sz w:val="18"/>
                                  <w:szCs w:val="18"/>
                                  <w:lang w:val="en-US"/>
                                </w:rPr>
                              </w:pPr>
                              <w:r>
                                <w:rPr>
                                  <w:rFonts w:hint="eastAsia"/>
                                  <w:sz w:val="18"/>
                                  <w:szCs w:val="18"/>
                                  <w:lang w:val="en-US" w:eastAsia="zh-CN"/>
                                </w:rPr>
                                <w:t>0.004</w:t>
                              </w:r>
                            </w:p>
                          </w:txbxContent>
                        </v:textbox>
                      </v:rect>
                      <v:rect id="矩形 134" o:spid="_x0000_s1026" o:spt="1" style="position:absolute;left:3854450;top:2042160;height:254000;width:81470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HZa2&#10;19cAAAAFAQAADwAAAAAAAAABACAAAAAiAAAAZHJzL2Rvd25yZXYueG1sUEsBAhQAFAAAAAgAh07i&#10;QB852KSxAQAATwMAAA4AAAAAAAAAAQAgAAAAJgEAAGRycy9lMm9Eb2MueG1sUEsFBgAAAAAGAAYA&#10;WQEAAEkFAAAAAA==&#10;">
                        <v:fill on="f" focussize="0,0"/>
                        <v:stroke on="f"/>
                        <v:imagedata o:title=""/>
                        <o:lock v:ext="edit" aspectratio="f"/>
                        <v:textbox>
                          <w:txbxContent>
                            <w:p>
                              <w:pPr>
                                <w:rPr>
                                  <w:rFonts w:hint="default"/>
                                  <w:sz w:val="18"/>
                                  <w:szCs w:val="18"/>
                                  <w:lang w:val="en-US"/>
                                </w:rPr>
                              </w:pPr>
                              <w:r>
                                <w:rPr>
                                  <w:rFonts w:hint="eastAsia"/>
                                  <w:sz w:val="18"/>
                                  <w:szCs w:val="18"/>
                                  <w:lang w:val="en-US" w:eastAsia="zh-CN"/>
                                </w:rPr>
                                <w:t>10000</w:t>
                              </w:r>
                            </w:p>
                          </w:txbxContent>
                        </v:textbox>
                      </v:rect>
                      <v:shape id="直接箭头连接符 136" o:spid="_x0000_s1026" o:spt="32" type="#_x0000_t32" style="position:absolute;left:4667885;top:1906270;height:227330;width:7620;" filled="f" stroked="t" coordsize="21600,21600" o:gfxdata="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qKUbLXAAAABQEAAA8A&#10;AAAAAAAAAQAgAAAAIgAAAGRycy9kb3ducmV2LnhtbFBLAQIUABQAAAAIAIdO4kBLTL6iGAIAAAEE&#10;AAAOAAAAAAAAAAEAIAAAACYBAABkcnMvZTJvRG9jLnhtbFBLBQYAAAAABgAGAFkBAACwBQAAAAA=&#10;">
                        <v:fill on="f" focussize="0,0"/>
                        <v:stroke color="#000000" joinstyle="round" endarrow="block"/>
                        <v:imagedata o:title=""/>
                        <o:lock v:ext="edit" aspectratio="f"/>
                      </v:shape>
                      <v:shape id="直接箭头连接符 140" o:spid="_x0000_s1026" o:spt="32" type="#_x0000_t32" style="position:absolute;left:3854450;top:2230755;flip:x;height:635;width:537210;" filled="f" stroked="t" coordsize="21600,21600" o:gfxdata="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FnnM1gAAAAUB&#10;AAAPAAAAAAAAAAEAIAAAACIAAABkcnMvZG93bnJldi54bWxQSwECFAAUAAAACACHTuJAG/2glB0C&#10;AAAKBAAADgAAAAAAAAABACAAAAAlAQAAZHJzL2Uyb0RvYy54bWxQSwUGAAAAAAYABgBZAQAAtAUA&#10;AAAA&#10;">
                        <v:fill on="f" focussize="0,0"/>
                        <v:stroke color="#000000" joinstyle="round" endarrow="block"/>
                        <v:imagedata o:title=""/>
                        <o:lock v:ext="edit" aspectratio="f"/>
                      </v:shape>
                      <v:shape id="直接箭头连接符 143" o:spid="_x0000_s1026" o:spt="32" type="#_x0000_t32" style="position:absolute;left:3963035;top:325120;flip:x y;height:1289050;width:2540;" filled="f" stroked="t" coordsize="21600,21600" o:gfxdata="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x0&#10;g6/YAAAABQEAAA8AAAAAAAAAAQAgAAAAIgAAAGRycy9kb3ducmV2LnhtbFBLAQIUABQAAAAIAIdO&#10;4kDa0AP2IwIAABQEAAAOAAAAAAAAAAEAIAAAACcBAABkcnMvZTJvRG9jLnhtbFBLBQYAAAAABgAG&#10;AFkBAAC8BQAAAAA=&#10;">
                        <v:fill on="f" focussize="0,0"/>
                        <v:stroke color="#000000" joinstyle="round" dashstyle="dash" endarrow="block"/>
                        <v:imagedata o:title=""/>
                        <o:lock v:ext="edit" aspectratio="f"/>
                      </v:shape>
                      <v:shape id="直接箭头连接符 6" o:spid="_x0000_s1026" o:spt="32" type="#_x0000_t32" style="position:absolute;left:4613275;top:2421255;height:277495;width:1270;" filled="f" stroked="t" coordsize="21600,21600" o:gfxdata="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1VYknTAAAABQEAAA8AAAAAAAAA&#10;AQAgAAAAIgAAAGRycy9kb3ducmV2LnhtbFBLAQIUABQAAAAIAIdO4kA8br9oFgIAAP4DAAAOAAAA&#10;AAAAAAEAIAAAACIBAABkcnMvZTJvRG9jLnhtbFBLBQYAAAAABgAGAFkBAACqBQAAAAA=&#10;">
                        <v:fill on="f" focussize="0,0"/>
                        <v:stroke color="#000000" joinstyle="round" dashstyle="dash" endarrow="block"/>
                        <v:imagedata o:title=""/>
                        <o:lock v:ext="edit" aspectratio="f"/>
                      </v:shape>
                      <v:rect id="矩形 18" o:spid="_x0000_s1026" o:spt="1" style="position:absolute;left:4061460;top:2680970;height:254635;width:1066800;"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HZa219cA&#10;AAAFAQAADwAAAAAAAAABACAAAAAiAAAAZHJzL2Rvd25yZXYueG1sUEsBAhQAFAAAAAgAh07iQIfh&#10;o0muAQAATwMAAA4AAAAAAAAAAQAgAAAAJgEAAGRycy9lMm9Eb2MueG1sUEsFBgAAAAAGAAYAWQEA&#10;AEYFAAAAAA==&#10;">
                        <v:fill on="f" focussize="0,0"/>
                        <v:stroke on="f"/>
                        <v:imagedata o:title=""/>
                        <o:lock v:ext="edit" aspectratio="f"/>
                        <v:textbox>
                          <w:txbxContent>
                            <w:p>
                              <w:pPr>
                                <w:jc w:val="center"/>
                                <w:rPr>
                                  <w:rFonts w:hint="default" w:eastAsia="宋体"/>
                                  <w:sz w:val="18"/>
                                  <w:szCs w:val="18"/>
                                  <w:lang w:val="en-US" w:eastAsia="zh-CN"/>
                                </w:rPr>
                              </w:pPr>
                              <w:r>
                                <w:rPr>
                                  <w:rFonts w:hint="eastAsia"/>
                                  <w:sz w:val="18"/>
                                  <w:szCs w:val="18"/>
                                  <w:lang w:val="en-US" w:eastAsia="zh-CN"/>
                                </w:rPr>
                                <w:t>粉尘</w:t>
                              </w:r>
                            </w:p>
                          </w:txbxContent>
                        </v:textbox>
                      </v:rect>
                      <v:rect id="矩形 20" o:spid="_x0000_s1026" o:spt="1" style="position:absolute;left:4075430;top:2440305;height:294005;width:492760;"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HZa219cA&#10;AAAFAQAADwAAAAAAAAABACAAAAAiAAAAZHJzL2Rvd25yZXYueG1sUEsBAhQAFAAAAAgAh07iQCo6&#10;kwWuAQAATgMAAA4AAAAAAAAAAQAgAAAAJgEAAGRycy9lMm9Eb2MueG1sUEsFBgAAAAAGAAYAWQEA&#10;AEYFAAAAAA==&#10;">
                        <v:fill on="f" focussize="0,0"/>
                        <v:stroke on="f"/>
                        <v:imagedata o:title=""/>
                        <o:lock v:ext="edit" aspectratio="f"/>
                        <v:textbox>
                          <w:txbxContent>
                            <w:p>
                              <w:pPr>
                                <w:jc w:val="center"/>
                                <w:rPr>
                                  <w:sz w:val="18"/>
                                  <w:szCs w:val="18"/>
                                </w:rPr>
                              </w:pPr>
                              <w:r>
                                <w:rPr>
                                  <w:rFonts w:hint="eastAsia"/>
                                  <w:sz w:val="18"/>
                                  <w:szCs w:val="18"/>
                                  <w:lang w:val="en-US" w:eastAsia="zh-CN"/>
                                </w:rPr>
                                <w:t>0.04</w:t>
                              </w:r>
                            </w:p>
                          </w:txbxContent>
                        </v:textbox>
                      </v:rect>
                      <v:rect id="矩形 132" o:spid="_x0000_s1026" o:spt="1" style="position:absolute;left:2914015;top:589280;height:254000;width:85153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2WttfX&#10;AAAABQEAAA8AAAAAAAAAAQAgAAAAIgAAAGRycy9kb3ducmV2LnhtbFBLAQIUABQAAAAIAIdO4kCs&#10;uYY/rwEAAE8DAAAOAAAAAAAAAAEAIAAAACYBAABkcnMvZTJvRG9jLnhtbFBLBQYAAAAABgAGAFkB&#10;AABHBQAAAAA=&#10;">
                        <v:fill on="f" focussize="0,0"/>
                        <v:stroke on="f"/>
                        <v:imagedata o:title=""/>
                        <o:lock v:ext="edit" aspectratio="f"/>
                        <v:textbox>
                          <w:txbxContent>
                            <w:p>
                              <w:pPr>
                                <w:rPr>
                                  <w:rFonts w:hint="eastAsia" w:eastAsia="宋体"/>
                                  <w:lang w:val="en-US" w:eastAsia="zh-CN"/>
                                </w:rPr>
                              </w:pPr>
                              <w:r>
                                <w:rPr>
                                  <w:rFonts w:hint="eastAsia"/>
                                  <w:lang w:val="en-US" w:eastAsia="zh-CN"/>
                                </w:rPr>
                                <w:t>其余辅料</w:t>
                              </w:r>
                            </w:p>
                          </w:txbxContent>
                        </v:textbox>
                      </v:rect>
                      <v:shape id="直接箭头连接符 143" o:spid="_x0000_s1026" o:spt="32" type="#_x0000_t32" style="position:absolute;left:1782445;top:1068070;flip:y;height:562610;width:6350;" filled="f" stroked="t" coordsize="21600,21600" o:gfxdata="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cMyK9MAAAAFAQAA&#10;DwAAAAAAAAABACAAAAAiAAAAZHJzL2Rvd25yZXYueG1sUEsBAhQAFAAAAAgAh07iQJMwdqweAgAA&#10;CwQAAA4AAAAAAAAAAQAgAAAAIgEAAGRycy9lMm9Eb2MueG1sUEsFBgAAAAAGAAYAWQEAALIFAAAA&#10;AA==&#10;">
                        <v:fill on="f" focussize="0,0"/>
                        <v:stroke color="#000000" joinstyle="round" dashstyle="dash" endarrow="block"/>
                        <v:imagedata o:title=""/>
                        <o:lock v:ext="edit" aspectratio="f"/>
                      </v:shape>
                      <v:rect id="矩形 132" o:spid="_x0000_s1026" o:spt="1" style="position:absolute;left:1513205;top:779780;height:254000;width:51879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2WttfX&#10;AAAABQEAAA8AAAAAAAAAAQAgAAAAIgAAAGRycy9kb3ducmV2LnhtbFBLAQIUABQAAAAIAIdO4kAJ&#10;I4pSrwEAAE8DAAAOAAAAAAAAAAEAIAAAACYBAABkcnMvZTJvRG9jLnhtbFBLBQYAAAAABgAGAFkB&#10;AABHBQAAAAA=&#10;">
                        <v:fill on="f" focussize="0,0"/>
                        <v:stroke on="f"/>
                        <v:imagedata o:title=""/>
                        <o:lock v:ext="edit" aspectratio="f"/>
                        <v:textbox>
                          <w:txbxContent>
                            <w:p>
                              <w:r>
                                <w:rPr>
                                  <w:rFonts w:hint="eastAsia"/>
                                </w:rPr>
                                <w:t>粉尘</w:t>
                              </w:r>
                            </w:p>
                          </w:txbxContent>
                        </v:textbox>
                      </v:rect>
                      <v:rect id="矩形 133" o:spid="_x0000_s1026" o:spt="1" style="position:absolute;left:1808480;top:1256030;height:226060;width:48577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dlrbX&#10;1wAAAAUBAAAPAAAAAAAAAAEAIAAAACIAAABkcnMvZG93bnJldi54bWxQSwECFAAUAAAACACHTuJA&#10;FXDLe7ABAABQAwAADgAAAAAAAAABACAAAAAmAQAAZHJzL2Uyb0RvYy54bWxQSwUGAAAAAAYABgBZ&#10;AQAASAU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2.98</w:t>
                              </w:r>
                            </w:p>
                          </w:txbxContent>
                        </v:textbox>
                      </v:rect>
                      <v:rect id="矩形 108" o:spid="_x0000_s1026" o:spt="1" style="position:absolute;left:836930;top:1637030;height:255905;width:464820;" fillcolor="#FFFFFF" filled="t" stroked="t" coordsize="21600,21600" o:gfxdata="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j2rALVAAAABQEAAA8AAAAAAAAAAQAgAAAA&#10;IgAAAGRycy9kb3ducmV2LnhtbFBLAQIUABQAAAAIAIdO4kAjFRxcDgIAADcEAAAOAAAAAAAAAAEA&#10;IAAAACQBAABkcnMvZTJvRG9jLnhtbFBLBQYAAAAABgAGAFkBAACkBQAAAAA=&#10;">
                        <v:fill on="t" focussize="0,0"/>
                        <v:stroke color="#000000" joinstyle="miter"/>
                        <v:imagedata o:title=""/>
                        <o:lock v:ext="edit" aspectratio="f"/>
                        <v:textbox>
                          <w:txbxContent>
                            <w:p>
                              <w:pPr>
                                <w:rPr>
                                  <w:rFonts w:hint="eastAsia"/>
                                </w:rPr>
                              </w:pPr>
                              <w:r>
                                <w:rPr>
                                  <w:rFonts w:hint="eastAsia"/>
                                  <w:lang w:val="en-US" w:eastAsia="zh-CN"/>
                                </w:rPr>
                                <w:t>卸</w:t>
                              </w:r>
                              <w:r>
                                <w:rPr>
                                  <w:rFonts w:hint="eastAsia"/>
                                </w:rPr>
                                <w:t>料</w:t>
                              </w:r>
                            </w:p>
                          </w:txbxContent>
                        </v:textbox>
                      </v:rect>
                      <v:shape id="直接箭头连接符 109" o:spid="_x0000_s1026" o:spt="32" type="#_x0000_t32" style="position:absolute;left:1303655;top:1779905;height:635;width:248285;" filled="f" stroked="t" coordsize="21600,21600" o:gfxdata="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qilGy1wAAAAUBAAAPAAAA&#10;AAAAAAEAIAAAACIAAABkcnMvZG93bnJldi54bWxQSwECFAAUAAAACACHTuJAavP1ixYCAAABBAAA&#10;DgAAAAAAAAABACAAAAAmAQAAZHJzL2Uyb0RvYy54bWxQSwUGAAAAAAYABgBZAQAArgUAAAAA&#10;">
                        <v:fill on="f" focussize="0,0"/>
                        <v:stroke color="#000000" joinstyle="round" endarrow="block"/>
                        <v:imagedata o:title=""/>
                        <o:lock v:ext="edit" aspectratio="f"/>
                      </v:shape>
                      <v:shape id="直接箭头连接符 143" o:spid="_x0000_s1026" o:spt="32" type="#_x0000_t32" style="position:absolute;left:1075055;top:1056005;flip:y;height:562610;width:6350;" filled="f" stroked="t" coordsize="21600,21600" o:gfxdata="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cMyK9MAAAAFAQAA&#10;DwAAAAAAAAABACAAAAAiAAAAZHJzL2Rvd25yZXYueG1sUEsBAhQAFAAAAAgAh07iQKPgIZceAgAA&#10;CwQAAA4AAAAAAAAAAQAgAAAAIgEAAGRycy9lMm9Eb2MueG1sUEsFBgAAAAAGAAYAWQEAALIFAAAA&#10;AA==&#10;">
                        <v:fill on="f" focussize="0,0"/>
                        <v:stroke color="#000000" joinstyle="round" dashstyle="dash" endarrow="block"/>
                        <v:imagedata o:title=""/>
                        <o:lock v:ext="edit" aspectratio="f"/>
                      </v:shape>
                      <v:rect id="矩形 132" o:spid="_x0000_s1026" o:spt="1" style="position:absolute;left:846455;top:779780;height:254000;width:51879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HZa2&#10;19cAAAAFAQAADwAAAAAAAAABACAAAAAiAAAAZHJzL2Rvd25yZXYueG1sUEsBAhQAFAAAAAgAh07i&#10;QAUyWESxAQAATgMAAA4AAAAAAAAAAQAgAAAAJgEAAGRycy9lMm9Eb2MueG1sUEsFBgAAAAAGAAYA&#10;WQEAAEkFAAAAAA==&#10;">
                        <v:fill on="f" focussize="0,0"/>
                        <v:stroke on="f"/>
                        <v:imagedata o:title=""/>
                        <o:lock v:ext="edit" aspectratio="f"/>
                        <v:textbox>
                          <w:txbxContent>
                            <w:p>
                              <w:r>
                                <w:rPr>
                                  <w:rFonts w:hint="eastAsia"/>
                                </w:rPr>
                                <w:t>粉尘</w:t>
                              </w:r>
                            </w:p>
                          </w:txbxContent>
                        </v:textbox>
                      </v:rect>
                      <v:rect id="矩形 133" o:spid="_x0000_s1026" o:spt="1" style="position:absolute;left:1065530;top:1265555;height:226060;width:485775;" filled="f" stroked="f" coordsize="21600,21600" o:gfxdata="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dlrbX&#10;1wAAAAUBAAAPAAAAAAAAAAEAIAAAACIAAABkcnMvZG93bnJldi54bWxQSwECFAAUAAAACACHTuJA&#10;3b+LNLABAABQAwAADgAAAAAAAAABACAAAAAmAQAAZHJzL2Uyb0RvYy54bWxQSwUGAAAAAAYABgBZ&#10;AQAASAU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0.084</w:t>
                              </w:r>
                            </w:p>
                          </w:txbxContent>
                        </v:textbox>
                      </v:rect>
                      <w10:wrap type="none"/>
                      <w10:anchorlock/>
                    </v:group>
                  </w:pict>
                </mc:Fallback>
              </mc:AlternateContent>
            </w:r>
          </w:p>
          <w:p>
            <w:pPr>
              <w:pStyle w:val="30"/>
              <w:keepNext w:val="0"/>
              <w:keepLines w:val="0"/>
              <w:kinsoku/>
              <w:wordWrap/>
              <w:overflowPunct/>
              <w:topLinePunct w:val="0"/>
              <w:bidi w:val="0"/>
              <w:spacing w:beforeAutospacing="0" w:afterAutospacing="0"/>
              <w:ind w:left="0" w:leftChars="0" w:right="0" w:rightChars="0"/>
              <w:jc w:val="center"/>
              <w:outlineLvl w:val="9"/>
              <w:rPr>
                <w:rFonts w:hint="eastAsia" w:ascii="Times New Roman" w:hAnsi="Times New Roman" w:eastAsia="宋体" w:cs="Times New Roman"/>
                <w:color w:val="auto"/>
                <w:spacing w:val="0"/>
                <w:kern w:val="2"/>
                <w:sz w:val="24"/>
                <w:szCs w:val="24"/>
                <w:lang w:eastAsia="zh-CN"/>
              </w:rPr>
            </w:pPr>
            <w:bookmarkStart w:id="42" w:name="_Toc4447"/>
            <w:r>
              <w:rPr>
                <w:rFonts w:hint="eastAsia" w:ascii="Times New Roman" w:hAnsi="Times New Roman" w:eastAsia="宋体" w:cs="Times New Roman"/>
                <w:color w:val="auto"/>
                <w:spacing w:val="0"/>
                <w:kern w:val="2"/>
                <w:sz w:val="24"/>
                <w:szCs w:val="24"/>
                <w:lang w:val="en-US" w:eastAsia="zh-CN"/>
              </w:rPr>
              <w:t>图</w:t>
            </w:r>
            <w:r>
              <w:rPr>
                <w:rFonts w:hint="default" w:ascii="Times New Roman" w:hAnsi="Times New Roman" w:eastAsia="宋体" w:cs="Times New Roman"/>
                <w:color w:val="auto"/>
                <w:spacing w:val="0"/>
                <w:kern w:val="2"/>
                <w:sz w:val="24"/>
                <w:szCs w:val="24"/>
              </w:rPr>
              <w:t>2-</w:t>
            </w:r>
            <w:r>
              <w:rPr>
                <w:rFonts w:hint="eastAsia" w:ascii="Times New Roman" w:hAnsi="Times New Roman" w:eastAsia="宋体" w:cs="Times New Roman"/>
                <w:color w:val="auto"/>
                <w:spacing w:val="0"/>
                <w:kern w:val="2"/>
                <w:sz w:val="24"/>
                <w:szCs w:val="24"/>
                <w:lang w:val="en-US" w:eastAsia="zh-CN"/>
              </w:rPr>
              <w:t>1</w:t>
            </w:r>
            <w:r>
              <w:rPr>
                <w:rFonts w:hint="default" w:ascii="Times New Roman" w:hAnsi="Times New Roman" w:eastAsia="宋体" w:cs="Times New Roman"/>
                <w:color w:val="auto"/>
                <w:spacing w:val="0"/>
                <w:kern w:val="2"/>
                <w:sz w:val="24"/>
                <w:szCs w:val="24"/>
              </w:rPr>
              <w:t xml:space="preserve">  本项目</w:t>
            </w:r>
            <w:r>
              <w:rPr>
                <w:rFonts w:hint="eastAsia" w:ascii="Times New Roman" w:hAnsi="Times New Roman" w:eastAsia="宋体" w:cs="Times New Roman"/>
                <w:color w:val="auto"/>
                <w:spacing w:val="0"/>
                <w:kern w:val="2"/>
                <w:sz w:val="24"/>
                <w:szCs w:val="24"/>
                <w:lang w:val="en-US" w:eastAsia="zh-CN"/>
              </w:rPr>
              <w:t>物料平衡图</w:t>
            </w:r>
            <w:bookmarkEnd w:id="42"/>
          </w:p>
          <w:p>
            <w:pPr>
              <w:keepNext w:val="0"/>
              <w:keepLines w:val="0"/>
              <w:pageBreakBefore w:val="0"/>
              <w:widowControl/>
              <w:kinsoku/>
              <w:wordWrap/>
              <w:overflowPunct/>
              <w:topLinePunct w:val="0"/>
              <w:autoSpaceDE/>
              <w:autoSpaceDN/>
              <w:bidi w:val="0"/>
              <w:adjustRightInd/>
              <w:snapToGrid/>
              <w:spacing w:before="157" w:beforeLines="50" w:beforeAutospacing="0" w:afterAutospacing="0" w:line="360" w:lineRule="auto"/>
              <w:ind w:left="0" w:leftChars="0" w:right="0" w:rightChars="0"/>
              <w:textAlignment w:val="auto"/>
              <w:outlineLvl w:val="9"/>
              <w:rPr>
                <w:rFonts w:hint="default" w:ascii="Times New Roman" w:hAnsi="Times New Roman" w:eastAsia="宋体" w:cs="Times New Roman"/>
                <w:b/>
                <w:bCs/>
                <w:color w:val="auto"/>
                <w:spacing w:val="0"/>
                <w:kern w:val="0"/>
                <w:sz w:val="24"/>
              </w:rPr>
            </w:pPr>
            <w:r>
              <w:rPr>
                <w:rFonts w:hint="default" w:ascii="Times New Roman" w:hAnsi="Times New Roman" w:eastAsia="宋体" w:cs="Times New Roman"/>
                <w:b/>
                <w:bCs/>
                <w:color w:val="auto"/>
                <w:spacing w:val="0"/>
                <w:kern w:val="0"/>
                <w:sz w:val="24"/>
              </w:rPr>
              <w:t>5、公用工程</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（1）给水</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本项目用水主要为生活用水、锅炉用水及</w:t>
            </w:r>
            <w:r>
              <w:rPr>
                <w:rFonts w:hint="default" w:ascii="Times New Roman" w:hAnsi="Times New Roman" w:eastAsia="宋体" w:cs="Times New Roman"/>
                <w:color w:val="auto"/>
                <w:spacing w:val="0"/>
                <w:sz w:val="24"/>
              </w:rPr>
              <w:t>化验室用水、实验器皿清洗用水</w:t>
            </w:r>
            <w:r>
              <w:rPr>
                <w:rFonts w:hint="default" w:ascii="Times New Roman" w:hAnsi="Times New Roman" w:eastAsia="宋体" w:cs="Times New Roman"/>
                <w:snapToGrid w:val="0"/>
                <w:color w:val="auto"/>
                <w:spacing w:val="0"/>
                <w:kern w:val="0"/>
                <w:sz w:val="24"/>
              </w:rPr>
              <w:t>。其中化验室用水为外购纯水，其余供水水源为园区市政供给管网。</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①生活用水</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lang w:val="en-US" w:eastAsia="zh-CN"/>
              </w:rPr>
            </w:pPr>
            <w:r>
              <w:rPr>
                <w:rFonts w:hint="default" w:ascii="Times New Roman" w:hAnsi="Times New Roman" w:eastAsia="宋体" w:cs="Times New Roman"/>
                <w:snapToGrid w:val="0"/>
                <w:color w:val="auto"/>
                <w:spacing w:val="0"/>
                <w:kern w:val="0"/>
                <w:sz w:val="24"/>
              </w:rPr>
              <w:t>本项目劳动定员</w:t>
            </w:r>
            <w:r>
              <w:rPr>
                <w:rFonts w:hint="eastAsia" w:cs="Times New Roman"/>
                <w:snapToGrid w:val="0"/>
                <w:color w:val="auto"/>
                <w:spacing w:val="0"/>
                <w:kern w:val="0"/>
                <w:sz w:val="24"/>
                <w:lang w:val="en-US" w:eastAsia="zh-CN"/>
              </w:rPr>
              <w:t>12</w:t>
            </w:r>
            <w:r>
              <w:rPr>
                <w:rFonts w:hint="default" w:ascii="Times New Roman" w:hAnsi="Times New Roman" w:eastAsia="宋体" w:cs="Times New Roman"/>
                <w:snapToGrid w:val="0"/>
                <w:color w:val="auto"/>
                <w:spacing w:val="0"/>
                <w:kern w:val="0"/>
                <w:sz w:val="24"/>
              </w:rPr>
              <w:t>人，年工作</w:t>
            </w:r>
            <w:r>
              <w:rPr>
                <w:rFonts w:hint="eastAsia" w:cs="Times New Roman"/>
                <w:snapToGrid w:val="0"/>
                <w:color w:val="auto"/>
                <w:spacing w:val="0"/>
                <w:kern w:val="0"/>
                <w:sz w:val="24"/>
                <w:lang w:val="en-US" w:eastAsia="zh-CN"/>
              </w:rPr>
              <w:t>260</w:t>
            </w:r>
            <w:r>
              <w:rPr>
                <w:rFonts w:hint="default" w:ascii="Times New Roman" w:hAnsi="Times New Roman" w:eastAsia="宋体" w:cs="Times New Roman"/>
                <w:snapToGrid w:val="0"/>
                <w:color w:val="auto"/>
                <w:spacing w:val="0"/>
                <w:kern w:val="0"/>
                <w:sz w:val="24"/>
              </w:rPr>
              <w:t>天。根据《</w:t>
            </w:r>
            <w:r>
              <w:rPr>
                <w:rFonts w:hint="default" w:ascii="Times New Roman" w:hAnsi="Times New Roman" w:eastAsia="宋体" w:cs="Times New Roman"/>
                <w:snapToGrid w:val="0"/>
                <w:color w:val="auto"/>
                <w:spacing w:val="0"/>
                <w:kern w:val="0"/>
                <w:sz w:val="24"/>
                <w:lang w:val="en-US" w:eastAsia="zh-CN"/>
              </w:rPr>
              <w:t>黑龙江省</w:t>
            </w:r>
            <w:r>
              <w:rPr>
                <w:rFonts w:hint="default" w:ascii="Times New Roman" w:hAnsi="Times New Roman" w:eastAsia="宋体" w:cs="Times New Roman"/>
                <w:snapToGrid w:val="0"/>
                <w:color w:val="auto"/>
                <w:spacing w:val="0"/>
                <w:kern w:val="0"/>
                <w:sz w:val="24"/>
              </w:rPr>
              <w:t>省</w:t>
            </w:r>
            <w:r>
              <w:rPr>
                <w:rFonts w:hint="default" w:ascii="Times New Roman" w:hAnsi="Times New Roman" w:eastAsia="宋体" w:cs="Times New Roman"/>
                <w:snapToGrid w:val="0"/>
                <w:color w:val="auto"/>
                <w:spacing w:val="0"/>
                <w:kern w:val="0"/>
                <w:sz w:val="24"/>
                <w:lang w:val="en-US" w:eastAsia="zh-CN"/>
              </w:rPr>
              <w:t>地方标准</w:t>
            </w:r>
            <w:r>
              <w:rPr>
                <w:rFonts w:hint="default" w:ascii="Times New Roman" w:hAnsi="Times New Roman" w:eastAsia="宋体" w:cs="Times New Roman"/>
                <w:snapToGrid w:val="0"/>
                <w:color w:val="auto"/>
                <w:spacing w:val="0"/>
                <w:kern w:val="0"/>
                <w:sz w:val="24"/>
              </w:rPr>
              <w:t>用水定额》（DB</w:t>
            </w:r>
            <w:r>
              <w:rPr>
                <w:rFonts w:hint="default" w:ascii="Times New Roman" w:hAnsi="Times New Roman" w:eastAsia="宋体" w:cs="Times New Roman"/>
                <w:snapToGrid w:val="0"/>
                <w:color w:val="auto"/>
                <w:spacing w:val="0"/>
                <w:kern w:val="0"/>
                <w:sz w:val="24"/>
                <w:lang w:val="en-US" w:eastAsia="zh-CN"/>
              </w:rPr>
              <w:t>23</w:t>
            </w:r>
            <w:r>
              <w:rPr>
                <w:rFonts w:hint="default" w:ascii="Times New Roman" w:hAnsi="Times New Roman" w:eastAsia="宋体" w:cs="Times New Roman"/>
                <w:snapToGrid w:val="0"/>
                <w:color w:val="auto"/>
                <w:spacing w:val="0"/>
                <w:kern w:val="0"/>
                <w:sz w:val="24"/>
              </w:rPr>
              <w:t>/T</w:t>
            </w:r>
            <w:r>
              <w:rPr>
                <w:rFonts w:hint="default" w:ascii="Times New Roman" w:hAnsi="Times New Roman" w:eastAsia="宋体" w:cs="Times New Roman"/>
                <w:snapToGrid w:val="0"/>
                <w:color w:val="auto"/>
                <w:spacing w:val="0"/>
                <w:kern w:val="0"/>
                <w:sz w:val="24"/>
                <w:lang w:val="en-US" w:eastAsia="zh-CN"/>
              </w:rPr>
              <w:t>727</w:t>
            </w:r>
            <w:r>
              <w:rPr>
                <w:rFonts w:hint="default" w:ascii="Times New Roman" w:hAnsi="Times New Roman" w:eastAsia="宋体" w:cs="Times New Roman"/>
                <w:snapToGrid w:val="0"/>
                <w:color w:val="auto"/>
                <w:spacing w:val="0"/>
                <w:kern w:val="0"/>
                <w:sz w:val="24"/>
              </w:rPr>
              <w:t>-20</w:t>
            </w:r>
            <w:r>
              <w:rPr>
                <w:rFonts w:hint="default" w:ascii="Times New Roman" w:hAnsi="Times New Roman" w:eastAsia="宋体" w:cs="Times New Roman"/>
                <w:snapToGrid w:val="0"/>
                <w:color w:val="auto"/>
                <w:spacing w:val="0"/>
                <w:kern w:val="0"/>
                <w:sz w:val="24"/>
                <w:lang w:val="en-US" w:eastAsia="zh-CN"/>
              </w:rPr>
              <w:t>21</w:t>
            </w:r>
            <w:r>
              <w:rPr>
                <w:rFonts w:hint="default" w:ascii="Times New Roman" w:hAnsi="Times New Roman" w:eastAsia="宋体" w:cs="Times New Roman"/>
                <w:snapToGrid w:val="0"/>
                <w:color w:val="auto"/>
                <w:spacing w:val="0"/>
                <w:kern w:val="0"/>
                <w:sz w:val="24"/>
              </w:rPr>
              <w:t>）工</w:t>
            </w:r>
            <w:r>
              <w:rPr>
                <w:rFonts w:hint="eastAsia" w:ascii="Times New Roman" w:hAnsi="Times New Roman" w:eastAsia="宋体" w:cs="Times New Roman"/>
                <w:snapToGrid w:val="0"/>
                <w:color w:val="auto"/>
                <w:spacing w:val="0"/>
                <w:kern w:val="0"/>
                <w:sz w:val="24"/>
                <w:lang w:val="en-US" w:eastAsia="zh-CN"/>
              </w:rPr>
              <w:t>人</w:t>
            </w:r>
            <w:r>
              <w:rPr>
                <w:rFonts w:hint="default" w:ascii="Times New Roman" w:hAnsi="Times New Roman" w:eastAsia="宋体" w:cs="Times New Roman"/>
                <w:snapToGrid w:val="0"/>
                <w:color w:val="auto"/>
                <w:spacing w:val="0"/>
                <w:kern w:val="0"/>
                <w:sz w:val="24"/>
              </w:rPr>
              <w:t>人均用水量取</w:t>
            </w:r>
            <w:r>
              <w:rPr>
                <w:rFonts w:hint="eastAsia" w:ascii="Times New Roman" w:hAnsi="Times New Roman" w:eastAsia="宋体" w:cs="Times New Roman"/>
                <w:snapToGrid w:val="0"/>
                <w:color w:val="auto"/>
                <w:spacing w:val="0"/>
                <w:kern w:val="0"/>
                <w:sz w:val="24"/>
                <w:lang w:val="en-US" w:eastAsia="zh-CN"/>
              </w:rPr>
              <w:t>8</w:t>
            </w:r>
            <w:r>
              <w:rPr>
                <w:rFonts w:hint="default" w:ascii="Times New Roman" w:hAnsi="Times New Roman" w:eastAsia="宋体" w:cs="Times New Roman"/>
                <w:snapToGrid w:val="0"/>
                <w:color w:val="auto"/>
                <w:spacing w:val="0"/>
                <w:kern w:val="0"/>
                <w:sz w:val="24"/>
                <w:lang w:val="en-US" w:eastAsia="zh-CN"/>
              </w:rPr>
              <w:t>0</w:t>
            </w:r>
            <w:r>
              <w:rPr>
                <w:rFonts w:hint="default" w:ascii="Times New Roman" w:hAnsi="Times New Roman" w:eastAsia="宋体" w:cs="Times New Roman"/>
                <w:snapToGrid w:val="0"/>
                <w:color w:val="auto"/>
                <w:spacing w:val="0"/>
                <w:kern w:val="0"/>
                <w:sz w:val="24"/>
              </w:rPr>
              <w:t>L/</w:t>
            </w:r>
            <w:r>
              <w:rPr>
                <w:rFonts w:hint="eastAsia" w:ascii="Times New Roman" w:hAnsi="Times New Roman" w:eastAsia="宋体" w:cs="Times New Roman"/>
                <w:snapToGrid w:val="0"/>
                <w:color w:val="auto"/>
                <w:spacing w:val="0"/>
                <w:kern w:val="0"/>
                <w:sz w:val="24"/>
                <w:lang w:eastAsia="zh-CN"/>
              </w:rPr>
              <w:t>（</w:t>
            </w:r>
            <w:r>
              <w:rPr>
                <w:rFonts w:hint="default" w:ascii="Times New Roman" w:hAnsi="Times New Roman" w:eastAsia="宋体" w:cs="Times New Roman"/>
                <w:snapToGrid w:val="0"/>
                <w:color w:val="auto"/>
                <w:spacing w:val="0"/>
                <w:kern w:val="0"/>
                <w:sz w:val="24"/>
              </w:rPr>
              <w:t>人•d</w:t>
            </w:r>
            <w:r>
              <w:rPr>
                <w:rFonts w:hint="eastAsia" w:ascii="Times New Roman" w:hAnsi="Times New Roman" w:eastAsia="宋体" w:cs="Times New Roman"/>
                <w:snapToGrid w:val="0"/>
                <w:color w:val="auto"/>
                <w:spacing w:val="0"/>
                <w:kern w:val="0"/>
                <w:sz w:val="24"/>
                <w:lang w:eastAsia="zh-CN"/>
              </w:rPr>
              <w:t>）</w:t>
            </w:r>
            <w:r>
              <w:rPr>
                <w:rFonts w:hint="default" w:ascii="Times New Roman" w:hAnsi="Times New Roman" w:eastAsia="宋体" w:cs="Times New Roman"/>
                <w:snapToGrid w:val="0"/>
                <w:color w:val="auto"/>
                <w:spacing w:val="0"/>
                <w:kern w:val="0"/>
                <w:sz w:val="24"/>
              </w:rPr>
              <w:t>，</w:t>
            </w:r>
            <w:r>
              <w:rPr>
                <w:rFonts w:hint="eastAsia" w:ascii="Times New Roman" w:hAnsi="Times New Roman" w:eastAsia="宋体" w:cs="Times New Roman"/>
                <w:snapToGrid w:val="0"/>
                <w:color w:val="auto"/>
                <w:spacing w:val="0"/>
                <w:kern w:val="0"/>
                <w:sz w:val="24"/>
                <w:lang w:eastAsia="zh-CN"/>
              </w:rPr>
              <w:t>则生活用水量为</w:t>
            </w:r>
            <w:r>
              <w:rPr>
                <w:rFonts w:hint="eastAsia" w:cs="Times New Roman"/>
                <w:snapToGrid w:val="0"/>
                <w:color w:val="auto"/>
                <w:spacing w:val="0"/>
                <w:kern w:val="0"/>
                <w:sz w:val="24"/>
                <w:lang w:val="en-US" w:eastAsia="zh-CN"/>
              </w:rPr>
              <w:t>0.96</w:t>
            </w:r>
            <w:r>
              <w:rPr>
                <w:rFonts w:hint="eastAsia" w:ascii="Times New Roman" w:hAnsi="Times New Roman" w:eastAsia="宋体" w:cs="Times New Roman"/>
                <w:snapToGrid w:val="0"/>
                <w:color w:val="auto"/>
                <w:spacing w:val="0"/>
                <w:kern w:val="0"/>
                <w:sz w:val="24"/>
                <w:lang w:val="en-US" w:eastAsia="zh-CN"/>
              </w:rPr>
              <w:t>t/d，</w:t>
            </w:r>
            <w:r>
              <w:rPr>
                <w:rFonts w:hint="eastAsia" w:cs="Times New Roman"/>
                <w:snapToGrid w:val="0"/>
                <w:color w:val="auto"/>
                <w:spacing w:val="0"/>
                <w:kern w:val="0"/>
                <w:sz w:val="24"/>
                <w:lang w:val="en-US" w:eastAsia="zh-CN"/>
              </w:rPr>
              <w:t>249.6</w:t>
            </w:r>
            <w:r>
              <w:rPr>
                <w:rFonts w:hint="eastAsia" w:ascii="Times New Roman" w:hAnsi="Times New Roman" w:eastAsia="宋体" w:cs="Times New Roman"/>
                <w:snapToGrid w:val="0"/>
                <w:color w:val="auto"/>
                <w:spacing w:val="0"/>
                <w:kern w:val="0"/>
                <w:sz w:val="24"/>
                <w:lang w:val="en-US" w:eastAsia="zh-CN"/>
              </w:rPr>
              <w:t>t/a。</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eastAsia" w:ascii="Times New Roman" w:hAnsi="Times New Roman" w:eastAsia="宋体" w:cs="Times New Roman"/>
                <w:snapToGrid w:val="0"/>
                <w:color w:val="auto"/>
                <w:spacing w:val="0"/>
                <w:kern w:val="0"/>
                <w:sz w:val="24"/>
                <w:lang w:val="en-US" w:eastAsia="zh-CN"/>
              </w:rPr>
            </w:pPr>
            <w:r>
              <w:rPr>
                <w:rFonts w:hint="eastAsia" w:ascii="Times New Roman" w:hAnsi="Times New Roman" w:eastAsia="宋体" w:cs="Times New Roman"/>
                <w:snapToGrid w:val="0"/>
                <w:color w:val="auto"/>
                <w:spacing w:val="0"/>
                <w:kern w:val="0"/>
                <w:sz w:val="24"/>
                <w:lang w:val="en-US" w:eastAsia="zh-CN"/>
              </w:rPr>
              <w:t>②食堂用水</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本项目劳动定员</w:t>
            </w:r>
            <w:r>
              <w:rPr>
                <w:rFonts w:hint="eastAsia" w:cs="Times New Roman"/>
                <w:snapToGrid w:val="0"/>
                <w:color w:val="auto"/>
                <w:spacing w:val="0"/>
                <w:kern w:val="0"/>
                <w:sz w:val="24"/>
                <w:lang w:val="en-US" w:eastAsia="zh-CN"/>
              </w:rPr>
              <w:t>12</w:t>
            </w:r>
            <w:r>
              <w:rPr>
                <w:rFonts w:hint="default" w:ascii="Times New Roman" w:hAnsi="Times New Roman" w:eastAsia="宋体" w:cs="Times New Roman"/>
                <w:snapToGrid w:val="0"/>
                <w:color w:val="auto"/>
                <w:spacing w:val="0"/>
                <w:kern w:val="0"/>
                <w:sz w:val="24"/>
              </w:rPr>
              <w:t>人，年工作</w:t>
            </w:r>
            <w:r>
              <w:rPr>
                <w:rFonts w:hint="eastAsia" w:cs="Times New Roman"/>
                <w:snapToGrid w:val="0"/>
                <w:color w:val="auto"/>
                <w:spacing w:val="0"/>
                <w:kern w:val="0"/>
                <w:sz w:val="24"/>
                <w:lang w:val="en-US" w:eastAsia="zh-CN"/>
              </w:rPr>
              <w:t>260</w:t>
            </w:r>
            <w:r>
              <w:rPr>
                <w:rFonts w:hint="default" w:ascii="Times New Roman" w:hAnsi="Times New Roman" w:eastAsia="宋体" w:cs="Times New Roman"/>
                <w:snapToGrid w:val="0"/>
                <w:color w:val="auto"/>
                <w:spacing w:val="0"/>
                <w:kern w:val="0"/>
                <w:sz w:val="24"/>
              </w:rPr>
              <w:t>天。</w:t>
            </w:r>
            <w:r>
              <w:rPr>
                <w:rFonts w:hint="eastAsia" w:ascii="Times New Roman" w:hAnsi="Times New Roman" w:eastAsia="宋体" w:cs="Times New Roman"/>
                <w:snapToGrid w:val="0"/>
                <w:color w:val="auto"/>
                <w:spacing w:val="0"/>
                <w:kern w:val="0"/>
                <w:sz w:val="24"/>
                <w:lang w:eastAsia="zh-CN"/>
              </w:rPr>
              <w:t>设食堂为工作人员提供</w:t>
            </w:r>
            <w:r>
              <w:rPr>
                <w:rFonts w:hint="eastAsia" w:cs="Times New Roman"/>
                <w:snapToGrid w:val="0"/>
                <w:color w:val="auto"/>
                <w:spacing w:val="0"/>
                <w:kern w:val="0"/>
                <w:sz w:val="24"/>
                <w:lang w:val="en-US" w:eastAsia="zh-CN"/>
              </w:rPr>
              <w:t>三</w:t>
            </w:r>
            <w:r>
              <w:rPr>
                <w:rFonts w:hint="eastAsia" w:ascii="Times New Roman" w:hAnsi="Times New Roman" w:eastAsia="宋体" w:cs="Times New Roman"/>
                <w:snapToGrid w:val="0"/>
                <w:color w:val="auto"/>
                <w:spacing w:val="0"/>
                <w:kern w:val="0"/>
                <w:sz w:val="24"/>
                <w:lang w:eastAsia="zh-CN"/>
              </w:rPr>
              <w:t>餐饮食，</w:t>
            </w:r>
            <w:r>
              <w:rPr>
                <w:rFonts w:hint="eastAsia" w:ascii="Times New Roman" w:hAnsi="Times New Roman" w:eastAsia="宋体" w:cs="Times New Roman"/>
                <w:snapToGrid w:val="0"/>
                <w:color w:val="auto"/>
                <w:spacing w:val="0"/>
                <w:kern w:val="0"/>
                <w:sz w:val="24"/>
                <w:lang w:val="en-US" w:eastAsia="zh-CN"/>
              </w:rPr>
              <w:t>食堂用水量为20L</w:t>
            </w:r>
            <w:r>
              <w:rPr>
                <w:rFonts w:hint="default" w:ascii="Times New Roman" w:hAnsi="Times New Roman" w:eastAsia="宋体" w:cs="Times New Roman"/>
                <w:snapToGrid w:val="0"/>
                <w:color w:val="auto"/>
                <w:spacing w:val="0"/>
                <w:kern w:val="0"/>
                <w:sz w:val="24"/>
              </w:rPr>
              <w:t>/</w:t>
            </w:r>
            <w:r>
              <w:rPr>
                <w:rFonts w:hint="eastAsia" w:ascii="Times New Roman" w:hAnsi="Times New Roman" w:eastAsia="宋体" w:cs="Times New Roman"/>
                <w:snapToGrid w:val="0"/>
                <w:color w:val="auto"/>
                <w:spacing w:val="0"/>
                <w:kern w:val="0"/>
                <w:sz w:val="24"/>
                <w:lang w:eastAsia="zh-CN"/>
              </w:rPr>
              <w:t>（</w:t>
            </w:r>
            <w:r>
              <w:rPr>
                <w:rFonts w:hint="default" w:ascii="Times New Roman" w:hAnsi="Times New Roman" w:eastAsia="宋体" w:cs="Times New Roman"/>
                <w:snapToGrid w:val="0"/>
                <w:color w:val="auto"/>
                <w:spacing w:val="0"/>
                <w:kern w:val="0"/>
                <w:sz w:val="24"/>
              </w:rPr>
              <w:t>人•</w:t>
            </w:r>
            <w:r>
              <w:rPr>
                <w:rFonts w:hint="eastAsia" w:ascii="Times New Roman" w:hAnsi="Times New Roman" w:eastAsia="宋体" w:cs="Times New Roman"/>
                <w:snapToGrid w:val="0"/>
                <w:color w:val="auto"/>
                <w:spacing w:val="0"/>
                <w:kern w:val="0"/>
                <w:sz w:val="24"/>
                <w:lang w:eastAsia="zh-CN"/>
              </w:rPr>
              <w:t>餐）。</w:t>
            </w:r>
            <w:r>
              <w:rPr>
                <w:rFonts w:hint="default" w:ascii="Times New Roman" w:hAnsi="Times New Roman" w:eastAsia="宋体" w:cs="Times New Roman"/>
                <w:color w:val="auto"/>
                <w:spacing w:val="0"/>
                <w:sz w:val="24"/>
              </w:rPr>
              <w:t>则食堂用水量为</w:t>
            </w:r>
            <w:r>
              <w:rPr>
                <w:rFonts w:hint="eastAsia" w:cs="Times New Roman"/>
                <w:color w:val="auto"/>
                <w:spacing w:val="0"/>
                <w:sz w:val="24"/>
                <w:lang w:val="en-US" w:eastAsia="zh-CN"/>
              </w:rPr>
              <w:t>0.72</w:t>
            </w:r>
            <w:r>
              <w:rPr>
                <w:rFonts w:hint="default" w:ascii="Times New Roman" w:hAnsi="Times New Roman" w:eastAsia="宋体" w:cs="Times New Roman"/>
                <w:color w:val="auto"/>
                <w:spacing w:val="0"/>
                <w:sz w:val="24"/>
              </w:rPr>
              <w:t>t/d，</w:t>
            </w:r>
            <w:r>
              <w:rPr>
                <w:rFonts w:hint="eastAsia" w:cs="Times New Roman"/>
                <w:color w:val="auto"/>
                <w:spacing w:val="0"/>
                <w:sz w:val="24"/>
                <w:lang w:val="en-US" w:eastAsia="zh-CN"/>
              </w:rPr>
              <w:t>187.2</w:t>
            </w:r>
            <w:r>
              <w:rPr>
                <w:rFonts w:hint="default" w:ascii="Times New Roman" w:hAnsi="Times New Roman" w:eastAsia="宋体" w:cs="Times New Roman"/>
                <w:color w:val="auto"/>
                <w:spacing w:val="0"/>
                <w:sz w:val="24"/>
              </w:rPr>
              <w:t>t/a。</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eastAsia" w:cs="Times New Roman"/>
                <w:snapToGrid w:val="0"/>
                <w:color w:val="auto"/>
                <w:spacing w:val="0"/>
                <w:kern w:val="0"/>
                <w:sz w:val="24"/>
                <w:lang w:eastAsia="zh-CN"/>
              </w:rPr>
              <w:t>③</w:t>
            </w:r>
            <w:r>
              <w:rPr>
                <w:rFonts w:hint="default" w:ascii="Times New Roman" w:hAnsi="Times New Roman" w:eastAsia="宋体" w:cs="Times New Roman"/>
                <w:snapToGrid w:val="0"/>
                <w:color w:val="auto"/>
                <w:spacing w:val="0"/>
                <w:kern w:val="0"/>
                <w:sz w:val="24"/>
              </w:rPr>
              <w:t>锅炉用水</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根据经验判断，蒸汽锅炉补充水约为锅炉循环水量的</w:t>
            </w:r>
            <w:r>
              <w:rPr>
                <w:rFonts w:hint="default" w:ascii="Times New Roman" w:hAnsi="Times New Roman" w:eastAsia="宋体" w:cs="Times New Roman"/>
                <w:snapToGrid w:val="0"/>
                <w:color w:val="auto"/>
                <w:spacing w:val="0"/>
                <w:kern w:val="0"/>
                <w:sz w:val="24"/>
                <w:lang w:val="en-US" w:eastAsia="zh-CN"/>
              </w:rPr>
              <w:t>1</w:t>
            </w:r>
            <w:r>
              <w:rPr>
                <w:rFonts w:hint="default" w:ascii="Times New Roman" w:hAnsi="Times New Roman" w:eastAsia="宋体" w:cs="Times New Roman"/>
                <w:snapToGrid w:val="0"/>
                <w:color w:val="auto"/>
                <w:spacing w:val="0"/>
                <w:kern w:val="0"/>
                <w:sz w:val="24"/>
              </w:rPr>
              <w:t>0%，</w:t>
            </w:r>
            <w:r>
              <w:rPr>
                <w:rFonts w:hint="eastAsia" w:cs="Times New Roman"/>
                <w:snapToGrid w:val="0"/>
                <w:color w:val="auto"/>
                <w:spacing w:val="0"/>
                <w:kern w:val="0"/>
                <w:sz w:val="24"/>
                <w:lang w:val="en-US" w:eastAsia="zh-CN"/>
              </w:rPr>
              <w:t>每天运行24小时，</w:t>
            </w:r>
            <w:r>
              <w:rPr>
                <w:rFonts w:hint="default" w:ascii="Times New Roman" w:hAnsi="Times New Roman" w:eastAsia="宋体" w:cs="Times New Roman"/>
                <w:snapToGrid w:val="0"/>
                <w:color w:val="auto"/>
                <w:spacing w:val="0"/>
                <w:kern w:val="0"/>
                <w:sz w:val="24"/>
              </w:rPr>
              <w:t>则</w:t>
            </w:r>
            <w:r>
              <w:rPr>
                <w:rFonts w:hint="eastAsia" w:cs="Times New Roman"/>
                <w:snapToGrid w:val="0"/>
                <w:color w:val="auto"/>
                <w:spacing w:val="0"/>
                <w:kern w:val="0"/>
                <w:sz w:val="24"/>
                <w:lang w:val="en-US" w:eastAsia="zh-CN"/>
              </w:rPr>
              <w:t>本项目工艺用蒸汽锅炉一天的循环水量为24t/d，则</w:t>
            </w:r>
            <w:r>
              <w:rPr>
                <w:rFonts w:hint="default" w:ascii="Times New Roman" w:hAnsi="Times New Roman" w:eastAsia="宋体" w:cs="Times New Roman"/>
                <w:snapToGrid w:val="0"/>
                <w:color w:val="auto"/>
                <w:spacing w:val="0"/>
                <w:kern w:val="0"/>
                <w:sz w:val="24"/>
              </w:rPr>
              <w:t>锅炉补水量为</w:t>
            </w:r>
            <w:r>
              <w:rPr>
                <w:rFonts w:hint="eastAsia" w:cs="Times New Roman"/>
                <w:snapToGrid w:val="0"/>
                <w:color w:val="auto"/>
                <w:spacing w:val="0"/>
                <w:kern w:val="0"/>
                <w:sz w:val="24"/>
                <w:lang w:val="en-US" w:eastAsia="zh-CN"/>
              </w:rPr>
              <w:t>2.4</w:t>
            </w:r>
            <w:r>
              <w:rPr>
                <w:rFonts w:hint="default" w:ascii="Times New Roman" w:hAnsi="Times New Roman" w:eastAsia="宋体" w:cs="Times New Roman"/>
                <w:snapToGrid w:val="0"/>
                <w:color w:val="auto"/>
                <w:spacing w:val="0"/>
                <w:kern w:val="0"/>
                <w:sz w:val="24"/>
                <w:lang w:val="en-US" w:eastAsia="zh-CN"/>
              </w:rPr>
              <w:t>t/d，</w:t>
            </w:r>
            <w:r>
              <w:rPr>
                <w:rFonts w:hint="eastAsia" w:cs="Times New Roman"/>
                <w:snapToGrid w:val="0"/>
                <w:color w:val="auto"/>
                <w:spacing w:val="0"/>
                <w:kern w:val="0"/>
                <w:sz w:val="24"/>
                <w:lang w:val="en-US" w:eastAsia="zh-CN"/>
              </w:rPr>
              <w:t>624</w:t>
            </w:r>
            <w:r>
              <w:rPr>
                <w:rFonts w:hint="default" w:ascii="Times New Roman" w:hAnsi="Times New Roman" w:eastAsia="宋体" w:cs="Times New Roman"/>
                <w:snapToGrid w:val="0"/>
                <w:color w:val="auto"/>
                <w:spacing w:val="0"/>
                <w:kern w:val="0"/>
                <w:sz w:val="24"/>
              </w:rPr>
              <w:t>t/a</w:t>
            </w:r>
            <w:r>
              <w:rPr>
                <w:rFonts w:hint="eastAsia" w:cs="Times New Roman"/>
                <w:snapToGrid w:val="0"/>
                <w:color w:val="auto"/>
                <w:spacing w:val="0"/>
                <w:kern w:val="0"/>
                <w:sz w:val="24"/>
                <w:lang w:eastAsia="zh-CN"/>
              </w:rPr>
              <w:t>；</w:t>
            </w:r>
            <w:r>
              <w:rPr>
                <w:rFonts w:hint="eastAsia"/>
                <w:color w:val="000000"/>
                <w:sz w:val="24"/>
                <w:szCs w:val="24"/>
              </w:rPr>
              <w:t>本项目</w:t>
            </w:r>
            <w:r>
              <w:rPr>
                <w:rFonts w:hint="eastAsia"/>
                <w:color w:val="000000"/>
                <w:sz w:val="24"/>
                <w:szCs w:val="24"/>
                <w:lang w:val="en-US" w:eastAsia="zh-CN"/>
              </w:rPr>
              <w:t>供热</w:t>
            </w:r>
            <w:r>
              <w:rPr>
                <w:rFonts w:hint="eastAsia"/>
                <w:color w:val="000000"/>
                <w:sz w:val="24"/>
                <w:szCs w:val="24"/>
              </w:rPr>
              <w:t>为1台</w:t>
            </w:r>
            <w:r>
              <w:rPr>
                <w:rFonts w:hint="eastAsia"/>
                <w:color w:val="000000"/>
                <w:sz w:val="24"/>
                <w:szCs w:val="24"/>
                <w:lang w:val="en-US" w:eastAsia="zh-CN"/>
              </w:rPr>
              <w:t>1</w:t>
            </w:r>
            <w:r>
              <w:rPr>
                <w:rFonts w:hint="eastAsia"/>
                <w:color w:val="000000"/>
                <w:sz w:val="24"/>
                <w:szCs w:val="24"/>
              </w:rPr>
              <w:t>t/h生物质锅炉，每天运行</w:t>
            </w:r>
            <w:r>
              <w:rPr>
                <w:rFonts w:hint="eastAsia"/>
                <w:color w:val="000000"/>
                <w:sz w:val="24"/>
                <w:szCs w:val="24"/>
                <w:lang w:val="en-US" w:eastAsia="zh-CN"/>
              </w:rPr>
              <w:t>24</w:t>
            </w:r>
            <w:r>
              <w:rPr>
                <w:rFonts w:hint="eastAsia"/>
                <w:color w:val="000000"/>
                <w:sz w:val="24"/>
                <w:szCs w:val="24"/>
              </w:rPr>
              <w:t>小时</w:t>
            </w:r>
            <w:r>
              <w:rPr>
                <w:rFonts w:hint="eastAsia"/>
                <w:color w:val="000000"/>
                <w:sz w:val="24"/>
                <w:szCs w:val="24"/>
                <w:lang w:eastAsia="zh-CN"/>
              </w:rPr>
              <w:t>，</w:t>
            </w:r>
            <w:r>
              <w:rPr>
                <w:rFonts w:hint="eastAsia"/>
                <w:color w:val="000000"/>
                <w:sz w:val="24"/>
                <w:szCs w:val="24"/>
                <w:lang w:val="en-US" w:eastAsia="zh-CN"/>
              </w:rPr>
              <w:t>则</w:t>
            </w:r>
            <w:r>
              <w:rPr>
                <w:rFonts w:hint="eastAsia"/>
                <w:color w:val="000000"/>
                <w:sz w:val="24"/>
                <w:szCs w:val="24"/>
              </w:rPr>
              <w:t>锅炉一天的循环水量为</w:t>
            </w:r>
            <w:r>
              <w:rPr>
                <w:rFonts w:hint="eastAsia"/>
                <w:color w:val="000000"/>
                <w:sz w:val="24"/>
                <w:szCs w:val="24"/>
                <w:lang w:val="en-US" w:eastAsia="zh-CN"/>
              </w:rPr>
              <w:t>24</w:t>
            </w:r>
            <w:r>
              <w:rPr>
                <w:rFonts w:hint="eastAsia"/>
                <w:color w:val="000000"/>
                <w:sz w:val="24"/>
                <w:szCs w:val="24"/>
              </w:rPr>
              <w:t>t/</w:t>
            </w:r>
            <w:r>
              <w:rPr>
                <w:rFonts w:hint="eastAsia"/>
                <w:color w:val="000000"/>
                <w:sz w:val="24"/>
                <w:szCs w:val="24"/>
                <w:lang w:val="en-US" w:eastAsia="zh-CN"/>
              </w:rPr>
              <w:t>d</w:t>
            </w:r>
            <w:r>
              <w:rPr>
                <w:rFonts w:hint="eastAsia"/>
                <w:color w:val="000000"/>
                <w:sz w:val="24"/>
                <w:szCs w:val="24"/>
              </w:rPr>
              <w:t>，每天的损失为</w:t>
            </w:r>
            <w:r>
              <w:rPr>
                <w:rFonts w:hint="eastAsia"/>
                <w:color w:val="000000"/>
                <w:sz w:val="24"/>
                <w:szCs w:val="24"/>
                <w:lang w:val="en-US" w:eastAsia="zh-CN"/>
              </w:rPr>
              <w:t>1</w:t>
            </w:r>
            <w:r>
              <w:rPr>
                <w:rFonts w:hint="eastAsia"/>
                <w:color w:val="000000"/>
                <w:sz w:val="24"/>
                <w:szCs w:val="24"/>
              </w:rPr>
              <w:t>%，则锅炉补水量为</w:t>
            </w:r>
            <w:r>
              <w:rPr>
                <w:rFonts w:hint="eastAsia"/>
                <w:color w:val="000000"/>
                <w:sz w:val="24"/>
                <w:szCs w:val="24"/>
                <w:lang w:val="en-US" w:eastAsia="zh-CN"/>
              </w:rPr>
              <w:t>0.24</w:t>
            </w:r>
            <w:r>
              <w:rPr>
                <w:rFonts w:hint="eastAsia"/>
                <w:color w:val="000000"/>
                <w:sz w:val="24"/>
                <w:szCs w:val="24"/>
              </w:rPr>
              <w:t>t/d，</w:t>
            </w:r>
            <w:r>
              <w:rPr>
                <w:rFonts w:hint="eastAsia"/>
                <w:color w:val="000000"/>
                <w:sz w:val="24"/>
                <w:szCs w:val="24"/>
                <w:lang w:val="en-US" w:eastAsia="zh-CN"/>
              </w:rPr>
              <w:t>43.2</w:t>
            </w:r>
            <w:r>
              <w:rPr>
                <w:rFonts w:hint="eastAsia"/>
                <w:color w:val="000000"/>
                <w:sz w:val="24"/>
                <w:szCs w:val="24"/>
              </w:rPr>
              <w:t>t/a</w:t>
            </w:r>
            <w:r>
              <w:rPr>
                <w:rFonts w:hint="eastAsia" w:cs="Times New Roman"/>
                <w:snapToGrid w:val="0"/>
                <w:color w:val="auto"/>
                <w:spacing w:val="0"/>
                <w:kern w:val="0"/>
                <w:sz w:val="24"/>
                <w:lang w:eastAsia="zh-CN"/>
              </w:rPr>
              <w:t>。</w:t>
            </w:r>
            <w:r>
              <w:rPr>
                <w:rFonts w:hint="default" w:ascii="Times New Roman" w:hAnsi="Times New Roman" w:eastAsia="宋体" w:cs="Times New Roman"/>
                <w:snapToGrid w:val="0"/>
                <w:color w:val="auto"/>
                <w:spacing w:val="0"/>
                <w:kern w:val="0"/>
                <w:sz w:val="24"/>
              </w:rPr>
              <w:t>锅炉用水使用软水，由软水制备系统制备，主要是去除水中的钙、镁离子，防止在锅炉内形成水垢。软水制备率按80%计算，则</w:t>
            </w:r>
            <w:r>
              <w:rPr>
                <w:rFonts w:hint="eastAsia" w:cs="Times New Roman"/>
                <w:snapToGrid w:val="0"/>
                <w:color w:val="auto"/>
                <w:spacing w:val="0"/>
                <w:kern w:val="0"/>
                <w:sz w:val="24"/>
                <w:lang w:val="en-US" w:eastAsia="zh-CN"/>
              </w:rPr>
              <w:t>蒸汽</w:t>
            </w:r>
            <w:r>
              <w:rPr>
                <w:rFonts w:hint="default" w:ascii="Times New Roman" w:hAnsi="Times New Roman" w:eastAsia="宋体" w:cs="Times New Roman"/>
                <w:snapToGrid w:val="0"/>
                <w:color w:val="auto"/>
                <w:spacing w:val="0"/>
                <w:kern w:val="0"/>
                <w:sz w:val="24"/>
              </w:rPr>
              <w:t>锅炉补水新鲜水用水量为</w:t>
            </w:r>
            <w:r>
              <w:rPr>
                <w:rFonts w:hint="eastAsia" w:cs="Times New Roman"/>
                <w:snapToGrid w:val="0"/>
                <w:color w:val="auto"/>
                <w:spacing w:val="0"/>
                <w:kern w:val="0"/>
                <w:sz w:val="24"/>
                <w:lang w:val="en-US" w:eastAsia="zh-CN"/>
              </w:rPr>
              <w:t>3</w:t>
            </w:r>
            <w:r>
              <w:rPr>
                <w:rFonts w:hint="default" w:ascii="Times New Roman" w:hAnsi="Times New Roman" w:eastAsia="宋体" w:cs="Times New Roman"/>
                <w:snapToGrid w:val="0"/>
                <w:color w:val="auto"/>
                <w:spacing w:val="0"/>
                <w:kern w:val="0"/>
                <w:sz w:val="24"/>
                <w:lang w:val="en-US" w:eastAsia="zh-CN"/>
              </w:rPr>
              <w:t>t/d，</w:t>
            </w:r>
            <w:r>
              <w:rPr>
                <w:rFonts w:hint="eastAsia" w:cs="Times New Roman"/>
                <w:snapToGrid w:val="0"/>
                <w:color w:val="auto"/>
                <w:spacing w:val="0"/>
                <w:kern w:val="0"/>
                <w:sz w:val="24"/>
                <w:lang w:val="en-US" w:eastAsia="zh-CN"/>
              </w:rPr>
              <w:t>780</w:t>
            </w:r>
            <w:r>
              <w:rPr>
                <w:rFonts w:hint="default" w:ascii="Times New Roman" w:hAnsi="Times New Roman" w:eastAsia="宋体" w:cs="Times New Roman"/>
                <w:snapToGrid w:val="0"/>
                <w:color w:val="auto"/>
                <w:spacing w:val="0"/>
                <w:kern w:val="0"/>
                <w:sz w:val="24"/>
              </w:rPr>
              <w:t>t/a</w:t>
            </w:r>
            <w:r>
              <w:rPr>
                <w:rFonts w:hint="eastAsia" w:cs="Times New Roman"/>
                <w:snapToGrid w:val="0"/>
                <w:color w:val="auto"/>
                <w:spacing w:val="0"/>
                <w:kern w:val="0"/>
                <w:sz w:val="24"/>
                <w:lang w:eastAsia="zh-CN"/>
              </w:rPr>
              <w:t>，</w:t>
            </w:r>
            <w:r>
              <w:rPr>
                <w:rFonts w:hint="eastAsia" w:cs="Times New Roman"/>
                <w:snapToGrid w:val="0"/>
                <w:color w:val="auto"/>
                <w:spacing w:val="0"/>
                <w:kern w:val="0"/>
                <w:sz w:val="24"/>
                <w:lang w:val="en-US" w:eastAsia="zh-CN"/>
              </w:rPr>
              <w:t>供热</w:t>
            </w:r>
            <w:r>
              <w:rPr>
                <w:rFonts w:hint="default" w:ascii="Times New Roman" w:hAnsi="Times New Roman" w:eastAsia="宋体" w:cs="Times New Roman"/>
                <w:snapToGrid w:val="0"/>
                <w:color w:val="auto"/>
                <w:spacing w:val="0"/>
                <w:kern w:val="0"/>
                <w:sz w:val="24"/>
              </w:rPr>
              <w:t>锅炉补水新鲜水用水量为</w:t>
            </w:r>
            <w:r>
              <w:rPr>
                <w:rFonts w:hint="eastAsia" w:cs="Times New Roman"/>
                <w:snapToGrid w:val="0"/>
                <w:color w:val="auto"/>
                <w:spacing w:val="0"/>
                <w:kern w:val="0"/>
                <w:sz w:val="24"/>
                <w:lang w:val="en-US" w:eastAsia="zh-CN"/>
              </w:rPr>
              <w:t>0.3</w:t>
            </w:r>
            <w:r>
              <w:rPr>
                <w:rFonts w:hint="default" w:ascii="Times New Roman" w:hAnsi="Times New Roman" w:eastAsia="宋体" w:cs="Times New Roman"/>
                <w:snapToGrid w:val="0"/>
                <w:color w:val="auto"/>
                <w:spacing w:val="0"/>
                <w:kern w:val="0"/>
                <w:sz w:val="24"/>
                <w:lang w:val="en-US" w:eastAsia="zh-CN"/>
              </w:rPr>
              <w:t>t/d，</w:t>
            </w:r>
            <w:r>
              <w:rPr>
                <w:rFonts w:hint="eastAsia" w:cs="Times New Roman"/>
                <w:snapToGrid w:val="0"/>
                <w:color w:val="auto"/>
                <w:spacing w:val="0"/>
                <w:kern w:val="0"/>
                <w:sz w:val="24"/>
                <w:lang w:val="en-US" w:eastAsia="zh-CN"/>
              </w:rPr>
              <w:t>54</w:t>
            </w:r>
            <w:r>
              <w:rPr>
                <w:rFonts w:hint="default" w:ascii="Times New Roman" w:hAnsi="Times New Roman" w:eastAsia="宋体" w:cs="Times New Roman"/>
                <w:snapToGrid w:val="0"/>
                <w:color w:val="auto"/>
                <w:spacing w:val="0"/>
                <w:kern w:val="0"/>
                <w:sz w:val="24"/>
              </w:rPr>
              <w:t>t/a。</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eastAsia" w:cs="Times New Roman"/>
                <w:snapToGrid w:val="0"/>
                <w:color w:val="auto"/>
                <w:spacing w:val="0"/>
                <w:kern w:val="0"/>
                <w:sz w:val="24"/>
                <w:lang w:eastAsia="zh-CN"/>
              </w:rPr>
              <w:t>④</w:t>
            </w:r>
            <w:r>
              <w:rPr>
                <w:rFonts w:hint="default" w:ascii="Times New Roman" w:hAnsi="Times New Roman" w:eastAsia="宋体" w:cs="Times New Roman"/>
                <w:snapToGrid w:val="0"/>
                <w:color w:val="auto"/>
                <w:spacing w:val="0"/>
                <w:kern w:val="0"/>
                <w:sz w:val="24"/>
              </w:rPr>
              <w:t>化验室用水</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本项目化验室用水主要利用外购纯水，根据最大预计的实验量，本项目化验室用水量约为0.002t/d，0.6</w:t>
            </w:r>
            <w:r>
              <w:rPr>
                <w:rFonts w:hint="default" w:ascii="Times New Roman" w:hAnsi="Times New Roman" w:eastAsia="宋体" w:cs="Times New Roman"/>
                <w:snapToGrid w:val="0"/>
                <w:color w:val="auto"/>
                <w:spacing w:val="0"/>
                <w:kern w:val="0"/>
                <w:sz w:val="24"/>
                <w:lang w:val="en-US" w:eastAsia="zh-CN"/>
              </w:rPr>
              <w:t>8</w:t>
            </w:r>
            <w:r>
              <w:rPr>
                <w:rFonts w:hint="default" w:ascii="Times New Roman" w:hAnsi="Times New Roman" w:eastAsia="宋体" w:cs="Times New Roman"/>
                <w:snapToGrid w:val="0"/>
                <w:color w:val="auto"/>
                <w:spacing w:val="0"/>
                <w:kern w:val="0"/>
                <w:sz w:val="24"/>
              </w:rPr>
              <w:t>t/a，化验室用水一部分蒸发掉、一部分进入实验废液，不外排。</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eastAsia" w:cs="Times New Roman"/>
                <w:snapToGrid w:val="0"/>
                <w:color w:val="auto"/>
                <w:spacing w:val="0"/>
                <w:kern w:val="0"/>
                <w:sz w:val="24"/>
                <w:lang w:eastAsia="zh-CN"/>
              </w:rPr>
              <w:t>⑤</w:t>
            </w:r>
            <w:r>
              <w:rPr>
                <w:rFonts w:hint="default" w:ascii="Times New Roman" w:hAnsi="Times New Roman" w:eastAsia="宋体" w:cs="Times New Roman"/>
                <w:snapToGrid w:val="0"/>
                <w:color w:val="auto"/>
                <w:spacing w:val="0"/>
                <w:kern w:val="0"/>
                <w:sz w:val="24"/>
              </w:rPr>
              <w:t>化验器皿清洗用水</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根据最大预计的化验量，本项目化验室器皿清洗用水量约0.02t/d，6.</w:t>
            </w:r>
            <w:r>
              <w:rPr>
                <w:rFonts w:hint="default" w:ascii="Times New Roman" w:hAnsi="Times New Roman" w:eastAsia="宋体" w:cs="Times New Roman"/>
                <w:snapToGrid w:val="0"/>
                <w:color w:val="auto"/>
                <w:spacing w:val="0"/>
                <w:kern w:val="0"/>
                <w:sz w:val="24"/>
                <w:lang w:val="en-US" w:eastAsia="zh-CN"/>
              </w:rPr>
              <w:t>8</w:t>
            </w:r>
            <w:r>
              <w:rPr>
                <w:rFonts w:hint="default" w:ascii="Times New Roman" w:hAnsi="Times New Roman" w:eastAsia="宋体" w:cs="Times New Roman"/>
                <w:snapToGrid w:val="0"/>
                <w:color w:val="auto"/>
                <w:spacing w:val="0"/>
                <w:kern w:val="0"/>
                <w:sz w:val="24"/>
              </w:rPr>
              <w:t>t/a。</w:t>
            </w:r>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（2）排水</w:t>
            </w:r>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项目排水采用雨、污分流制。雨水排入市政雨水管网。项目废水主要为职工生活污水、软化处理废水和锅炉排污水及化验室</w:t>
            </w:r>
            <w:r>
              <w:rPr>
                <w:rFonts w:hint="default" w:ascii="Times New Roman" w:hAnsi="Times New Roman" w:eastAsia="宋体" w:cs="Times New Roman"/>
                <w:color w:val="auto"/>
                <w:spacing w:val="0"/>
                <w:sz w:val="24"/>
              </w:rPr>
              <w:t>器皿清洗废水</w:t>
            </w:r>
            <w:r>
              <w:rPr>
                <w:rFonts w:hint="default" w:ascii="Times New Roman" w:hAnsi="Times New Roman" w:eastAsia="宋体" w:cs="Times New Roman"/>
                <w:snapToGrid w:val="0"/>
                <w:color w:val="auto"/>
                <w:spacing w:val="0"/>
                <w:kern w:val="0"/>
                <w:sz w:val="24"/>
              </w:rPr>
              <w:t>。</w:t>
            </w:r>
          </w:p>
          <w:p>
            <w:pPr>
              <w:keepNext w:val="0"/>
              <w:keepLines w:val="0"/>
              <w:kinsoku/>
              <w:wordWrap/>
              <w:overflowPunct/>
              <w:topLinePunct w:val="0"/>
              <w:bidi w:val="0"/>
              <w:spacing w:beforeAutospacing="0" w:afterAutospacing="0" w:line="460" w:lineRule="exact"/>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①生活污水</w:t>
            </w:r>
          </w:p>
          <w:p>
            <w:pPr>
              <w:keepNext w:val="0"/>
              <w:keepLines w:val="0"/>
              <w:kinsoku/>
              <w:wordWrap/>
              <w:overflowPunct/>
              <w:topLinePunct w:val="0"/>
              <w:bidi w:val="0"/>
              <w:spacing w:beforeAutospacing="0" w:afterAutospacing="0" w:line="460" w:lineRule="exact"/>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生活污水排放量按用水量的80%计，则排放量为</w:t>
            </w:r>
            <w:r>
              <w:rPr>
                <w:rFonts w:hint="eastAsia" w:cs="Times New Roman"/>
                <w:snapToGrid w:val="0"/>
                <w:color w:val="auto"/>
                <w:spacing w:val="0"/>
                <w:kern w:val="0"/>
                <w:sz w:val="24"/>
                <w:lang w:val="en-US" w:eastAsia="zh-CN"/>
              </w:rPr>
              <w:t>0.77</w:t>
            </w:r>
            <w:r>
              <w:rPr>
                <w:rFonts w:hint="default" w:ascii="Times New Roman" w:hAnsi="Times New Roman" w:eastAsia="宋体" w:cs="Times New Roman"/>
                <w:snapToGrid w:val="0"/>
                <w:color w:val="auto"/>
                <w:spacing w:val="0"/>
                <w:kern w:val="0"/>
                <w:sz w:val="24"/>
              </w:rPr>
              <w:t>t/d，</w:t>
            </w:r>
            <w:r>
              <w:rPr>
                <w:rFonts w:hint="eastAsia" w:cs="Times New Roman"/>
                <w:snapToGrid w:val="0"/>
                <w:color w:val="auto"/>
                <w:spacing w:val="0"/>
                <w:kern w:val="0"/>
                <w:sz w:val="24"/>
                <w:lang w:val="en-US" w:eastAsia="zh-CN"/>
              </w:rPr>
              <w:t>199.7</w:t>
            </w:r>
            <w:r>
              <w:rPr>
                <w:rFonts w:hint="default" w:ascii="Times New Roman" w:hAnsi="Times New Roman" w:eastAsia="宋体" w:cs="Times New Roman"/>
                <w:snapToGrid w:val="0"/>
                <w:color w:val="auto"/>
                <w:spacing w:val="0"/>
                <w:kern w:val="0"/>
                <w:sz w:val="24"/>
              </w:rPr>
              <w:t>t/a。</w:t>
            </w:r>
          </w:p>
          <w:p>
            <w:pPr>
              <w:keepNext w:val="0"/>
              <w:keepLines w:val="0"/>
              <w:kinsoku/>
              <w:wordWrap/>
              <w:overflowPunct/>
              <w:topLinePunct w:val="0"/>
              <w:bidi w:val="0"/>
              <w:spacing w:beforeAutospacing="0" w:afterAutospacing="0" w:line="440" w:lineRule="exact"/>
              <w:ind w:left="0" w:leftChars="0" w:right="0" w:rightChars="0" w:firstLine="480" w:firstLineChars="200"/>
              <w:outlineLvl w:val="9"/>
              <w:rPr>
                <w:rFonts w:hint="eastAsia" w:ascii="Times New Roman" w:hAnsi="Times New Roman" w:eastAsia="宋体" w:cs="Times New Roman"/>
                <w:snapToGrid w:val="0"/>
                <w:color w:val="auto"/>
                <w:spacing w:val="0"/>
                <w:kern w:val="0"/>
                <w:sz w:val="24"/>
                <w:lang w:eastAsia="zh-CN"/>
              </w:rPr>
            </w:pPr>
            <w:r>
              <w:rPr>
                <w:rFonts w:hint="eastAsia" w:cs="Times New Roman"/>
                <w:snapToGrid w:val="0"/>
                <w:color w:val="auto"/>
                <w:spacing w:val="0"/>
                <w:kern w:val="0"/>
                <w:sz w:val="24"/>
                <w:lang w:eastAsia="zh-CN"/>
              </w:rPr>
              <w:t>②食堂废水</w:t>
            </w:r>
          </w:p>
          <w:p>
            <w:pPr>
              <w:keepNext w:val="0"/>
              <w:keepLines w:val="0"/>
              <w:kinsoku/>
              <w:wordWrap/>
              <w:overflowPunct/>
              <w:topLinePunct w:val="0"/>
              <w:bidi w:val="0"/>
              <w:spacing w:beforeAutospacing="0" w:afterAutospacing="0" w:line="440" w:lineRule="exact"/>
              <w:ind w:left="0" w:leftChars="0" w:right="0" w:rightChars="0" w:firstLine="480" w:firstLineChars="200"/>
              <w:outlineLvl w:val="9"/>
              <w:rPr>
                <w:rFonts w:hint="default" w:ascii="Times New Roman" w:hAnsi="Times New Roman" w:eastAsia="宋体" w:cs="Times New Roman"/>
                <w:snapToGrid w:val="0"/>
                <w:color w:val="auto"/>
                <w:spacing w:val="0"/>
                <w:kern w:val="0"/>
                <w:sz w:val="24"/>
                <w:lang w:val="en-US" w:eastAsia="zh-CN"/>
              </w:rPr>
            </w:pPr>
            <w:r>
              <w:rPr>
                <w:rFonts w:hint="eastAsia" w:cs="Times New Roman"/>
                <w:snapToGrid w:val="0"/>
                <w:color w:val="auto"/>
                <w:spacing w:val="0"/>
                <w:kern w:val="0"/>
                <w:sz w:val="24"/>
                <w:lang w:eastAsia="zh-CN"/>
              </w:rPr>
              <w:t>食堂废水排放量按用水量的</w:t>
            </w:r>
            <w:r>
              <w:rPr>
                <w:rFonts w:hint="eastAsia" w:cs="Times New Roman"/>
                <w:snapToGrid w:val="0"/>
                <w:color w:val="auto"/>
                <w:spacing w:val="0"/>
                <w:kern w:val="0"/>
                <w:sz w:val="24"/>
                <w:lang w:val="en-US" w:eastAsia="zh-CN"/>
              </w:rPr>
              <w:t>80%计，</w:t>
            </w:r>
            <w:r>
              <w:rPr>
                <w:rFonts w:hint="default" w:ascii="Times New Roman" w:hAnsi="Times New Roman" w:eastAsia="宋体" w:cs="Times New Roman"/>
                <w:snapToGrid w:val="0"/>
                <w:color w:val="auto"/>
                <w:spacing w:val="0"/>
                <w:kern w:val="0"/>
                <w:sz w:val="24"/>
              </w:rPr>
              <w:t>则排放量为</w:t>
            </w:r>
            <w:r>
              <w:rPr>
                <w:rFonts w:hint="eastAsia" w:cs="Times New Roman"/>
                <w:snapToGrid w:val="0"/>
                <w:color w:val="auto"/>
                <w:spacing w:val="0"/>
                <w:kern w:val="0"/>
                <w:sz w:val="24"/>
                <w:lang w:val="en-US" w:eastAsia="zh-CN"/>
              </w:rPr>
              <w:t>0.58</w:t>
            </w:r>
            <w:r>
              <w:rPr>
                <w:rFonts w:hint="default" w:ascii="Times New Roman" w:hAnsi="Times New Roman" w:eastAsia="宋体" w:cs="Times New Roman"/>
                <w:snapToGrid w:val="0"/>
                <w:color w:val="auto"/>
                <w:spacing w:val="0"/>
                <w:kern w:val="0"/>
                <w:sz w:val="24"/>
              </w:rPr>
              <w:t>t/d，</w:t>
            </w:r>
            <w:r>
              <w:rPr>
                <w:rFonts w:hint="eastAsia" w:cs="Times New Roman"/>
                <w:snapToGrid w:val="0"/>
                <w:color w:val="auto"/>
                <w:spacing w:val="0"/>
                <w:kern w:val="0"/>
                <w:sz w:val="24"/>
                <w:lang w:val="en-US" w:eastAsia="zh-CN"/>
              </w:rPr>
              <w:t>149.8</w:t>
            </w:r>
            <w:r>
              <w:rPr>
                <w:rFonts w:hint="default" w:ascii="Times New Roman" w:hAnsi="Times New Roman" w:eastAsia="宋体" w:cs="Times New Roman"/>
                <w:snapToGrid w:val="0"/>
                <w:color w:val="auto"/>
                <w:spacing w:val="0"/>
                <w:kern w:val="0"/>
                <w:sz w:val="24"/>
              </w:rPr>
              <w:t>t/a。</w:t>
            </w:r>
          </w:p>
          <w:p>
            <w:pPr>
              <w:keepNext w:val="0"/>
              <w:keepLines w:val="0"/>
              <w:kinsoku/>
              <w:wordWrap/>
              <w:overflowPunct/>
              <w:topLinePunct w:val="0"/>
              <w:bidi w:val="0"/>
              <w:spacing w:beforeAutospacing="0" w:afterAutospacing="0" w:line="440" w:lineRule="exact"/>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eastAsia" w:cs="Times New Roman"/>
                <w:snapToGrid w:val="0"/>
                <w:color w:val="auto"/>
                <w:spacing w:val="0"/>
                <w:kern w:val="0"/>
                <w:sz w:val="24"/>
                <w:lang w:eastAsia="zh-CN"/>
              </w:rPr>
              <w:t>③</w:t>
            </w:r>
            <w:r>
              <w:rPr>
                <w:rFonts w:hint="default" w:ascii="Times New Roman" w:hAnsi="Times New Roman" w:eastAsia="宋体" w:cs="Times New Roman"/>
                <w:snapToGrid w:val="0"/>
                <w:color w:val="auto"/>
                <w:spacing w:val="0"/>
                <w:kern w:val="0"/>
                <w:sz w:val="24"/>
              </w:rPr>
              <w:t>软化处理废水和锅炉排污水</w:t>
            </w:r>
          </w:p>
          <w:p>
            <w:pPr>
              <w:pStyle w:val="9"/>
              <w:keepNext w:val="0"/>
              <w:keepLines w:val="0"/>
              <w:kinsoku/>
              <w:wordWrap/>
              <w:overflowPunct/>
              <w:topLinePunct w:val="0"/>
              <w:bidi w:val="0"/>
              <w:spacing w:beforeAutospacing="0" w:afterAutospacing="0" w:line="440" w:lineRule="exact"/>
              <w:ind w:left="0" w:leftChars="0" w:right="0" w:rightChars="0" w:firstLine="480" w:firstLineChars="200"/>
              <w:outlineLvl w:val="9"/>
              <w:rPr>
                <w:rFonts w:hint="default" w:ascii="Times New Roman" w:hAnsi="Times New Roman" w:eastAsia="宋体" w:cs="Times New Roman"/>
                <w:snapToGrid w:val="0"/>
                <w:color w:val="auto"/>
                <w:spacing w:val="0"/>
                <w:sz w:val="24"/>
              </w:rPr>
            </w:pPr>
            <w:r>
              <w:rPr>
                <w:rFonts w:hint="default" w:ascii="Times New Roman" w:hAnsi="Times New Roman" w:eastAsia="宋体" w:cs="Times New Roman"/>
                <w:snapToGrid w:val="0"/>
                <w:color w:val="auto"/>
                <w:spacing w:val="0"/>
                <w:sz w:val="24"/>
              </w:rPr>
              <w:t>本项目锅炉采用锅外水处理。根据《排放源统计调查产排污核算方法和系数手册》（公告 2021年 第24号）中“4430工业锅炉（热力生产和供应行业）产排污系数表”的内容，燃</w:t>
            </w:r>
            <w:r>
              <w:rPr>
                <w:rFonts w:hint="eastAsia" w:ascii="Times New Roman" w:hAnsi="Times New Roman" w:cs="Times New Roman"/>
                <w:snapToGrid w:val="0"/>
                <w:color w:val="auto"/>
                <w:spacing w:val="0"/>
                <w:sz w:val="24"/>
                <w:lang w:val="en-US" w:eastAsia="zh-CN"/>
              </w:rPr>
              <w:t>生物质</w:t>
            </w:r>
            <w:r>
              <w:rPr>
                <w:rFonts w:hint="default" w:ascii="Times New Roman" w:hAnsi="Times New Roman" w:eastAsia="宋体" w:cs="Times New Roman"/>
                <w:snapToGrid w:val="0"/>
                <w:color w:val="auto"/>
                <w:spacing w:val="0"/>
                <w:sz w:val="24"/>
              </w:rPr>
              <w:t>锅炉（锅炉排污水＋软化处理废水）废水产生系数为</w:t>
            </w:r>
            <w:r>
              <w:rPr>
                <w:rFonts w:hint="eastAsia" w:ascii="Times New Roman" w:hAnsi="Times New Roman" w:cs="Times New Roman"/>
                <w:snapToGrid w:val="0"/>
                <w:color w:val="auto"/>
                <w:spacing w:val="0"/>
                <w:sz w:val="24"/>
                <w:lang w:val="en-US" w:eastAsia="zh-CN"/>
              </w:rPr>
              <w:t>0.356</w:t>
            </w:r>
            <w:r>
              <w:rPr>
                <w:rFonts w:hint="default" w:ascii="Times New Roman" w:hAnsi="Times New Roman" w:eastAsia="宋体" w:cs="Times New Roman"/>
                <w:snapToGrid w:val="0"/>
                <w:color w:val="auto"/>
                <w:spacing w:val="0"/>
                <w:sz w:val="24"/>
              </w:rPr>
              <w:t>吨/</w:t>
            </w:r>
            <w:r>
              <w:rPr>
                <w:rFonts w:hint="eastAsia" w:ascii="Times New Roman" w:hAnsi="Times New Roman" w:cs="Times New Roman"/>
                <w:snapToGrid w:val="0"/>
                <w:color w:val="auto"/>
                <w:spacing w:val="0"/>
                <w:sz w:val="24"/>
                <w:lang w:val="en-US" w:eastAsia="zh-CN"/>
              </w:rPr>
              <w:t>吨</w:t>
            </w:r>
            <w:r>
              <w:rPr>
                <w:rFonts w:hint="default" w:ascii="Times New Roman" w:hAnsi="Times New Roman" w:eastAsia="宋体" w:cs="Times New Roman"/>
                <w:snapToGrid w:val="0"/>
                <w:color w:val="auto"/>
                <w:spacing w:val="0"/>
                <w:sz w:val="24"/>
              </w:rPr>
              <w:t>-</w:t>
            </w:r>
            <w:r>
              <w:rPr>
                <w:rFonts w:hint="eastAsia" w:ascii="Times New Roman" w:hAnsi="Times New Roman" w:cs="Times New Roman"/>
                <w:snapToGrid w:val="0"/>
                <w:color w:val="auto"/>
                <w:spacing w:val="0"/>
                <w:sz w:val="24"/>
                <w:lang w:val="en-US" w:eastAsia="zh-CN"/>
              </w:rPr>
              <w:t>原料</w:t>
            </w:r>
            <w:r>
              <w:rPr>
                <w:rFonts w:hint="default" w:ascii="Times New Roman" w:hAnsi="Times New Roman" w:eastAsia="宋体" w:cs="Times New Roman"/>
                <w:snapToGrid w:val="0"/>
                <w:color w:val="auto"/>
                <w:spacing w:val="0"/>
                <w:sz w:val="24"/>
              </w:rPr>
              <w:t>，本项目燃</w:t>
            </w:r>
            <w:r>
              <w:rPr>
                <w:rFonts w:hint="eastAsia" w:ascii="Times New Roman" w:hAnsi="Times New Roman" w:cs="Times New Roman"/>
                <w:snapToGrid w:val="0"/>
                <w:color w:val="auto"/>
                <w:spacing w:val="0"/>
                <w:sz w:val="24"/>
                <w:lang w:val="en-US" w:eastAsia="zh-CN"/>
              </w:rPr>
              <w:t>生物质蒸汽</w:t>
            </w:r>
            <w:r>
              <w:rPr>
                <w:rFonts w:hint="default" w:ascii="Times New Roman" w:hAnsi="Times New Roman" w:eastAsia="宋体" w:cs="Times New Roman"/>
                <w:snapToGrid w:val="0"/>
                <w:color w:val="auto"/>
                <w:spacing w:val="0"/>
                <w:sz w:val="24"/>
              </w:rPr>
              <w:t>锅炉年燃烧</w:t>
            </w:r>
            <w:r>
              <w:rPr>
                <w:rFonts w:hint="eastAsia" w:ascii="Times New Roman" w:hAnsi="Times New Roman" w:cs="Times New Roman"/>
                <w:snapToGrid w:val="0"/>
                <w:color w:val="auto"/>
                <w:spacing w:val="0"/>
                <w:sz w:val="24"/>
                <w:lang w:val="en-US" w:eastAsia="zh-CN"/>
              </w:rPr>
              <w:t>生物质1085.1t/a</w:t>
            </w:r>
            <w:r>
              <w:rPr>
                <w:rFonts w:hint="default" w:ascii="Times New Roman" w:hAnsi="Times New Roman" w:eastAsia="宋体" w:cs="Times New Roman"/>
                <w:snapToGrid w:val="0"/>
                <w:color w:val="auto"/>
                <w:spacing w:val="0"/>
                <w:sz w:val="24"/>
              </w:rPr>
              <w:t>，故锅炉排污水及软化处理废水量为</w:t>
            </w:r>
            <w:r>
              <w:rPr>
                <w:rFonts w:hint="eastAsia" w:ascii="Times New Roman" w:hAnsi="Times New Roman" w:cs="Times New Roman"/>
                <w:snapToGrid w:val="0"/>
                <w:color w:val="auto"/>
                <w:spacing w:val="0"/>
                <w:sz w:val="24"/>
                <w:lang w:val="en-US" w:eastAsia="zh-CN"/>
              </w:rPr>
              <w:t>1.49</w:t>
            </w:r>
            <w:r>
              <w:rPr>
                <w:rFonts w:hint="default" w:ascii="Times New Roman" w:hAnsi="Times New Roman" w:eastAsia="宋体" w:cs="Times New Roman"/>
                <w:snapToGrid w:val="0"/>
                <w:color w:val="auto"/>
                <w:spacing w:val="0"/>
                <w:kern w:val="0"/>
                <w:sz w:val="24"/>
                <w:lang w:val="en-US" w:eastAsia="zh-CN"/>
              </w:rPr>
              <w:t>t/d，</w:t>
            </w:r>
            <w:r>
              <w:rPr>
                <w:rFonts w:hint="eastAsia" w:ascii="Times New Roman" w:hAnsi="Times New Roman" w:cs="Times New Roman"/>
                <w:snapToGrid w:val="0"/>
                <w:color w:val="auto"/>
                <w:spacing w:val="0"/>
                <w:sz w:val="24"/>
                <w:lang w:val="en-US" w:eastAsia="zh-CN"/>
              </w:rPr>
              <w:t>386.3</w:t>
            </w:r>
            <w:r>
              <w:rPr>
                <w:rFonts w:hint="default" w:ascii="Times New Roman" w:hAnsi="Times New Roman" w:eastAsia="宋体" w:cs="Times New Roman"/>
                <w:snapToGrid w:val="0"/>
                <w:color w:val="auto"/>
                <w:spacing w:val="0"/>
                <w:sz w:val="24"/>
              </w:rPr>
              <w:t>t/a</w:t>
            </w:r>
            <w:r>
              <w:rPr>
                <w:rFonts w:hint="eastAsia" w:ascii="Times New Roman" w:hAnsi="Times New Roman" w:cs="Times New Roman"/>
                <w:snapToGrid w:val="0"/>
                <w:color w:val="auto"/>
                <w:spacing w:val="0"/>
                <w:sz w:val="24"/>
                <w:lang w:eastAsia="zh-CN"/>
              </w:rPr>
              <w:t>（其中软化水废水</w:t>
            </w:r>
            <w:r>
              <w:rPr>
                <w:rFonts w:hint="eastAsia" w:ascii="Times New Roman" w:hAnsi="Times New Roman" w:cs="Times New Roman"/>
                <w:snapToGrid w:val="0"/>
                <w:color w:val="auto"/>
                <w:spacing w:val="0"/>
                <w:sz w:val="24"/>
                <w:lang w:val="en-US" w:eastAsia="zh-CN"/>
              </w:rPr>
              <w:t>0.6t/d，156t/a；锅炉排污水0.89t/d，230.3t/a</w:t>
            </w:r>
            <w:r>
              <w:rPr>
                <w:rFonts w:hint="eastAsia" w:ascii="Times New Roman" w:hAnsi="Times New Roman" w:cs="Times New Roman"/>
                <w:snapToGrid w:val="0"/>
                <w:color w:val="auto"/>
                <w:spacing w:val="0"/>
                <w:sz w:val="24"/>
                <w:lang w:eastAsia="zh-CN"/>
              </w:rPr>
              <w:t>）；</w:t>
            </w:r>
            <w:r>
              <w:rPr>
                <w:rFonts w:hint="default" w:ascii="Times New Roman" w:hAnsi="Times New Roman" w:eastAsia="宋体" w:cs="Times New Roman"/>
                <w:snapToGrid w:val="0"/>
                <w:color w:val="auto"/>
                <w:spacing w:val="0"/>
                <w:sz w:val="24"/>
              </w:rPr>
              <w:t>本项目燃</w:t>
            </w:r>
            <w:r>
              <w:rPr>
                <w:rFonts w:hint="eastAsia" w:ascii="Times New Roman" w:hAnsi="Times New Roman" w:cs="Times New Roman"/>
                <w:snapToGrid w:val="0"/>
                <w:color w:val="auto"/>
                <w:spacing w:val="0"/>
                <w:sz w:val="24"/>
                <w:lang w:val="en-US" w:eastAsia="zh-CN"/>
              </w:rPr>
              <w:t>生物质供热</w:t>
            </w:r>
            <w:r>
              <w:rPr>
                <w:rFonts w:hint="default" w:ascii="Times New Roman" w:hAnsi="Times New Roman" w:eastAsia="宋体" w:cs="Times New Roman"/>
                <w:snapToGrid w:val="0"/>
                <w:color w:val="auto"/>
                <w:spacing w:val="0"/>
                <w:sz w:val="24"/>
              </w:rPr>
              <w:t>锅炉年燃烧</w:t>
            </w:r>
            <w:r>
              <w:rPr>
                <w:rFonts w:hint="eastAsia" w:ascii="Times New Roman" w:hAnsi="Times New Roman" w:cs="Times New Roman"/>
                <w:snapToGrid w:val="0"/>
                <w:color w:val="auto"/>
                <w:spacing w:val="0"/>
                <w:sz w:val="24"/>
                <w:lang w:val="en-US" w:eastAsia="zh-CN"/>
              </w:rPr>
              <w:t>生物质751.2t/a</w:t>
            </w:r>
            <w:r>
              <w:rPr>
                <w:rFonts w:hint="default" w:ascii="Times New Roman" w:hAnsi="Times New Roman" w:eastAsia="宋体" w:cs="Times New Roman"/>
                <w:snapToGrid w:val="0"/>
                <w:color w:val="auto"/>
                <w:spacing w:val="0"/>
                <w:sz w:val="24"/>
              </w:rPr>
              <w:t>，故锅炉排污水及软化处理废水量为</w:t>
            </w:r>
            <w:r>
              <w:rPr>
                <w:rFonts w:hint="eastAsia" w:ascii="Times New Roman" w:hAnsi="Times New Roman" w:cs="Times New Roman"/>
                <w:snapToGrid w:val="0"/>
                <w:color w:val="auto"/>
                <w:spacing w:val="0"/>
                <w:sz w:val="24"/>
                <w:lang w:val="en-US" w:eastAsia="zh-CN"/>
              </w:rPr>
              <w:t>1.49</w:t>
            </w:r>
            <w:r>
              <w:rPr>
                <w:rFonts w:hint="default" w:ascii="Times New Roman" w:hAnsi="Times New Roman" w:eastAsia="宋体" w:cs="Times New Roman"/>
                <w:snapToGrid w:val="0"/>
                <w:color w:val="auto"/>
                <w:spacing w:val="0"/>
                <w:kern w:val="0"/>
                <w:sz w:val="24"/>
                <w:lang w:val="en-US" w:eastAsia="zh-CN"/>
              </w:rPr>
              <w:t>t/d，</w:t>
            </w:r>
            <w:r>
              <w:rPr>
                <w:rFonts w:hint="eastAsia" w:ascii="Times New Roman" w:hAnsi="Times New Roman" w:cs="Times New Roman"/>
                <w:snapToGrid w:val="0"/>
                <w:color w:val="auto"/>
                <w:spacing w:val="0"/>
                <w:sz w:val="24"/>
                <w:lang w:val="en-US" w:eastAsia="zh-CN"/>
              </w:rPr>
              <w:t>267.4</w:t>
            </w:r>
            <w:r>
              <w:rPr>
                <w:rFonts w:hint="default" w:ascii="Times New Roman" w:hAnsi="Times New Roman" w:eastAsia="宋体" w:cs="Times New Roman"/>
                <w:snapToGrid w:val="0"/>
                <w:color w:val="auto"/>
                <w:spacing w:val="0"/>
                <w:sz w:val="24"/>
              </w:rPr>
              <w:t>t/a</w:t>
            </w:r>
            <w:r>
              <w:rPr>
                <w:rFonts w:hint="eastAsia" w:ascii="Times New Roman" w:hAnsi="Times New Roman" w:cs="Times New Roman"/>
                <w:snapToGrid w:val="0"/>
                <w:color w:val="auto"/>
                <w:spacing w:val="0"/>
                <w:sz w:val="24"/>
                <w:lang w:eastAsia="zh-CN"/>
              </w:rPr>
              <w:t>（其中软化水废水</w:t>
            </w:r>
            <w:r>
              <w:rPr>
                <w:rFonts w:hint="eastAsia" w:ascii="Times New Roman" w:hAnsi="Times New Roman" w:cs="Times New Roman"/>
                <w:snapToGrid w:val="0"/>
                <w:color w:val="auto"/>
                <w:spacing w:val="0"/>
                <w:sz w:val="24"/>
                <w:lang w:val="en-US" w:eastAsia="zh-CN"/>
              </w:rPr>
              <w:t>0.06t/d，10.8t/a；锅炉排污水1.43t/d，256.6t/a</w:t>
            </w:r>
            <w:r>
              <w:rPr>
                <w:rFonts w:hint="eastAsia" w:ascii="Times New Roman" w:hAnsi="Times New Roman" w:cs="Times New Roman"/>
                <w:snapToGrid w:val="0"/>
                <w:color w:val="auto"/>
                <w:spacing w:val="0"/>
                <w:sz w:val="24"/>
                <w:lang w:eastAsia="zh-CN"/>
              </w:rPr>
              <w:t>）</w:t>
            </w:r>
            <w:r>
              <w:rPr>
                <w:rFonts w:hint="default" w:ascii="Times New Roman" w:hAnsi="Times New Roman" w:eastAsia="宋体" w:cs="Times New Roman"/>
                <w:snapToGrid w:val="0"/>
                <w:color w:val="auto"/>
                <w:spacing w:val="0"/>
                <w:sz w:val="24"/>
              </w:rPr>
              <w:t>。</w:t>
            </w:r>
          </w:p>
          <w:p>
            <w:pPr>
              <w:pStyle w:val="9"/>
              <w:keepNext w:val="0"/>
              <w:keepLines w:val="0"/>
              <w:kinsoku/>
              <w:wordWrap/>
              <w:overflowPunct/>
              <w:topLinePunct w:val="0"/>
              <w:bidi w:val="0"/>
              <w:spacing w:beforeAutospacing="0" w:afterAutospacing="0" w:line="440" w:lineRule="exact"/>
              <w:ind w:left="0" w:leftChars="0" w:right="0" w:rightChars="0" w:firstLine="480" w:firstLineChars="200"/>
              <w:outlineLvl w:val="9"/>
              <w:rPr>
                <w:rFonts w:hint="default" w:ascii="Times New Roman" w:hAnsi="Times New Roman" w:eastAsia="宋体" w:cs="Times New Roman"/>
                <w:snapToGrid w:val="0"/>
                <w:color w:val="auto"/>
                <w:spacing w:val="0"/>
                <w:sz w:val="24"/>
              </w:rPr>
            </w:pPr>
            <w:r>
              <w:rPr>
                <w:rFonts w:hint="eastAsia" w:ascii="Times New Roman" w:hAnsi="Times New Roman" w:cs="Times New Roman"/>
                <w:snapToGrid w:val="0"/>
                <w:color w:val="auto"/>
                <w:spacing w:val="0"/>
                <w:sz w:val="24"/>
                <w:lang w:eastAsia="zh-CN"/>
              </w:rPr>
              <w:t>④</w:t>
            </w:r>
            <w:r>
              <w:rPr>
                <w:rFonts w:hint="default" w:ascii="Times New Roman" w:hAnsi="Times New Roman" w:eastAsia="宋体" w:cs="Times New Roman"/>
                <w:snapToGrid w:val="0"/>
                <w:color w:val="auto"/>
                <w:spacing w:val="0"/>
                <w:sz w:val="24"/>
              </w:rPr>
              <w:t>化验室器皿清洗用水</w:t>
            </w:r>
          </w:p>
          <w:p>
            <w:pPr>
              <w:pStyle w:val="9"/>
              <w:keepNext w:val="0"/>
              <w:keepLines w:val="0"/>
              <w:kinsoku/>
              <w:wordWrap/>
              <w:overflowPunct/>
              <w:topLinePunct w:val="0"/>
              <w:bidi w:val="0"/>
              <w:spacing w:beforeAutospacing="0" w:afterAutospacing="0" w:line="440" w:lineRule="exact"/>
              <w:ind w:left="0" w:leftChars="0" w:right="0" w:rightChars="0" w:firstLine="480" w:firstLineChars="200"/>
              <w:outlineLvl w:val="9"/>
              <w:rPr>
                <w:rFonts w:hint="default" w:ascii="Times New Roman" w:hAnsi="Times New Roman" w:eastAsia="宋体" w:cs="Times New Roman"/>
                <w:snapToGrid w:val="0"/>
                <w:color w:val="auto"/>
                <w:spacing w:val="0"/>
                <w:sz w:val="24"/>
              </w:rPr>
            </w:pPr>
            <w:r>
              <w:rPr>
                <w:rFonts w:hint="default" w:ascii="Times New Roman" w:hAnsi="Times New Roman" w:eastAsia="宋体" w:cs="Times New Roman"/>
                <w:color w:val="auto"/>
                <w:spacing w:val="0"/>
                <w:sz w:val="24"/>
              </w:rPr>
              <w:t>本项目化验器皿清洗废水产生量按用水量的80%计，废水排放量约为0.016m</w:t>
            </w:r>
            <w:r>
              <w:rPr>
                <w:rFonts w:hint="default" w:ascii="Times New Roman" w:hAnsi="Times New Roman" w:eastAsia="宋体" w:cs="Times New Roman"/>
                <w:color w:val="auto"/>
                <w:spacing w:val="0"/>
                <w:sz w:val="24"/>
                <w:vertAlign w:val="superscript"/>
              </w:rPr>
              <w:t>3</w:t>
            </w:r>
            <w:r>
              <w:rPr>
                <w:rFonts w:hint="default" w:ascii="Times New Roman" w:hAnsi="Times New Roman" w:eastAsia="宋体" w:cs="Times New Roman"/>
                <w:color w:val="auto"/>
                <w:spacing w:val="0"/>
                <w:sz w:val="24"/>
              </w:rPr>
              <w:t>/d，5</w:t>
            </w:r>
            <w:r>
              <w:rPr>
                <w:rFonts w:hint="default" w:ascii="Times New Roman" w:hAnsi="Times New Roman" w:eastAsia="宋体" w:cs="Times New Roman"/>
                <w:color w:val="auto"/>
                <w:spacing w:val="0"/>
                <w:sz w:val="24"/>
                <w:lang w:val="en-US" w:eastAsia="zh-CN"/>
              </w:rPr>
              <w:t>.44</w:t>
            </w:r>
            <w:r>
              <w:rPr>
                <w:rFonts w:hint="default" w:ascii="Times New Roman" w:hAnsi="Times New Roman" w:eastAsia="宋体" w:cs="Times New Roman"/>
                <w:color w:val="auto"/>
                <w:spacing w:val="0"/>
                <w:sz w:val="24"/>
              </w:rPr>
              <w:t>t/a，水质污染物较少，但可能含有酸、碱污染物，先经中和池（位于化验室，容积为0.1m</w:t>
            </w:r>
            <w:r>
              <w:rPr>
                <w:rFonts w:hint="default" w:ascii="Times New Roman" w:hAnsi="Times New Roman" w:eastAsia="宋体" w:cs="Times New Roman"/>
                <w:color w:val="auto"/>
                <w:spacing w:val="0"/>
                <w:sz w:val="24"/>
                <w:vertAlign w:val="superscript"/>
              </w:rPr>
              <w:t>3</w:t>
            </w:r>
            <w:r>
              <w:rPr>
                <w:rFonts w:hint="default" w:ascii="Times New Roman" w:hAnsi="Times New Roman" w:eastAsia="宋体" w:cs="Times New Roman"/>
                <w:color w:val="auto"/>
                <w:spacing w:val="0"/>
                <w:sz w:val="24"/>
              </w:rPr>
              <w:t>）调节pH至6~9后，再与生活污水一起排入市政污水管网。</w:t>
            </w:r>
          </w:p>
          <w:p>
            <w:pPr>
              <w:pStyle w:val="9"/>
              <w:keepNext w:val="0"/>
              <w:keepLines w:val="0"/>
              <w:kinsoku/>
              <w:wordWrap/>
              <w:overflowPunct/>
              <w:topLinePunct w:val="0"/>
              <w:bidi w:val="0"/>
              <w:spacing w:beforeAutospacing="0" w:afterAutospacing="0" w:line="440" w:lineRule="exact"/>
              <w:ind w:left="0" w:leftChars="0" w:right="0" w:rightChars="0" w:firstLine="480" w:firstLineChars="200"/>
              <w:outlineLvl w:val="9"/>
              <w:rPr>
                <w:rFonts w:hint="default" w:ascii="Times New Roman" w:hAnsi="Times New Roman" w:eastAsia="宋体" w:cs="Times New Roman"/>
                <w:b/>
                <w:color w:val="auto"/>
                <w:spacing w:val="0"/>
                <w:sz w:val="24"/>
              </w:rPr>
            </w:pPr>
            <w:r>
              <w:rPr>
                <w:rFonts w:hint="default" w:ascii="Times New Roman" w:hAnsi="Times New Roman" w:eastAsia="宋体" w:cs="Times New Roman"/>
                <w:snapToGrid w:val="0"/>
                <w:color w:val="auto"/>
                <w:spacing w:val="0"/>
                <w:sz w:val="24"/>
              </w:rPr>
              <w:t>项目</w:t>
            </w:r>
            <w:r>
              <w:rPr>
                <w:rFonts w:hint="eastAsia" w:ascii="Times New Roman" w:hAnsi="Times New Roman" w:cs="Times New Roman"/>
                <w:color w:val="auto"/>
                <w:spacing w:val="0"/>
                <w:kern w:val="2"/>
                <w:sz w:val="24"/>
                <w:szCs w:val="24"/>
                <w:lang w:eastAsia="zh-CN"/>
              </w:rPr>
              <w:t>食堂废水</w:t>
            </w:r>
            <w:r>
              <w:rPr>
                <w:rFonts w:hint="default" w:ascii="Times New Roman" w:hAnsi="Times New Roman" w:eastAsia="宋体" w:cs="Times New Roman"/>
                <w:color w:val="auto"/>
                <w:spacing w:val="0"/>
                <w:kern w:val="2"/>
                <w:sz w:val="24"/>
                <w:szCs w:val="24"/>
              </w:rPr>
              <w:t>经隔油池处理后与生活污水</w:t>
            </w:r>
            <w:r>
              <w:rPr>
                <w:rFonts w:hint="eastAsia" w:ascii="Times New Roman" w:hAnsi="Times New Roman" w:cs="Times New Roman"/>
                <w:color w:val="auto"/>
                <w:spacing w:val="0"/>
                <w:kern w:val="2"/>
                <w:sz w:val="24"/>
                <w:szCs w:val="24"/>
                <w:lang w:eastAsia="zh-CN"/>
              </w:rPr>
              <w:t>、</w:t>
            </w:r>
            <w:r>
              <w:rPr>
                <w:rFonts w:hint="default" w:ascii="Times New Roman" w:hAnsi="Times New Roman" w:eastAsia="宋体" w:cs="Times New Roman"/>
                <w:color w:val="auto"/>
                <w:spacing w:val="0"/>
                <w:kern w:val="2"/>
                <w:sz w:val="24"/>
                <w:szCs w:val="24"/>
              </w:rPr>
              <w:t>锅炉排污水、经中和处理后的化验室器皿清洗废水一起排入防渗化粪池，水质满足《污水综合排放标准》（GB8978-1996）三级标准，由市政污水管网排入</w:t>
            </w:r>
            <w:r>
              <w:rPr>
                <w:rFonts w:hint="eastAsia" w:ascii="Times New Roman" w:hAnsi="Times New Roman" w:cs="Times New Roman"/>
                <w:color w:val="auto"/>
                <w:spacing w:val="0"/>
                <w:kern w:val="2"/>
                <w:sz w:val="24"/>
                <w:szCs w:val="24"/>
                <w:lang w:val="en-US" w:eastAsia="zh-CN"/>
              </w:rPr>
              <w:t>双城</w:t>
            </w:r>
            <w:r>
              <w:rPr>
                <w:rFonts w:hint="default" w:ascii="Times New Roman" w:hAnsi="Times New Roman" w:eastAsia="宋体" w:cs="Times New Roman"/>
                <w:color w:val="auto"/>
                <w:spacing w:val="0"/>
                <w:kern w:val="2"/>
                <w:sz w:val="24"/>
                <w:szCs w:val="24"/>
              </w:rPr>
              <w:t>污水处理厂，处理后满足《城镇污水处理厂污染物排放标准》（GB18918-2002）中的一级A标准后排放至</w:t>
            </w:r>
            <w:r>
              <w:rPr>
                <w:rFonts w:hint="eastAsia" w:ascii="Times New Roman" w:hAnsi="Times New Roman" w:cs="Times New Roman"/>
                <w:color w:val="auto"/>
                <w:spacing w:val="0"/>
                <w:kern w:val="2"/>
                <w:sz w:val="24"/>
                <w:szCs w:val="24"/>
                <w:lang w:val="en-US" w:eastAsia="zh-CN"/>
              </w:rPr>
              <w:t>拉林</w:t>
            </w:r>
            <w:r>
              <w:rPr>
                <w:rFonts w:hint="default" w:ascii="Times New Roman" w:hAnsi="Times New Roman" w:eastAsia="宋体" w:cs="Times New Roman"/>
                <w:color w:val="auto"/>
                <w:spacing w:val="0"/>
                <w:kern w:val="2"/>
                <w:sz w:val="24"/>
                <w:szCs w:val="24"/>
                <w:lang w:eastAsia="zh-CN"/>
              </w:rPr>
              <w:t>河</w:t>
            </w:r>
            <w:r>
              <w:rPr>
                <w:rFonts w:hint="default" w:ascii="Times New Roman" w:hAnsi="Times New Roman" w:eastAsia="宋体" w:cs="Times New Roman"/>
                <w:color w:val="auto"/>
                <w:spacing w:val="0"/>
                <w:kern w:val="2"/>
                <w:sz w:val="24"/>
                <w:szCs w:val="24"/>
              </w:rPr>
              <w:t>。</w:t>
            </w:r>
          </w:p>
          <w:p>
            <w:pPr>
              <w:keepNext w:val="0"/>
              <w:keepLines w:val="0"/>
              <w:topLinePunct w:val="0"/>
              <w:bidi w:val="0"/>
              <w:jc w:val="center"/>
              <w:outlineLvl w:val="9"/>
              <w:rPr>
                <w:rFonts w:hint="eastAsia" w:eastAsia="宋体"/>
                <w:lang w:eastAsia="zh-CN"/>
              </w:rPr>
            </w:pPr>
            <w:r>
              <w:drawing>
                <wp:inline distT="0" distB="0" distL="114300" distR="114300">
                  <wp:extent cx="5040630" cy="2989580"/>
                  <wp:effectExtent l="0" t="0" r="7620" b="127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9"/>
                          <a:stretch>
                            <a:fillRect/>
                          </a:stretch>
                        </pic:blipFill>
                        <pic:spPr>
                          <a:xfrm>
                            <a:off x="0" y="0"/>
                            <a:ext cx="5040630" cy="2989580"/>
                          </a:xfrm>
                          <a:prstGeom prst="rect">
                            <a:avLst/>
                          </a:prstGeom>
                          <a:noFill/>
                          <a:ln>
                            <a:noFill/>
                          </a:ln>
                        </pic:spPr>
                      </pic:pic>
                    </a:graphicData>
                  </a:graphic>
                </wp:inline>
              </w:drawing>
            </w:r>
          </w:p>
          <w:p>
            <w:pPr>
              <w:keepNext w:val="0"/>
              <w:keepLines w:val="0"/>
              <w:kinsoku/>
              <w:wordWrap/>
              <w:overflowPunct/>
              <w:topLinePunct w:val="0"/>
              <w:bidi w:val="0"/>
              <w:spacing w:beforeAutospacing="0" w:afterAutospacing="0" w:line="360" w:lineRule="auto"/>
              <w:ind w:left="0" w:leftChars="0" w:right="0" w:rightChars="0"/>
              <w:jc w:val="center"/>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b/>
                <w:color w:val="auto"/>
                <w:spacing w:val="0"/>
                <w:sz w:val="24"/>
              </w:rPr>
              <w:t>图2-2  水量平衡图（t/d）</w:t>
            </w:r>
          </w:p>
          <w:p>
            <w:pPr>
              <w:keepNext w:val="0"/>
              <w:keepLines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pacing w:val="0"/>
                <w:kern w:val="0"/>
                <w:sz w:val="24"/>
              </w:rPr>
            </w:pPr>
            <w:r>
              <w:rPr>
                <w:rFonts w:hint="default" w:ascii="Times New Roman" w:hAnsi="Times New Roman" w:eastAsia="宋体" w:cs="Times New Roman"/>
                <w:snapToGrid w:val="0"/>
                <w:color w:val="auto"/>
                <w:spacing w:val="0"/>
                <w:kern w:val="0"/>
                <w:sz w:val="24"/>
              </w:rPr>
              <w:t>（3）供热：本项目采用1台</w:t>
            </w:r>
            <w:r>
              <w:rPr>
                <w:rFonts w:hint="eastAsia" w:cs="Times New Roman"/>
                <w:snapToGrid w:val="0"/>
                <w:color w:val="auto"/>
                <w:spacing w:val="0"/>
                <w:kern w:val="0"/>
                <w:sz w:val="24"/>
                <w:lang w:val="en-US" w:eastAsia="zh-CN"/>
              </w:rPr>
              <w:t>1</w:t>
            </w:r>
            <w:r>
              <w:rPr>
                <w:rFonts w:hint="default" w:ascii="Times New Roman" w:hAnsi="Times New Roman" w:eastAsia="宋体" w:cs="Times New Roman"/>
                <w:snapToGrid w:val="0"/>
                <w:color w:val="auto"/>
                <w:spacing w:val="0"/>
                <w:kern w:val="0"/>
                <w:sz w:val="24"/>
              </w:rPr>
              <w:t>t/h的燃</w:t>
            </w:r>
            <w:r>
              <w:rPr>
                <w:rFonts w:hint="eastAsia" w:cs="Times New Roman"/>
                <w:snapToGrid w:val="0"/>
                <w:color w:val="auto"/>
                <w:spacing w:val="0"/>
                <w:kern w:val="0"/>
                <w:sz w:val="24"/>
                <w:lang w:val="en-US" w:eastAsia="zh-CN"/>
              </w:rPr>
              <w:t>生物质蒸汽</w:t>
            </w:r>
            <w:r>
              <w:rPr>
                <w:rFonts w:hint="default" w:ascii="Times New Roman" w:hAnsi="Times New Roman" w:eastAsia="宋体" w:cs="Times New Roman"/>
                <w:snapToGrid w:val="0"/>
                <w:color w:val="auto"/>
                <w:spacing w:val="0"/>
                <w:kern w:val="0"/>
                <w:sz w:val="24"/>
              </w:rPr>
              <w:t>锅炉用于厂区生产用热</w:t>
            </w:r>
            <w:r>
              <w:rPr>
                <w:rFonts w:hint="eastAsia" w:cs="Times New Roman"/>
                <w:snapToGrid w:val="0"/>
                <w:color w:val="auto"/>
                <w:spacing w:val="0"/>
                <w:kern w:val="0"/>
                <w:sz w:val="24"/>
                <w:lang w:eastAsia="zh-CN"/>
              </w:rPr>
              <w:t>，</w:t>
            </w:r>
            <w:r>
              <w:rPr>
                <w:rFonts w:hint="eastAsia" w:cs="Times New Roman"/>
                <w:snapToGrid w:val="0"/>
                <w:color w:val="auto"/>
                <w:spacing w:val="0"/>
                <w:kern w:val="0"/>
                <w:sz w:val="24"/>
                <w:lang w:val="en-US" w:eastAsia="zh-CN"/>
              </w:rPr>
              <w:t>冬季供暖采用1台</w:t>
            </w:r>
            <w:r>
              <w:rPr>
                <w:rFonts w:hint="default" w:ascii="Times New Roman" w:hAnsi="Times New Roman" w:eastAsia="宋体" w:cs="Times New Roman"/>
                <w:snapToGrid w:val="0"/>
                <w:color w:val="auto"/>
                <w:spacing w:val="0"/>
                <w:kern w:val="0"/>
                <w:sz w:val="24"/>
              </w:rPr>
              <w:t>1台</w:t>
            </w:r>
            <w:r>
              <w:rPr>
                <w:rFonts w:hint="eastAsia" w:cs="Times New Roman"/>
                <w:snapToGrid w:val="0"/>
                <w:color w:val="auto"/>
                <w:spacing w:val="0"/>
                <w:kern w:val="0"/>
                <w:sz w:val="24"/>
                <w:lang w:val="en-US" w:eastAsia="zh-CN"/>
              </w:rPr>
              <w:t>1</w:t>
            </w:r>
            <w:r>
              <w:rPr>
                <w:rFonts w:hint="default" w:ascii="Times New Roman" w:hAnsi="Times New Roman" w:eastAsia="宋体" w:cs="Times New Roman"/>
                <w:snapToGrid w:val="0"/>
                <w:color w:val="auto"/>
                <w:spacing w:val="0"/>
                <w:kern w:val="0"/>
                <w:sz w:val="24"/>
              </w:rPr>
              <w:t>t/h的燃</w:t>
            </w:r>
            <w:r>
              <w:rPr>
                <w:rFonts w:hint="eastAsia" w:cs="Times New Roman"/>
                <w:snapToGrid w:val="0"/>
                <w:color w:val="auto"/>
                <w:spacing w:val="0"/>
                <w:kern w:val="0"/>
                <w:sz w:val="24"/>
                <w:lang w:val="en-US" w:eastAsia="zh-CN"/>
              </w:rPr>
              <w:t>生物质</w:t>
            </w:r>
            <w:r>
              <w:rPr>
                <w:rFonts w:hint="default" w:ascii="Times New Roman" w:hAnsi="Times New Roman" w:eastAsia="宋体" w:cs="Times New Roman"/>
                <w:snapToGrid w:val="0"/>
                <w:color w:val="auto"/>
                <w:spacing w:val="0"/>
                <w:kern w:val="0"/>
                <w:sz w:val="24"/>
              </w:rPr>
              <w:t>锅炉。项目生产用热为每天2</w:t>
            </w:r>
            <w:r>
              <w:rPr>
                <w:rFonts w:hint="eastAsia" w:cs="Times New Roman"/>
                <w:snapToGrid w:val="0"/>
                <w:color w:val="auto"/>
                <w:spacing w:val="0"/>
                <w:kern w:val="0"/>
                <w:sz w:val="24"/>
                <w:lang w:val="en-US" w:eastAsia="zh-CN"/>
              </w:rPr>
              <w:t>4</w:t>
            </w:r>
            <w:r>
              <w:rPr>
                <w:rFonts w:hint="default" w:ascii="Times New Roman" w:hAnsi="Times New Roman" w:eastAsia="宋体" w:cs="Times New Roman"/>
                <w:snapToGrid w:val="0"/>
                <w:color w:val="auto"/>
                <w:spacing w:val="0"/>
                <w:kern w:val="0"/>
                <w:sz w:val="24"/>
              </w:rPr>
              <w:t>h，</w:t>
            </w:r>
            <w:r>
              <w:rPr>
                <w:rFonts w:hint="default" w:ascii="Times New Roman" w:hAnsi="Times New Roman" w:eastAsia="宋体" w:cs="Times New Roman"/>
                <w:snapToGrid w:val="0"/>
                <w:color w:val="auto"/>
                <w:spacing w:val="0"/>
                <w:kern w:val="0"/>
                <w:sz w:val="24"/>
                <w:lang w:eastAsia="zh-CN"/>
              </w:rPr>
              <w:t>生产</w:t>
            </w:r>
            <w:r>
              <w:rPr>
                <w:rFonts w:hint="default" w:ascii="Times New Roman" w:hAnsi="Times New Roman" w:eastAsia="宋体" w:cs="Times New Roman"/>
                <w:snapToGrid w:val="0"/>
                <w:color w:val="auto"/>
                <w:spacing w:val="0"/>
                <w:kern w:val="0"/>
                <w:sz w:val="24"/>
              </w:rPr>
              <w:t>天数为</w:t>
            </w:r>
            <w:r>
              <w:rPr>
                <w:rFonts w:hint="eastAsia" w:cs="Times New Roman"/>
                <w:snapToGrid w:val="0"/>
                <w:color w:val="auto"/>
                <w:spacing w:val="0"/>
                <w:kern w:val="0"/>
                <w:sz w:val="24"/>
                <w:lang w:val="en-US" w:eastAsia="zh-CN"/>
              </w:rPr>
              <w:t>260</w:t>
            </w:r>
            <w:r>
              <w:rPr>
                <w:rFonts w:hint="default" w:ascii="Times New Roman" w:hAnsi="Times New Roman" w:eastAsia="宋体" w:cs="Times New Roman"/>
                <w:snapToGrid w:val="0"/>
                <w:color w:val="auto"/>
                <w:spacing w:val="0"/>
                <w:kern w:val="0"/>
                <w:sz w:val="24"/>
              </w:rPr>
              <w:t>d，则锅炉年运行</w:t>
            </w:r>
            <w:r>
              <w:rPr>
                <w:rFonts w:hint="default" w:ascii="Times New Roman" w:hAnsi="Times New Roman" w:eastAsia="宋体" w:cs="Times New Roman"/>
                <w:snapToGrid w:val="0"/>
                <w:color w:val="auto"/>
                <w:spacing w:val="0"/>
                <w:kern w:val="0"/>
                <w:sz w:val="24"/>
                <w:lang w:val="en-US" w:eastAsia="zh-CN"/>
              </w:rPr>
              <w:t>6</w:t>
            </w:r>
            <w:r>
              <w:rPr>
                <w:rFonts w:hint="eastAsia" w:cs="Times New Roman"/>
                <w:snapToGrid w:val="0"/>
                <w:color w:val="auto"/>
                <w:spacing w:val="0"/>
                <w:kern w:val="0"/>
                <w:sz w:val="24"/>
                <w:lang w:val="en-US" w:eastAsia="zh-CN"/>
              </w:rPr>
              <w:t>240</w:t>
            </w:r>
            <w:r>
              <w:rPr>
                <w:rFonts w:hint="default" w:ascii="Times New Roman" w:hAnsi="Times New Roman" w:eastAsia="宋体" w:cs="Times New Roman"/>
                <w:snapToGrid w:val="0"/>
                <w:color w:val="auto"/>
                <w:spacing w:val="0"/>
                <w:kern w:val="0"/>
                <w:sz w:val="24"/>
              </w:rPr>
              <w:t>h</w:t>
            </w:r>
            <w:r>
              <w:rPr>
                <w:rFonts w:hint="eastAsia" w:cs="Times New Roman"/>
                <w:snapToGrid w:val="0"/>
                <w:color w:val="auto"/>
                <w:spacing w:val="0"/>
                <w:kern w:val="0"/>
                <w:sz w:val="24"/>
                <w:lang w:eastAsia="zh-CN"/>
              </w:rPr>
              <w:t>；</w:t>
            </w:r>
            <w:r>
              <w:rPr>
                <w:rFonts w:hint="eastAsia" w:cs="Times New Roman"/>
                <w:snapToGrid w:val="0"/>
                <w:color w:val="auto"/>
                <w:spacing w:val="0"/>
                <w:kern w:val="0"/>
                <w:sz w:val="24"/>
                <w:lang w:val="en-US" w:eastAsia="zh-CN"/>
              </w:rPr>
              <w:t>年供暖天数180天，则供热锅炉年运行4320h</w:t>
            </w:r>
            <w:r>
              <w:rPr>
                <w:rFonts w:hint="default" w:ascii="Times New Roman" w:hAnsi="Times New Roman" w:eastAsia="宋体" w:cs="Times New Roman"/>
                <w:snapToGrid w:val="0"/>
                <w:color w:val="auto"/>
                <w:spacing w:val="0"/>
                <w:kern w:val="0"/>
                <w:sz w:val="24"/>
              </w:rPr>
              <w:t>。</w:t>
            </w:r>
            <w:r>
              <w:rPr>
                <w:rFonts w:hint="eastAsia" w:cs="Times New Roman"/>
                <w:snapToGrid w:val="0"/>
                <w:color w:val="auto"/>
                <w:spacing w:val="0"/>
                <w:kern w:val="0"/>
                <w:sz w:val="24"/>
                <w:lang w:val="en-US" w:eastAsia="zh-CN"/>
              </w:rPr>
              <w:t>生物质燃料</w:t>
            </w:r>
            <w:r>
              <w:rPr>
                <w:rFonts w:hint="default" w:ascii="Times New Roman" w:hAnsi="Times New Roman" w:eastAsia="宋体" w:cs="Times New Roman"/>
                <w:snapToGrid w:val="0"/>
                <w:color w:val="auto"/>
                <w:spacing w:val="0"/>
                <w:kern w:val="0"/>
                <w:sz w:val="24"/>
              </w:rPr>
              <w:t>需求量计算如下：</w:t>
            </w:r>
          </w:p>
          <w:p>
            <w:pPr>
              <w:pStyle w:val="50"/>
              <w:keepNext w:val="0"/>
              <w:keepLines w:val="0"/>
              <w:pageBreakBefore w:val="0"/>
              <w:widowControl/>
              <w:kinsoku/>
              <w:wordWrap w:val="0"/>
              <w:overflowPunct/>
              <w:topLinePunct w:val="0"/>
              <w:autoSpaceDE/>
              <w:autoSpaceDN/>
              <w:bidi w:val="0"/>
              <w:adjustRightInd w:val="0"/>
              <w:snapToGrid w:val="0"/>
              <w:spacing w:after="0"/>
              <w:ind w:firstLine="480"/>
              <w:textAlignment w:val="auto"/>
              <w:outlineLvl w:val="9"/>
              <w:rPr>
                <w:rFonts w:ascii="Times New Roman" w:hAnsi="Times New Roman" w:eastAsia="宋体" w:cs="Times New Roman"/>
                <w:color w:val="0000FF"/>
                <w:szCs w:val="24"/>
              </w:rPr>
            </w:pPr>
            <w:r>
              <w:rPr>
                <w:rFonts w:ascii="Times New Roman" w:hAnsi="Times New Roman" w:eastAsia="宋体" w:cs="Times New Roman"/>
                <w:color w:val="000000" w:themeColor="text1"/>
                <w:szCs w:val="24"/>
                <w14:textFill>
                  <w14:solidFill>
                    <w14:schemeClr w14:val="tx1"/>
                  </w14:solidFill>
                </w14:textFill>
              </w:rPr>
              <w:t>供</w:t>
            </w:r>
            <w:r>
              <w:rPr>
                <w:rFonts w:hint="eastAsia" w:ascii="Times New Roman" w:hAnsi="Times New Roman" w:eastAsia="宋体" w:cs="Times New Roman"/>
                <w:color w:val="000000" w:themeColor="text1"/>
                <w:szCs w:val="24"/>
                <w:lang w:val="en-US" w:eastAsia="zh-CN"/>
                <w14:textFill>
                  <w14:solidFill>
                    <w14:schemeClr w14:val="tx1"/>
                  </w14:solidFill>
                </w14:textFill>
              </w:rPr>
              <w:t>热</w:t>
            </w:r>
            <w:r>
              <w:rPr>
                <w:rFonts w:ascii="Times New Roman" w:hAnsi="Times New Roman" w:eastAsia="宋体" w:cs="Times New Roman"/>
                <w:color w:val="000000" w:themeColor="text1"/>
                <w:szCs w:val="24"/>
                <w14:textFill>
                  <w14:solidFill>
                    <w14:schemeClr w14:val="tx1"/>
                  </w14:solidFill>
                </w14:textFill>
              </w:rPr>
              <w:t>燃生物质量通过</w:t>
            </w:r>
            <w:r>
              <w:rPr>
                <w:rFonts w:hint="eastAsia" w:ascii="Times New Roman" w:hAnsi="Times New Roman" w:eastAsia="宋体" w:cs="Times New Roman"/>
                <w:color w:val="000000" w:themeColor="text1"/>
                <w:szCs w:val="24"/>
                <w:lang w:val="en-US" w:eastAsia="zh-CN"/>
                <w14:textFill>
                  <w14:solidFill>
                    <w14:schemeClr w14:val="tx1"/>
                  </w14:solidFill>
                </w14:textFill>
              </w:rPr>
              <w:t>锅炉小时最大燃料量</w:t>
            </w:r>
            <w:r>
              <w:rPr>
                <w:rFonts w:ascii="Times New Roman" w:hAnsi="Times New Roman" w:eastAsia="宋体" w:cs="Times New Roman"/>
                <w:color w:val="000000" w:themeColor="text1"/>
                <w:szCs w:val="24"/>
                <w14:textFill>
                  <w14:solidFill>
                    <w14:schemeClr w14:val="tx1"/>
                  </w14:solidFill>
                </w14:textFill>
              </w:rPr>
              <w:t>进行计算，</w:t>
            </w:r>
            <w:r>
              <w:rPr>
                <w:rFonts w:hint="eastAsia" w:ascii="Times New Roman" w:hAnsi="Times New Roman" w:eastAsia="宋体" w:cs="Times New Roman"/>
                <w:color w:val="000000" w:themeColor="text1"/>
                <w:szCs w:val="24"/>
                <w:lang w:val="en-US" w:eastAsia="zh-CN"/>
                <w14:textFill>
                  <w14:solidFill>
                    <w14:schemeClr w14:val="tx1"/>
                  </w14:solidFill>
                </w14:textFill>
              </w:rPr>
              <w:t>以1t生物质锅炉为例，1吨等于60万大卡，锅炉燃烧效率取85%，则本项目燃生物质锅炉燃料消耗量=锅炉所需热量/生物质燃料的热值/锅炉热效率=600000kcal/h</w:t>
            </w:r>
            <w:r>
              <w:rPr>
                <w:rFonts w:hint="default" w:ascii="Arial" w:hAnsi="Arial" w:eastAsia="宋体" w:cs="Arial"/>
                <w:color w:val="000000" w:themeColor="text1"/>
                <w:szCs w:val="24"/>
                <w:lang w:val="en-US" w:eastAsia="zh-CN"/>
                <w14:textFill>
                  <w14:solidFill>
                    <w14:schemeClr w14:val="tx1"/>
                  </w14:solidFill>
                </w14:textFill>
              </w:rPr>
              <w:t>×</w:t>
            </w:r>
            <w:r>
              <w:rPr>
                <w:rFonts w:hint="eastAsia" w:ascii="Times New Roman" w:hAnsi="Times New Roman" w:eastAsia="宋体" w:cs="Times New Roman"/>
                <w:color w:val="000000" w:themeColor="text1"/>
                <w:szCs w:val="24"/>
                <w:lang w:val="en-US" w:eastAsia="zh-CN"/>
                <w14:textFill>
                  <w14:solidFill>
                    <w14:schemeClr w14:val="tx1"/>
                  </w14:solidFill>
                </w14:textFill>
              </w:rPr>
              <w:t>1÷4060kcal/kg÷85%=173.9kg/h</w:t>
            </w:r>
            <w:r>
              <w:rPr>
                <w:rFonts w:ascii="Times New Roman" w:hAnsi="Times New Roman" w:eastAsia="宋体" w:cs="Times New Roman"/>
                <w:color w:val="000000" w:themeColor="text1"/>
                <w:szCs w:val="24"/>
                <w14:textFill>
                  <w14:solidFill>
                    <w14:schemeClr w14:val="tx1"/>
                  </w14:solidFill>
                </w14:textFill>
              </w:rPr>
              <w:t>，即</w:t>
            </w:r>
            <w:r>
              <w:rPr>
                <w:rFonts w:hint="eastAsia" w:ascii="Times New Roman" w:hAnsi="Times New Roman" w:eastAsia="宋体" w:cs="Times New Roman"/>
                <w:color w:val="000000" w:themeColor="text1"/>
                <w:szCs w:val="24"/>
                <w:lang w:val="en-US" w:eastAsia="zh-CN"/>
                <w14:textFill>
                  <w14:solidFill>
                    <w14:schemeClr w14:val="tx1"/>
                  </w14:solidFill>
                </w14:textFill>
              </w:rPr>
              <w:t>生产供热锅炉年消耗生物质1085.1</w:t>
            </w:r>
            <w:r>
              <w:rPr>
                <w:rFonts w:ascii="Times New Roman" w:hAnsi="Times New Roman" w:eastAsia="宋体" w:cs="Times New Roman"/>
                <w:color w:val="000000" w:themeColor="text1"/>
                <w:szCs w:val="24"/>
                <w14:textFill>
                  <w14:solidFill>
                    <w14:schemeClr w14:val="tx1"/>
                  </w14:solidFill>
                </w14:textFill>
              </w:rPr>
              <w:t>t/a，</w:t>
            </w:r>
            <w:r>
              <w:rPr>
                <w:rFonts w:hint="eastAsia" w:ascii="Times New Roman" w:hAnsi="Times New Roman" w:eastAsia="宋体" w:cs="Times New Roman"/>
                <w:color w:val="000000" w:themeColor="text1"/>
                <w:szCs w:val="24"/>
                <w:lang w:val="en-US" w:eastAsia="zh-CN"/>
                <w14:textFill>
                  <w14:solidFill>
                    <w14:schemeClr w14:val="tx1"/>
                  </w14:solidFill>
                </w14:textFill>
              </w:rPr>
              <w:t>供热锅炉年消耗生物质751.2</w:t>
            </w:r>
            <w:r>
              <w:rPr>
                <w:rFonts w:ascii="Times New Roman" w:hAnsi="Times New Roman" w:eastAsia="宋体" w:cs="Times New Roman"/>
                <w:color w:val="000000" w:themeColor="text1"/>
                <w:szCs w:val="24"/>
                <w14:textFill>
                  <w14:solidFill>
                    <w14:schemeClr w14:val="tx1"/>
                  </w14:solidFill>
                </w14:textFill>
              </w:rPr>
              <w:t>t/a，则</w:t>
            </w:r>
            <w:r>
              <w:rPr>
                <w:rFonts w:hint="eastAsia" w:ascii="Times New Roman" w:hAnsi="Times New Roman" w:eastAsia="宋体" w:cs="Times New Roman"/>
                <w:color w:val="000000" w:themeColor="text1"/>
                <w:szCs w:val="24"/>
                <w:lang w:val="en-US" w:eastAsia="zh-CN"/>
                <w14:textFill>
                  <w14:solidFill>
                    <w14:schemeClr w14:val="tx1"/>
                  </w14:solidFill>
                </w14:textFill>
              </w:rPr>
              <w:t>本项目全年</w:t>
            </w:r>
            <w:r>
              <w:rPr>
                <w:rFonts w:ascii="Times New Roman" w:hAnsi="Times New Roman" w:eastAsia="宋体" w:cs="Times New Roman"/>
                <w:color w:val="000000" w:themeColor="text1"/>
                <w:szCs w:val="24"/>
                <w14:textFill>
                  <w14:solidFill>
                    <w14:schemeClr w14:val="tx1"/>
                  </w14:solidFill>
                </w14:textFill>
              </w:rPr>
              <w:t>生物质成型燃料的用量为</w:t>
            </w:r>
            <w:r>
              <w:rPr>
                <w:rFonts w:hint="eastAsia" w:ascii="Times New Roman" w:hAnsi="Times New Roman" w:eastAsia="宋体" w:cs="Times New Roman"/>
                <w:color w:val="000000" w:themeColor="text1"/>
                <w:szCs w:val="24"/>
                <w:lang w:val="en-US" w:eastAsia="zh-CN"/>
                <w14:textFill>
                  <w14:solidFill>
                    <w14:schemeClr w14:val="tx1"/>
                  </w14:solidFill>
                </w14:textFill>
              </w:rPr>
              <w:t>1836.3</w:t>
            </w:r>
            <w:r>
              <w:rPr>
                <w:rFonts w:ascii="Times New Roman" w:hAnsi="Times New Roman" w:eastAsia="宋体" w:cs="Times New Roman"/>
                <w:color w:val="000000" w:themeColor="text1"/>
                <w:szCs w:val="24"/>
                <w14:textFill>
                  <w14:solidFill>
                    <w14:schemeClr w14:val="tx1"/>
                  </w14:solidFill>
                </w14:textFill>
              </w:rPr>
              <w:t>t/a</w:t>
            </w:r>
            <w:r>
              <w:rPr>
                <w:rFonts w:ascii="Times New Roman" w:hAnsi="Times New Roman" w:eastAsia="宋体" w:cs="Times New Roman"/>
                <w:color w:val="0000FF"/>
                <w:szCs w:val="24"/>
              </w:rPr>
              <w:t>。</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pacing w:val="0"/>
                <w:sz w:val="24"/>
              </w:rPr>
            </w:pPr>
            <w:r>
              <w:rPr>
                <w:rFonts w:hint="default" w:ascii="Times New Roman" w:hAnsi="Times New Roman" w:eastAsia="宋体" w:cs="Times New Roman"/>
                <w:color w:val="auto"/>
                <w:spacing w:val="0"/>
                <w:sz w:val="24"/>
              </w:rPr>
              <w:t>（4）供电：由当地供电电网供给供。</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2" w:firstLineChars="200"/>
              <w:outlineLvl w:val="9"/>
              <w:rPr>
                <w:rFonts w:hint="default" w:ascii="Times New Roman" w:hAnsi="Times New Roman" w:eastAsia="宋体" w:cs="Times New Roman"/>
                <w:b/>
                <w:color w:val="auto"/>
                <w:spacing w:val="0"/>
                <w:sz w:val="24"/>
              </w:rPr>
            </w:pPr>
            <w:r>
              <w:rPr>
                <w:rFonts w:hint="default" w:ascii="Times New Roman" w:hAnsi="Times New Roman" w:eastAsia="宋体" w:cs="Times New Roman"/>
                <w:b/>
                <w:color w:val="auto"/>
                <w:spacing w:val="0"/>
                <w:sz w:val="24"/>
              </w:rPr>
              <w:t>6、工作制度及劳动定员</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0" w:firstLineChars="200"/>
              <w:jc w:val="left"/>
              <w:outlineLvl w:val="9"/>
              <w:rPr>
                <w:rFonts w:hint="default" w:ascii="Times New Roman" w:hAnsi="Times New Roman" w:eastAsia="宋体" w:cs="Times New Roman"/>
                <w:bCs/>
                <w:color w:val="auto"/>
                <w:spacing w:val="0"/>
                <w:sz w:val="24"/>
              </w:rPr>
            </w:pPr>
            <w:r>
              <w:rPr>
                <w:rFonts w:hint="default" w:ascii="Times New Roman" w:hAnsi="Times New Roman" w:eastAsia="宋体" w:cs="Times New Roman"/>
                <w:bCs/>
                <w:color w:val="auto"/>
                <w:spacing w:val="0"/>
                <w:sz w:val="24"/>
              </w:rPr>
              <w:t>本项目定员</w:t>
            </w:r>
            <w:r>
              <w:rPr>
                <w:rFonts w:hint="eastAsia" w:cs="Times New Roman"/>
                <w:bCs/>
                <w:color w:val="auto"/>
                <w:spacing w:val="0"/>
                <w:sz w:val="24"/>
                <w:lang w:val="en-US" w:eastAsia="zh-CN"/>
              </w:rPr>
              <w:t>12</w:t>
            </w:r>
            <w:r>
              <w:rPr>
                <w:rFonts w:hint="default" w:ascii="Times New Roman" w:hAnsi="Times New Roman" w:eastAsia="宋体" w:cs="Times New Roman"/>
                <w:bCs/>
                <w:color w:val="auto"/>
                <w:spacing w:val="0"/>
                <w:sz w:val="24"/>
              </w:rPr>
              <w:t>人，其中生产工人</w:t>
            </w:r>
            <w:r>
              <w:rPr>
                <w:rFonts w:hint="eastAsia" w:cs="Times New Roman"/>
                <w:bCs/>
                <w:color w:val="auto"/>
                <w:spacing w:val="0"/>
                <w:sz w:val="24"/>
                <w:lang w:val="en-US" w:eastAsia="zh-CN"/>
              </w:rPr>
              <w:t>7</w:t>
            </w:r>
            <w:r>
              <w:rPr>
                <w:rFonts w:hint="default" w:ascii="Times New Roman" w:hAnsi="Times New Roman" w:eastAsia="宋体" w:cs="Times New Roman"/>
                <w:bCs/>
                <w:color w:val="auto"/>
                <w:spacing w:val="0"/>
                <w:sz w:val="24"/>
              </w:rPr>
              <w:t>人，</w:t>
            </w:r>
            <w:r>
              <w:rPr>
                <w:rFonts w:hint="default" w:ascii="Times New Roman" w:hAnsi="Times New Roman" w:eastAsia="宋体" w:cs="Times New Roman"/>
                <w:bCs/>
                <w:color w:val="auto"/>
                <w:spacing w:val="0"/>
                <w:sz w:val="24"/>
                <w:lang w:eastAsia="zh-CN"/>
              </w:rPr>
              <w:t>办公</w:t>
            </w:r>
            <w:r>
              <w:rPr>
                <w:rFonts w:hint="default" w:ascii="Times New Roman" w:hAnsi="Times New Roman" w:eastAsia="宋体" w:cs="Times New Roman"/>
                <w:bCs/>
                <w:color w:val="auto"/>
                <w:spacing w:val="0"/>
                <w:sz w:val="24"/>
              </w:rPr>
              <w:t>人员</w:t>
            </w:r>
            <w:r>
              <w:rPr>
                <w:rFonts w:hint="eastAsia" w:cs="Times New Roman"/>
                <w:bCs/>
                <w:color w:val="auto"/>
                <w:spacing w:val="0"/>
                <w:sz w:val="24"/>
                <w:lang w:val="en-US" w:eastAsia="zh-CN"/>
              </w:rPr>
              <w:t>5</w:t>
            </w:r>
            <w:r>
              <w:rPr>
                <w:rFonts w:hint="default" w:ascii="Times New Roman" w:hAnsi="Times New Roman" w:eastAsia="宋体" w:cs="Times New Roman"/>
                <w:bCs/>
                <w:color w:val="auto"/>
                <w:spacing w:val="0"/>
                <w:sz w:val="24"/>
              </w:rPr>
              <w:t>人。生产工人2班工作制，其余工作人员一班制，年工作</w:t>
            </w:r>
            <w:r>
              <w:rPr>
                <w:rFonts w:hint="eastAsia" w:cs="Times New Roman"/>
                <w:bCs/>
                <w:color w:val="auto"/>
                <w:spacing w:val="0"/>
                <w:sz w:val="24"/>
                <w:lang w:val="en-US" w:eastAsia="zh-CN"/>
              </w:rPr>
              <w:t>260</w:t>
            </w:r>
            <w:r>
              <w:rPr>
                <w:rFonts w:hint="default" w:ascii="Times New Roman" w:hAnsi="Times New Roman" w:eastAsia="宋体" w:cs="Times New Roman"/>
                <w:bCs/>
                <w:color w:val="auto"/>
                <w:spacing w:val="0"/>
                <w:sz w:val="24"/>
              </w:rPr>
              <w:t>天。</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2" w:firstLineChars="200"/>
              <w:outlineLvl w:val="9"/>
              <w:rPr>
                <w:rFonts w:hint="default" w:ascii="Times New Roman" w:hAnsi="Times New Roman" w:eastAsia="宋体" w:cs="Times New Roman"/>
                <w:b/>
                <w:color w:val="auto"/>
                <w:spacing w:val="0"/>
                <w:sz w:val="24"/>
              </w:rPr>
            </w:pPr>
            <w:r>
              <w:rPr>
                <w:rFonts w:hint="default" w:ascii="Times New Roman" w:hAnsi="Times New Roman" w:eastAsia="宋体" w:cs="Times New Roman"/>
                <w:b/>
                <w:color w:val="auto"/>
                <w:spacing w:val="0"/>
                <w:sz w:val="24"/>
              </w:rPr>
              <w:t>7、平面布置图</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bCs/>
                <w:color w:val="auto"/>
                <w:spacing w:val="0"/>
                <w:sz w:val="24"/>
                <w:lang w:eastAsia="zh-CN"/>
              </w:rPr>
            </w:pPr>
            <w:r>
              <w:rPr>
                <w:rFonts w:hint="default" w:ascii="Times New Roman" w:hAnsi="Times New Roman" w:eastAsia="宋体" w:cs="Times New Roman"/>
                <w:color w:val="auto"/>
                <w:sz w:val="24"/>
              </w:rPr>
              <w:t>项目东侧为</w:t>
            </w:r>
            <w:r>
              <w:rPr>
                <w:rFonts w:hint="eastAsia" w:cs="Times New Roman"/>
                <w:color w:val="auto"/>
                <w:sz w:val="24"/>
                <w:lang w:val="en-US" w:eastAsia="zh-CN"/>
              </w:rPr>
              <w:t>居民民房</w:t>
            </w:r>
            <w:r>
              <w:rPr>
                <w:rFonts w:hint="default" w:ascii="Times New Roman" w:hAnsi="Times New Roman" w:eastAsia="宋体" w:cs="Times New Roman"/>
                <w:color w:val="auto"/>
                <w:sz w:val="24"/>
              </w:rPr>
              <w:t>、南侧</w:t>
            </w:r>
            <w:r>
              <w:rPr>
                <w:rFonts w:hint="eastAsia" w:cs="Times New Roman"/>
                <w:color w:val="auto"/>
                <w:sz w:val="24"/>
                <w:lang w:eastAsia="zh-CN"/>
              </w:rPr>
              <w:t>、</w:t>
            </w:r>
            <w:r>
              <w:rPr>
                <w:rFonts w:hint="default" w:ascii="Times New Roman" w:hAnsi="Times New Roman" w:eastAsia="宋体" w:cs="Times New Roman"/>
                <w:color w:val="auto"/>
                <w:sz w:val="24"/>
              </w:rPr>
              <w:t>西侧</w:t>
            </w:r>
            <w:r>
              <w:rPr>
                <w:rFonts w:hint="eastAsia" w:cs="Times New Roman"/>
                <w:color w:val="auto"/>
                <w:sz w:val="24"/>
                <w:lang w:val="en-US" w:eastAsia="zh-CN"/>
              </w:rPr>
              <w:t>、</w:t>
            </w:r>
            <w:r>
              <w:rPr>
                <w:rFonts w:hint="default" w:ascii="Times New Roman" w:hAnsi="Times New Roman" w:eastAsia="宋体" w:cs="Times New Roman"/>
                <w:color w:val="auto"/>
                <w:sz w:val="24"/>
              </w:rPr>
              <w:t>北侧为空地。</w:t>
            </w:r>
            <w:r>
              <w:rPr>
                <w:rFonts w:hint="default" w:ascii="Times New Roman" w:hAnsi="Times New Roman" w:eastAsia="宋体" w:cs="Times New Roman"/>
                <w:bCs/>
                <w:color w:val="auto"/>
                <w:spacing w:val="0"/>
                <w:sz w:val="24"/>
              </w:rPr>
              <w:t>根据厂址周边道路交通条件厂区实际情况，本项目</w:t>
            </w:r>
            <w:r>
              <w:rPr>
                <w:rFonts w:hint="default" w:ascii="Times New Roman" w:hAnsi="Times New Roman" w:eastAsia="宋体" w:cs="Times New Roman"/>
                <w:bCs/>
                <w:color w:val="auto"/>
                <w:spacing w:val="0"/>
                <w:sz w:val="24"/>
                <w:lang w:eastAsia="zh-CN"/>
              </w:rPr>
              <w:t>原料库位于厂区西北侧，成品库位于</w:t>
            </w:r>
            <w:r>
              <w:rPr>
                <w:rFonts w:hint="eastAsia" w:cs="Times New Roman"/>
                <w:bCs/>
                <w:color w:val="auto"/>
                <w:spacing w:val="0"/>
                <w:sz w:val="24"/>
                <w:lang w:val="en-US" w:eastAsia="zh-CN"/>
              </w:rPr>
              <w:t>主车间南侧</w:t>
            </w:r>
            <w:r>
              <w:rPr>
                <w:rFonts w:hint="default" w:ascii="Times New Roman" w:hAnsi="Times New Roman" w:eastAsia="宋体" w:cs="Times New Roman"/>
                <w:bCs/>
                <w:color w:val="auto"/>
                <w:spacing w:val="0"/>
                <w:sz w:val="24"/>
                <w:lang w:eastAsia="zh-CN"/>
              </w:rPr>
              <w:t>，主车间位于原料库和成品库中间</w:t>
            </w:r>
            <w:r>
              <w:rPr>
                <w:rFonts w:hint="eastAsia" w:cs="Times New Roman"/>
                <w:bCs/>
                <w:color w:val="auto"/>
                <w:spacing w:val="0"/>
                <w:sz w:val="24"/>
                <w:lang w:eastAsia="zh-CN"/>
              </w:rPr>
              <w:t>，</w:t>
            </w:r>
            <w:r>
              <w:rPr>
                <w:rFonts w:hint="default" w:ascii="Times New Roman" w:hAnsi="Times New Roman" w:eastAsia="宋体" w:cs="Times New Roman"/>
                <w:bCs/>
                <w:color w:val="auto"/>
                <w:spacing w:val="0"/>
                <w:sz w:val="24"/>
                <w:lang w:eastAsia="zh-CN"/>
              </w:rPr>
              <w:t>自北向南布置，</w:t>
            </w:r>
            <w:r>
              <w:rPr>
                <w:rFonts w:hint="eastAsia" w:cs="Times New Roman"/>
                <w:bCs/>
                <w:color w:val="auto"/>
                <w:spacing w:val="0"/>
                <w:sz w:val="24"/>
                <w:lang w:val="en-US" w:eastAsia="zh-CN"/>
              </w:rPr>
              <w:t>预混合车间位于主车间对面，便于原料运输；锅炉</w:t>
            </w:r>
            <w:r>
              <w:rPr>
                <w:rFonts w:hint="default" w:ascii="Times New Roman" w:hAnsi="Times New Roman" w:eastAsia="宋体" w:cs="Times New Roman"/>
                <w:bCs/>
                <w:color w:val="auto"/>
                <w:spacing w:val="0"/>
                <w:sz w:val="24"/>
                <w:lang w:eastAsia="zh-CN"/>
              </w:rPr>
              <w:t>房</w:t>
            </w:r>
            <w:r>
              <w:rPr>
                <w:rFonts w:hint="eastAsia" w:cs="Times New Roman"/>
                <w:bCs/>
                <w:color w:val="auto"/>
                <w:spacing w:val="0"/>
                <w:sz w:val="24"/>
                <w:lang w:eastAsia="zh-CN"/>
              </w:rPr>
              <w:t>、</w:t>
            </w:r>
            <w:r>
              <w:rPr>
                <w:rFonts w:hint="eastAsia" w:cs="Times New Roman"/>
                <w:bCs/>
                <w:color w:val="auto"/>
                <w:spacing w:val="0"/>
                <w:sz w:val="24"/>
                <w:lang w:val="en-US" w:eastAsia="zh-CN"/>
              </w:rPr>
              <w:t>化验室</w:t>
            </w:r>
            <w:r>
              <w:rPr>
                <w:rFonts w:hint="default" w:ascii="Times New Roman" w:hAnsi="Times New Roman" w:eastAsia="宋体" w:cs="Times New Roman"/>
                <w:bCs/>
                <w:color w:val="auto"/>
                <w:spacing w:val="0"/>
                <w:sz w:val="24"/>
                <w:lang w:eastAsia="zh-CN"/>
              </w:rPr>
              <w:t>位于厂区西南角，综合楼位于厂区东南侧，</w:t>
            </w:r>
            <w:r>
              <w:rPr>
                <w:rFonts w:hint="eastAsia" w:cs="Times New Roman"/>
                <w:bCs/>
                <w:color w:val="auto"/>
                <w:spacing w:val="0"/>
                <w:sz w:val="24"/>
                <w:lang w:val="en-US" w:eastAsia="zh-CN"/>
              </w:rPr>
              <w:t>厂区设置一个入口，厂区主入口位于厂区南侧，用于原料、成品运输车辆的通行，综合楼入口正对综合楼，用于厂区工作人员的出入</w:t>
            </w:r>
            <w:r>
              <w:rPr>
                <w:rFonts w:hint="default" w:ascii="Times New Roman" w:hAnsi="Times New Roman" w:eastAsia="宋体" w:cs="Times New Roman"/>
                <w:bCs/>
                <w:color w:val="auto"/>
                <w:spacing w:val="0"/>
                <w:sz w:val="24"/>
                <w:lang w:eastAsia="zh-CN"/>
              </w:rPr>
              <w:t>。</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b/>
                <w:color w:val="auto"/>
                <w:spacing w:val="0"/>
                <w:sz w:val="24"/>
              </w:rPr>
            </w:pPr>
            <w:r>
              <w:rPr>
                <w:rFonts w:hint="eastAsia" w:cs="Times New Roman"/>
                <w:bCs/>
                <w:color w:val="auto"/>
                <w:spacing w:val="0"/>
                <w:sz w:val="24"/>
                <w:lang w:val="en-US" w:eastAsia="zh-CN"/>
              </w:rPr>
              <w:t>厂区大体分为生产区和办公区两个分区布置，生产区位于主导风向下风向，减少项目产生的废气污染物对办公区的影响。生产区根据生产工艺自北向南布置，原料库和成品库分列两侧，方便生产。综上，本项目的平面布局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dxa"/>
            <w:noWrap w:val="0"/>
            <w:vAlign w:val="center"/>
          </w:tcPr>
          <w:p>
            <w:pPr>
              <w:pStyle w:val="14"/>
              <w:keepNext w:val="0"/>
              <w:keepLines w:val="0"/>
              <w:kinsoku/>
              <w:wordWrap/>
              <w:overflowPunct/>
              <w:topLinePunct w:val="0"/>
              <w:bidi w:val="0"/>
              <w:adjustRightInd w:val="0"/>
              <w:snapToGrid w:val="0"/>
              <w:spacing w:before="0" w:beforeAutospacing="0" w:after="0" w:afterAutospacing="0"/>
              <w:ind w:left="0" w:leftChars="0" w:right="0" w:right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4"/>
                <w:lang w:val="en-US" w:eastAsia="zh-CN"/>
              </w:rPr>
              <w:t>工艺流程和产排污环节</w:t>
            </w:r>
          </w:p>
        </w:tc>
        <w:tc>
          <w:tcPr>
            <w:tcW w:w="8161" w:type="dxa"/>
            <w:noWrap w:val="0"/>
            <w:vAlign w:val="top"/>
          </w:tcPr>
          <w:p>
            <w:pPr>
              <w:keepNext w:val="0"/>
              <w:keepLines w:val="0"/>
              <w:kinsoku/>
              <w:wordWrap/>
              <w:overflowPunct/>
              <w:topLinePunct w:val="0"/>
              <w:bidi w:val="0"/>
              <w:adjustRightInd w:val="0"/>
              <w:snapToGrid w:val="0"/>
              <w:spacing w:beforeAutospacing="0" w:afterAutospacing="0"/>
              <w:ind w:left="0" w:leftChars="0" w:right="0" w:rightChars="0"/>
              <w:outlineLvl w:val="9"/>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施工期工程分析</w:t>
            </w:r>
          </w:p>
          <w:p>
            <w:pPr>
              <w:keepNext w:val="0"/>
              <w:keepLines w:val="0"/>
              <w:kinsoku/>
              <w:wordWrap/>
              <w:overflowPunct/>
              <w:topLinePunct w:val="0"/>
              <w:bidi w:val="0"/>
              <w:adjustRightInd w:val="0"/>
              <w:snapToGrid w:val="0"/>
              <w:spacing w:beforeAutospacing="0" w:afterAutospacing="0" w:line="360" w:lineRule="auto"/>
              <w:ind w:left="0" w:leftChars="0" w:right="0" w:rightChars="0" w:firstLine="480" w:firstLineChars="200"/>
              <w:outlineLvl w:val="9"/>
              <w:rPr>
                <w:rFonts w:hint="default" w:eastAsia="宋体" w:cs="Times New Roman"/>
                <w:bCs/>
                <w:color w:val="auto"/>
                <w:spacing w:val="0"/>
                <w:sz w:val="24"/>
                <w:lang w:val="en-US" w:eastAsia="zh-CN"/>
              </w:rPr>
            </w:pPr>
            <w:r>
              <w:rPr>
                <w:rFonts w:hint="eastAsia" w:eastAsia="宋体" w:cs="Times New Roman"/>
                <w:bCs/>
                <w:color w:val="auto"/>
                <w:spacing w:val="0"/>
                <w:sz w:val="24"/>
                <w:lang w:val="en-US" w:eastAsia="zh-CN"/>
              </w:rPr>
              <w:t>项目已建设完成并投产，项目主体工程与环保设施均已建成，因此不对施工期产物环节进行分析。</w:t>
            </w:r>
          </w:p>
          <w:p>
            <w:pPr>
              <w:keepNext w:val="0"/>
              <w:keepLines w:val="0"/>
              <w:kinsoku/>
              <w:wordWrap/>
              <w:overflowPunct/>
              <w:topLinePunct w:val="0"/>
              <w:bidi w:val="0"/>
              <w:spacing w:beforeAutospacing="0" w:afterAutospacing="0" w:line="360" w:lineRule="auto"/>
              <w:ind w:left="0" w:leftChars="0" w:right="0" w:rightChars="0"/>
              <w:outlineLvl w:val="9"/>
              <w:rPr>
                <w:rFonts w:hint="default" w:ascii="Times New Roman" w:hAnsi="Times New Roman" w:eastAsia="宋体" w:cs="Times New Roman"/>
                <w:bCs/>
                <w:color w:val="auto"/>
                <w:sz w:val="24"/>
              </w:rPr>
            </w:pPr>
            <w:r>
              <w:rPr>
                <w:rFonts w:hint="default" w:ascii="Times New Roman" w:hAnsi="Times New Roman" w:eastAsia="宋体" w:cs="Times New Roman"/>
                <w:b/>
                <w:bCs/>
                <w:color w:val="auto"/>
                <w:sz w:val="28"/>
                <w:szCs w:val="28"/>
              </w:rPr>
              <w:t>运营期工程分析</w:t>
            </w:r>
          </w:p>
          <w:p>
            <w:pPr>
              <w:pStyle w:val="16"/>
              <w:keepNext w:val="0"/>
              <w:keepLines w:val="0"/>
              <w:numPr>
                <w:ilvl w:val="0"/>
                <w:numId w:val="6"/>
              </w:numPr>
              <w:kinsoku/>
              <w:wordWrap/>
              <w:overflowPunct/>
              <w:topLinePunct w:val="0"/>
              <w:bidi w:val="0"/>
              <w:spacing w:beforeAutospacing="0" w:after="0" w:afterAutospacing="0" w:line="360" w:lineRule="auto"/>
              <w:ind w:left="0" w:leftChars="0" w:right="0" w:rightChars="0" w:firstLine="482" w:firstLineChars="200"/>
              <w:outlineLvl w:val="9"/>
              <w:rPr>
                <w:rFonts w:hint="default" w:ascii="Times New Roman" w:hAnsi="Times New Roman" w:eastAsia="宋体" w:cs="Times New Roman"/>
                <w:b/>
                <w:color w:val="auto"/>
                <w:spacing w:val="0"/>
                <w:kern w:val="2"/>
                <w:sz w:val="24"/>
              </w:rPr>
            </w:pPr>
            <w:r>
              <w:rPr>
                <w:rFonts w:hint="default" w:ascii="Times New Roman" w:hAnsi="Times New Roman" w:eastAsia="宋体" w:cs="Times New Roman"/>
                <w:b/>
                <w:color w:val="auto"/>
                <w:spacing w:val="0"/>
                <w:kern w:val="2"/>
                <w:sz w:val="24"/>
              </w:rPr>
              <w:t>生产工艺流程</w:t>
            </w:r>
          </w:p>
          <w:p>
            <w:pPr>
              <w:widowControl w:val="0"/>
              <w:numPr>
                <w:ilvl w:val="0"/>
                <w:numId w:val="0"/>
              </w:numPr>
              <w:jc w:val="both"/>
              <w:rPr>
                <w:rFonts w:hint="default"/>
              </w:rPr>
            </w:pPr>
          </w:p>
          <w:p>
            <w:pPr>
              <w:pStyle w:val="23"/>
              <w:rPr>
                <w:rFonts w:hint="default"/>
              </w:rPr>
            </w:pPr>
          </w:p>
          <w:p>
            <w:pPr>
              <w:rPr>
                <w:rFonts w:hint="default"/>
              </w:rPr>
            </w:pPr>
          </w:p>
          <w:p>
            <w:pPr>
              <w:pStyle w:val="23"/>
              <w:rPr>
                <w:rFonts w:hint="default"/>
              </w:rPr>
            </w:pPr>
          </w:p>
          <w:p>
            <w:pPr>
              <w:rPr>
                <w:rFonts w:hint="default"/>
              </w:rPr>
            </w:pPr>
          </w:p>
          <w:p>
            <w:pPr>
              <w:pStyle w:val="23"/>
              <w:rPr>
                <w:rFonts w:hint="default"/>
              </w:rPr>
            </w:pPr>
          </w:p>
          <w:p>
            <w:pPr>
              <w:rPr>
                <w:rFonts w:hint="default"/>
              </w:rPr>
            </w:pPr>
          </w:p>
          <w:p>
            <w:pPr>
              <w:pStyle w:val="23"/>
              <w:rPr>
                <w:rFonts w:hint="default"/>
              </w:rPr>
            </w:pPr>
          </w:p>
          <w:p>
            <w:pPr>
              <w:rPr>
                <w:rFonts w:hint="default"/>
              </w:rPr>
            </w:pPr>
          </w:p>
          <w:p>
            <w:pPr>
              <w:pStyle w:val="16"/>
              <w:keepNext w:val="0"/>
              <w:keepLines w:val="0"/>
              <w:kinsoku/>
              <w:wordWrap/>
              <w:overflowPunct/>
              <w:topLinePunct w:val="0"/>
              <w:bidi w:val="0"/>
              <w:spacing w:beforeAutospacing="0" w:after="0" w:afterAutospacing="0"/>
              <w:ind w:left="0" w:leftChars="0" w:right="0" w:rightChars="0" w:firstLine="0" w:firstLineChars="0"/>
              <w:outlineLvl w:val="9"/>
              <w:rPr>
                <w:rFonts w:hint="default" w:ascii="Times New Roman" w:hAnsi="Times New Roman" w:eastAsia="宋体" w:cs="Times New Roman"/>
                <w:color w:val="auto"/>
              </w:rPr>
            </w:pPr>
            <w:r>
              <w:rPr>
                <w:sz w:val="18"/>
              </w:rPr>
              <mc:AlternateContent>
                <mc:Choice Requires="wps">
                  <w:drawing>
                    <wp:anchor distT="0" distB="0" distL="114300" distR="114300" simplePos="0" relativeHeight="251704320" behindDoc="0" locked="0" layoutInCell="1" allowOverlap="1">
                      <wp:simplePos x="0" y="0"/>
                      <wp:positionH relativeFrom="column">
                        <wp:posOffset>834390</wp:posOffset>
                      </wp:positionH>
                      <wp:positionV relativeFrom="paragraph">
                        <wp:posOffset>1544955</wp:posOffset>
                      </wp:positionV>
                      <wp:extent cx="533400" cy="0"/>
                      <wp:effectExtent l="0" t="50800" r="0" b="63500"/>
                      <wp:wrapNone/>
                      <wp:docPr id="37" name="直接箭头连接符 37"/>
                      <wp:cNvGraphicFramePr/>
                      <a:graphic xmlns:a="http://schemas.openxmlformats.org/drawingml/2006/main">
                        <a:graphicData uri="http://schemas.microsoft.com/office/word/2010/wordprocessingShape">
                          <wps:wsp>
                            <wps:cNvCnPr/>
                            <wps:spPr>
                              <a:xfrm flipH="1">
                                <a:off x="0" y="0"/>
                                <a:ext cx="533400" cy="0"/>
                              </a:xfrm>
                              <a:prstGeom prst="straightConnector1">
                                <a:avLst/>
                              </a:prstGeom>
                              <a:ln w="12700" cmpd="sng">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65.7pt;margin-top:121.65pt;height:0pt;width:42pt;z-index:251704320;mso-width-relative:page;mso-height-relative:page;" filled="f" stroked="t" coordsize="21600,21600" o:gfxdata="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aW+401QAAAAsBAAAPAAAAAAAAAAEAIAAAACIA&#10;AABkcnMvZG93bnJldi54bWxQSwECFAAUAAAACACHTuJA1hUGiAwCAADsAwAADgAAAAAAAAABACAA&#10;AAAkAQAAZHJzL2Uyb0RvYy54bWxQSwUGAAAAAAYABgBZAQAAogUAAAAA&#10;">
                      <v:fill on="f" focussize="0,0"/>
                      <v:stroke weight="1pt" color="#000000 [3213]" miterlimit="8" joinstyle="miter" dashstyle="3 1" endarrow="open"/>
                      <v:imagedata o:title=""/>
                      <o:lock v:ext="edit" aspectratio="f"/>
                    </v:shape>
                  </w:pict>
                </mc:Fallback>
              </mc:AlternateContent>
            </w:r>
            <w:r>
              <w:rPr>
                <w:sz w:val="18"/>
              </w:rPr>
              <mc:AlternateContent>
                <mc:Choice Requires="wps">
                  <w:drawing>
                    <wp:anchor distT="0" distB="0" distL="114300" distR="114300" simplePos="0" relativeHeight="251705344" behindDoc="0" locked="0" layoutInCell="1" allowOverlap="1">
                      <wp:simplePos x="0" y="0"/>
                      <wp:positionH relativeFrom="column">
                        <wp:posOffset>528955</wp:posOffset>
                      </wp:positionH>
                      <wp:positionV relativeFrom="paragraph">
                        <wp:posOffset>1325880</wp:posOffset>
                      </wp:positionV>
                      <wp:extent cx="428625" cy="9144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428625"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粉尘、噪声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5pt;margin-top:104.4pt;height:72pt;width:33.75pt;z-index:251705344;mso-width-relative:page;mso-height-relative:page;" filled="f" stroked="f" coordsize="21600,21600" o:gfxdata="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RHab19oAAAAKAQAADwAAAAAAAAABACAAAAAiAAAAZHJz&#10;L2Rvd25yZXYueG1sUEsBAhQAFAAAAAgAh07iQCD3aos7AgAAZwQAAA4AAAAAAAAAAQAgAAAAKQEA&#10;AGRycy9lMm9Eb2MueG1sUEsFBgAAAAAGAAYAWQEAANYFAAAAAA==&#10;">
                      <v:fill on="f" focussize="0,0"/>
                      <v:stroke on="f" weight="0.5pt"/>
                      <v:imagedata o:title=""/>
                      <o:lock v:ext="edit" aspectratio="f"/>
                      <v:textbox>
                        <w:txbxContent>
                          <w:p>
                            <w:pPr>
                              <w:rPr>
                                <w:rFonts w:hint="default" w:eastAsia="宋体"/>
                                <w:lang w:val="en-US" w:eastAsia="zh-CN"/>
                              </w:rPr>
                            </w:pPr>
                            <w:r>
                              <w:rPr>
                                <w:rFonts w:hint="eastAsia"/>
                                <w:lang w:val="en-US" w:eastAsia="zh-CN"/>
                              </w:rPr>
                              <w:t>粉尘、噪声</w:t>
                            </w:r>
                          </w:p>
                        </w:txbxContent>
                      </v:textbox>
                    </v:shape>
                  </w:pict>
                </mc:Fallback>
              </mc:AlternateContent>
            </w:r>
            <w:r>
              <w:rPr>
                <w:sz w:val="18"/>
              </w:rPr>
              <mc:AlternateContent>
                <mc:Choice Requires="wps">
                  <w:drawing>
                    <wp:anchor distT="0" distB="0" distL="114300" distR="114300" simplePos="0" relativeHeight="251703296" behindDoc="0" locked="0" layoutInCell="1" allowOverlap="1">
                      <wp:simplePos x="0" y="0"/>
                      <wp:positionH relativeFrom="column">
                        <wp:posOffset>834390</wp:posOffset>
                      </wp:positionH>
                      <wp:positionV relativeFrom="paragraph">
                        <wp:posOffset>1992630</wp:posOffset>
                      </wp:positionV>
                      <wp:extent cx="533400" cy="0"/>
                      <wp:effectExtent l="0" t="50800" r="0" b="63500"/>
                      <wp:wrapNone/>
                      <wp:docPr id="34" name="直接箭头连接符 34"/>
                      <wp:cNvGraphicFramePr/>
                      <a:graphic xmlns:a="http://schemas.openxmlformats.org/drawingml/2006/main">
                        <a:graphicData uri="http://schemas.microsoft.com/office/word/2010/wordprocessingShape">
                          <wps:wsp>
                            <wps:cNvCnPr/>
                            <wps:spPr>
                              <a:xfrm flipH="1">
                                <a:off x="2353310" y="3079115"/>
                                <a:ext cx="533400" cy="0"/>
                              </a:xfrm>
                              <a:prstGeom prst="straightConnector1">
                                <a:avLst/>
                              </a:prstGeom>
                              <a:ln w="12700" cmpd="sng">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65.7pt;margin-top:156.9pt;height:0pt;width:42pt;z-index:251703296;mso-width-relative:page;mso-height-relative:page;" filled="f" stroked="t" coordsize="21600,21600" o:gfxdata="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gBNgtUAAAALAQAADwAA&#10;AAAAAAABACAAAAAiAAAAZHJzL2Rvd25yZXYueG1sUEsBAhQAFAAAAAgAh07iQNDoUqAZAgAA+AMA&#10;AA4AAAAAAAAAAQAgAAAAJAEAAGRycy9lMm9Eb2MueG1sUEsFBgAAAAAGAAYAWQEAAK8FAAAAAA==&#10;">
                      <v:fill on="f" focussize="0,0"/>
                      <v:stroke weight="1pt" color="#000000 [3213]" miterlimit="8" joinstyle="miter" dashstyle="3 1" endarrow="open"/>
                      <v:imagedata o:title=""/>
                      <o:lock v:ext="edit" aspectratio="f"/>
                    </v:shape>
                  </w:pict>
                </mc:Fallback>
              </mc:AlternateContent>
            </w:r>
            <w:r>
              <w:rPr>
                <w:sz w:val="18"/>
              </w:rPr>
              <mc:AlternateContent>
                <mc:Choice Requires="wps">
                  <w:drawing>
                    <wp:anchor distT="0" distB="0" distL="114300" distR="114300" simplePos="0" relativeHeight="251702272" behindDoc="0" locked="0" layoutInCell="1" allowOverlap="1">
                      <wp:simplePos x="0" y="0"/>
                      <wp:positionH relativeFrom="column">
                        <wp:posOffset>729615</wp:posOffset>
                      </wp:positionH>
                      <wp:positionV relativeFrom="paragraph">
                        <wp:posOffset>182880</wp:posOffset>
                      </wp:positionV>
                      <wp:extent cx="885190" cy="352425"/>
                      <wp:effectExtent l="0" t="0" r="0" b="0"/>
                      <wp:wrapNone/>
                      <wp:docPr id="33" name="文本框 33"/>
                      <wp:cNvGraphicFramePr/>
                      <a:graphic xmlns:a="http://schemas.openxmlformats.org/drawingml/2006/main">
                        <a:graphicData uri="http://schemas.microsoft.com/office/word/2010/wordprocessingShape">
                          <wps:wsp>
                            <wps:cNvSpPr txBox="1"/>
                            <wps:spPr>
                              <a:xfrm>
                                <a:off x="2010410" y="1269365"/>
                                <a:ext cx="88519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粉尘、噪声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45pt;margin-top:14.4pt;height:27.75pt;width:69.7pt;z-index:251702272;mso-width-relative:page;mso-height-relative:page;" filled="f" stroked="f" coordsize="21600,21600" o:gfxdata="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2lyfDZAAAACQEAAA8AAAAAAAAAAQAg&#10;AAAAIgAAAGRycy9kb3ducmV2LnhtbFBLAQIUABQAAAAIAIdO4kDer6yvRgIAAHMEAAAOAAAAAAAA&#10;AAEAIAAAACgBAABkcnMvZTJvRG9jLnhtbFBLBQYAAAAABgAGAFkBAADgBQAAAAA=&#10;">
                      <v:fill on="f" focussize="0,0"/>
                      <v:stroke on="f" weight="0.5pt"/>
                      <v:imagedata o:title=""/>
                      <o:lock v:ext="edit" aspectratio="f"/>
                      <v:textbox>
                        <w:txbxContent>
                          <w:p>
                            <w:pPr>
                              <w:rPr>
                                <w:rFonts w:hint="default" w:eastAsia="宋体"/>
                                <w:lang w:val="en-US" w:eastAsia="zh-CN"/>
                              </w:rPr>
                            </w:pPr>
                            <w:r>
                              <w:rPr>
                                <w:rFonts w:hint="eastAsia"/>
                                <w:lang w:val="en-US" w:eastAsia="zh-CN"/>
                              </w:rPr>
                              <w:t>粉尘、噪声</w:t>
                            </w:r>
                          </w:p>
                        </w:txbxContent>
                      </v:textbox>
                    </v:shape>
                  </w:pict>
                </mc:Fallback>
              </mc:AlternateContent>
            </w:r>
            <w:r>
              <w:rPr>
                <w:sz w:val="18"/>
              </w:rPr>
              <mc:AlternateContent>
                <mc:Choice Requires="wps">
                  <w:drawing>
                    <wp:anchor distT="0" distB="0" distL="114300" distR="114300" simplePos="0" relativeHeight="251701248" behindDoc="0" locked="0" layoutInCell="1" allowOverlap="1">
                      <wp:simplePos x="0" y="0"/>
                      <wp:positionH relativeFrom="column">
                        <wp:posOffset>1386840</wp:posOffset>
                      </wp:positionH>
                      <wp:positionV relativeFrom="paragraph">
                        <wp:posOffset>401955</wp:posOffset>
                      </wp:positionV>
                      <wp:extent cx="9525" cy="314325"/>
                      <wp:effectExtent l="48260" t="0" r="56515" b="9525"/>
                      <wp:wrapNone/>
                      <wp:docPr id="29" name="直接箭头连接符 29"/>
                      <wp:cNvGraphicFramePr/>
                      <a:graphic xmlns:a="http://schemas.openxmlformats.org/drawingml/2006/main">
                        <a:graphicData uri="http://schemas.microsoft.com/office/word/2010/wordprocessingShape">
                          <wps:wsp>
                            <wps:cNvCnPr/>
                            <wps:spPr>
                              <a:xfrm flipH="1" flipV="1">
                                <a:off x="2915285" y="1507490"/>
                                <a:ext cx="9525" cy="314325"/>
                              </a:xfrm>
                              <a:prstGeom prst="straightConnector1">
                                <a:avLst/>
                              </a:prstGeom>
                              <a:ln w="12700" cmpd="sng">
                                <a:solidFill>
                                  <a:schemeClr val="tx1"/>
                                </a:solidFill>
                                <a:prstDash val="sysDash"/>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 y;margin-left:109.2pt;margin-top:31.65pt;height:24.75pt;width:0.75pt;z-index:251701248;mso-width-relative:page;mso-height-relative:page;" filled="f" stroked="t" coordsize="21600,21600" o:gfxdata="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Jm5ya7ZAAAACgEAAA8AAAAAAAAAAQAgAAAAIgAAAGRycy9kb3ducmV2LnhtbFBLAQIU&#10;ABQAAAAIAIdO4kALN9gUKwIAABcEAAAOAAAAAAAAAAEAIAAAACgBAABkcnMvZTJvRG9jLnhtbFBL&#10;BQYAAAAABgAGAFkBAADFBQAAAAA=&#10;">
                      <v:fill on="f" focussize="0,0"/>
                      <v:stroke weight="1pt" color="#000000 [3213]" miterlimit="8" joinstyle="miter" dashstyle="3 1" endarrow="open"/>
                      <v:imagedata o:title=""/>
                      <o:lock v:ext="edit" aspectratio="f"/>
                    </v:shape>
                  </w:pict>
                </mc:Fallback>
              </mc:AlternateContent>
            </w:r>
            <w:r>
              <w:rPr>
                <w:rFonts w:hint="eastAsia" w:ascii="Times New Roman" w:hAnsi="Times New Roman" w:eastAsia="宋体" w:cs="Times New Roman"/>
                <w:color w:val="auto"/>
                <w:lang w:eastAsia="zh-CN"/>
              </w:rPr>
              <w:drawing>
                <wp:inline distT="0" distB="0" distL="114300" distR="114300">
                  <wp:extent cx="4314825" cy="2914650"/>
                  <wp:effectExtent l="0" t="0" r="9525" b="0"/>
                  <wp:docPr id="8" name="图片 8" descr="83a86bc43b9a1e8a7f5b58ef3438c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3a86bc43b9a1e8a7f5b58ef3438c64"/>
                          <pic:cNvPicPr>
                            <a:picLocks noChangeAspect="1"/>
                          </pic:cNvPicPr>
                        </pic:nvPicPr>
                        <pic:blipFill>
                          <a:blip r:embed="rId10"/>
                          <a:stretch>
                            <a:fillRect/>
                          </a:stretch>
                        </pic:blipFill>
                        <pic:spPr>
                          <a:xfrm>
                            <a:off x="0" y="0"/>
                            <a:ext cx="4314825" cy="2914650"/>
                          </a:xfrm>
                          <a:prstGeom prst="rect">
                            <a:avLst/>
                          </a:prstGeom>
                        </pic:spPr>
                      </pic:pic>
                    </a:graphicData>
                  </a:graphic>
                </wp:inline>
              </w:drawing>
            </w:r>
          </w:p>
          <w:p>
            <w:pPr>
              <w:pStyle w:val="16"/>
              <w:keepNext w:val="0"/>
              <w:keepLines w:val="0"/>
              <w:kinsoku/>
              <w:wordWrap/>
              <w:overflowPunct/>
              <w:topLinePunct w:val="0"/>
              <w:bidi w:val="0"/>
              <w:spacing w:beforeAutospacing="0" w:after="0" w:afterAutospacing="0"/>
              <w:ind w:left="0" w:leftChars="0" w:right="0" w:rightChars="0" w:firstLine="0" w:firstLineChars="0"/>
              <w:jc w:val="center"/>
              <w:outlineLvl w:val="9"/>
              <w:rPr>
                <w:rFonts w:hint="default" w:ascii="Times New Roman" w:hAnsi="Times New Roman" w:eastAsia="宋体" w:cs="Times New Roman"/>
                <w:color w:val="auto"/>
              </w:rPr>
            </w:pPr>
            <w:r>
              <w:rPr>
                <w:rFonts w:hint="default" w:ascii="Times New Roman" w:hAnsi="Times New Roman" w:eastAsia="宋体" w:cs="Times New Roman"/>
                <w:b/>
                <w:color w:val="auto"/>
                <w:spacing w:val="0"/>
                <w:kern w:val="2"/>
                <w:sz w:val="24"/>
                <w:szCs w:val="24"/>
                <w:lang w:val="en-US" w:eastAsia="zh-CN" w:bidi="ar-SA"/>
              </w:rPr>
              <w:t xml:space="preserve">图2-4  </w:t>
            </w:r>
            <w:r>
              <w:rPr>
                <w:rFonts w:hint="eastAsia" w:eastAsia="宋体" w:cs="Times New Roman"/>
                <w:b/>
                <w:color w:val="auto"/>
                <w:spacing w:val="0"/>
                <w:kern w:val="2"/>
                <w:sz w:val="24"/>
                <w:szCs w:val="24"/>
                <w:lang w:val="en-US" w:eastAsia="zh-CN" w:bidi="ar-SA"/>
              </w:rPr>
              <w:t>预混车</w:t>
            </w:r>
            <w:r>
              <w:rPr>
                <w:rFonts w:hint="eastAsia" w:ascii="Times New Roman" w:hAnsi="Times New Roman" w:eastAsia="宋体" w:cs="Times New Roman"/>
                <w:b/>
                <w:color w:val="auto"/>
                <w:spacing w:val="0"/>
                <w:kern w:val="2"/>
                <w:sz w:val="24"/>
                <w:szCs w:val="24"/>
                <w:lang w:val="en-US" w:eastAsia="zh-CN" w:bidi="ar-SA"/>
              </w:rPr>
              <w:t>间</w:t>
            </w:r>
            <w:r>
              <w:rPr>
                <w:rFonts w:hint="default" w:ascii="Times New Roman" w:hAnsi="Times New Roman" w:eastAsia="宋体" w:cs="Times New Roman"/>
                <w:b/>
                <w:color w:val="auto"/>
                <w:spacing w:val="0"/>
                <w:kern w:val="2"/>
                <w:sz w:val="24"/>
                <w:szCs w:val="24"/>
                <w:lang w:val="en-US" w:eastAsia="zh-CN" w:bidi="ar-SA"/>
              </w:rPr>
              <w:t>工艺流程及产污节点图</w:t>
            </w:r>
          </w:p>
          <w:p>
            <w:pPr>
              <w:pStyle w:val="16"/>
              <w:keepNext w:val="0"/>
              <w:keepLines w:val="0"/>
              <w:kinsoku/>
              <w:wordWrap/>
              <w:overflowPunct/>
              <w:topLinePunct w:val="0"/>
              <w:bidi w:val="0"/>
              <w:spacing w:beforeAutospacing="0" w:after="0" w:afterAutospacing="0"/>
              <w:ind w:left="0" w:leftChars="0" w:right="0" w:rightChars="0" w:firstLine="0" w:firstLineChars="0"/>
              <w:outlineLvl w:val="9"/>
              <w:rPr>
                <w:rFonts w:hint="default" w:ascii="Times New Roman" w:hAnsi="Times New Roman" w:eastAsia="宋体" w:cs="Times New Roman"/>
                <w:b/>
                <w:color w:val="auto"/>
                <w:sz w:val="24"/>
              </w:rPr>
            </w:pPr>
            <w:r>
              <w:drawing>
                <wp:inline distT="0" distB="0" distL="114300" distR="114300">
                  <wp:extent cx="5041900" cy="3345815"/>
                  <wp:effectExtent l="0" t="0" r="6350" b="698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1"/>
                          <a:stretch>
                            <a:fillRect/>
                          </a:stretch>
                        </pic:blipFill>
                        <pic:spPr>
                          <a:xfrm>
                            <a:off x="0" y="0"/>
                            <a:ext cx="5041900" cy="3345815"/>
                          </a:xfrm>
                          <a:prstGeom prst="rect">
                            <a:avLst/>
                          </a:prstGeom>
                          <a:noFill/>
                          <a:ln>
                            <a:noFill/>
                          </a:ln>
                        </pic:spPr>
                      </pic:pic>
                    </a:graphicData>
                  </a:graphic>
                </wp:inline>
              </w:drawing>
            </w:r>
          </w:p>
          <w:p>
            <w:pPr>
              <w:keepNext w:val="0"/>
              <w:keepLines w:val="0"/>
              <w:kinsoku/>
              <w:wordWrap/>
              <w:overflowPunct/>
              <w:topLinePunct w:val="0"/>
              <w:bidi w:val="0"/>
              <w:spacing w:beforeAutospacing="0" w:afterAutospacing="0" w:line="360" w:lineRule="auto"/>
              <w:ind w:left="0" w:leftChars="0" w:right="0" w:rightChars="0"/>
              <w:contextualSpacing/>
              <w:jc w:val="center"/>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 xml:space="preserve">图2-4  </w:t>
            </w:r>
            <w:r>
              <w:rPr>
                <w:rFonts w:hint="eastAsia" w:cs="Times New Roman"/>
                <w:b/>
                <w:color w:val="auto"/>
                <w:sz w:val="24"/>
                <w:lang w:val="en-US" w:eastAsia="zh-CN"/>
              </w:rPr>
              <w:t>主车间</w:t>
            </w:r>
            <w:r>
              <w:rPr>
                <w:rFonts w:hint="default" w:ascii="Times New Roman" w:hAnsi="Times New Roman" w:eastAsia="宋体" w:cs="Times New Roman"/>
                <w:b/>
                <w:color w:val="auto"/>
                <w:sz w:val="24"/>
              </w:rPr>
              <w:t>工艺流程及产污节点图</w:t>
            </w:r>
          </w:p>
          <w:p>
            <w:pPr>
              <w:keepNext w:val="0"/>
              <w:keepLines w:val="0"/>
              <w:kinsoku/>
              <w:wordWrap/>
              <w:overflowPunct/>
              <w:topLinePunct w:val="0"/>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mc:AlternateContent>
                <mc:Choice Requires="wps">
                  <w:drawing>
                    <wp:anchor distT="0" distB="0" distL="114300" distR="114300" simplePos="0" relativeHeight="251677696" behindDoc="0" locked="0" layoutInCell="1" allowOverlap="1">
                      <wp:simplePos x="0" y="0"/>
                      <wp:positionH relativeFrom="column">
                        <wp:posOffset>3253105</wp:posOffset>
                      </wp:positionH>
                      <wp:positionV relativeFrom="paragraph">
                        <wp:posOffset>59690</wp:posOffset>
                      </wp:positionV>
                      <wp:extent cx="876300" cy="2667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876300" cy="266700"/>
                              </a:xfrm>
                              <a:prstGeom prst="rect">
                                <a:avLst/>
                              </a:prstGeom>
                              <a:noFill/>
                              <a:ln>
                                <a:noFill/>
                              </a:ln>
                            </wps:spPr>
                            <wps:txbx>
                              <w:txbxContent>
                                <w:p>
                                  <w:r>
                                    <w:t>废水</w:t>
                                  </w:r>
                                </w:p>
                              </w:txbxContent>
                            </wps:txbx>
                            <wps:bodyPr upright="1"/>
                          </wps:wsp>
                        </a:graphicData>
                      </a:graphic>
                    </wp:anchor>
                  </w:drawing>
                </mc:Choice>
                <mc:Fallback>
                  <w:pict>
                    <v:shape id="_x0000_s1026" o:spid="_x0000_s1026" o:spt="202" type="#_x0000_t202" style="position:absolute;left:0pt;margin-left:256.15pt;margin-top:4.7pt;height:21pt;width:69pt;z-index:251677696;mso-width-relative:page;mso-height-relative:page;" filled="f" stroked="f" coordsize="21600,21600" o:gfxdata="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RYzO9UAAAAIAQAA&#10;DwAAAAAAAAABACAAAAAiAAAAZHJzL2Rvd25yZXYueG1sUEsBAhQAFAAAAAgAh07iQFxc5lCqAQAA&#10;TQMAAA4AAAAAAAAAAQAgAAAAJAEAAGRycy9lMm9Eb2MueG1sUEsFBgAAAAAGAAYAWQEAAEAFAAAA&#10;AA==&#10;">
                      <v:fill on="f" focussize="0,0"/>
                      <v:stroke on="f"/>
                      <v:imagedata o:title=""/>
                      <o:lock v:ext="edit" aspectratio="f"/>
                      <v:textbox>
                        <w:txbxContent>
                          <w:p>
                            <w:r>
                              <w:t>废水</w:t>
                            </w:r>
                          </w:p>
                        </w:txbxContent>
                      </v:textbox>
                    </v:shape>
                  </w:pict>
                </mc:Fallback>
              </mc:AlternateContent>
            </w:r>
            <w:r>
              <w:rPr>
                <w:rFonts w:hint="default" w:ascii="Times New Roman" w:hAnsi="Times New Roman" w:eastAsia="宋体" w:cs="Times New Roman"/>
                <w:b/>
                <w:color w:val="auto"/>
                <w:sz w:val="24"/>
              </w:rPr>
              <mc:AlternateContent>
                <mc:Choice Requires="wps">
                  <w:drawing>
                    <wp:anchor distT="0" distB="0" distL="114300" distR="114300" simplePos="0" relativeHeight="251675648" behindDoc="0" locked="0" layoutInCell="1" allowOverlap="1">
                      <wp:simplePos x="0" y="0"/>
                      <wp:positionH relativeFrom="column">
                        <wp:posOffset>433705</wp:posOffset>
                      </wp:positionH>
                      <wp:positionV relativeFrom="paragraph">
                        <wp:posOffset>59690</wp:posOffset>
                      </wp:positionV>
                      <wp:extent cx="1362075" cy="2667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362075" cy="266700"/>
                              </a:xfrm>
                              <a:prstGeom prst="rect">
                                <a:avLst/>
                              </a:prstGeom>
                              <a:noFill/>
                              <a:ln>
                                <a:noFill/>
                              </a:ln>
                            </wps:spPr>
                            <wps:txbx>
                              <w:txbxContent>
                                <w:p>
                                  <w:r>
                                    <w:t>废水、废气、固废</w:t>
                                  </w:r>
                                </w:p>
                              </w:txbxContent>
                            </wps:txbx>
                            <wps:bodyPr upright="1"/>
                          </wps:wsp>
                        </a:graphicData>
                      </a:graphic>
                    </wp:anchor>
                  </w:drawing>
                </mc:Choice>
                <mc:Fallback>
                  <w:pict>
                    <v:shape id="_x0000_s1026" o:spid="_x0000_s1026" o:spt="202" type="#_x0000_t202" style="position:absolute;left:0pt;margin-left:34.15pt;margin-top:4.7pt;height:21pt;width:107.25pt;z-index:251675648;mso-width-relative:page;mso-height-relative:page;" filled="f" stroked="f" coordsize="21600,21600" o:gfxdata="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nH2k5NUAAAAH&#10;AQAADwAAAAAAAAABACAAAAAiAAAAZHJzL2Rvd25yZXYueG1sUEsBAhQAFAAAAAgAh07iQBi5stKt&#10;AQAATgMAAA4AAAAAAAAAAQAgAAAAJAEAAGRycy9lMm9Eb2MueG1sUEsFBgAAAAAGAAYAWQEAAEMF&#10;AAAAAA==&#10;">
                      <v:fill on="f" focussize="0,0"/>
                      <v:stroke on="f"/>
                      <v:imagedata o:title=""/>
                      <o:lock v:ext="edit" aspectratio="f"/>
                      <v:textbox>
                        <w:txbxContent>
                          <w:p>
                            <w:r>
                              <w:t>废水、废气、固废</w:t>
                            </w:r>
                          </w:p>
                        </w:txbxContent>
                      </v:textbox>
                    </v:shape>
                  </w:pict>
                </mc:Fallback>
              </mc:AlternateContent>
            </w:r>
          </w:p>
          <w:p>
            <w:pPr>
              <w:keepNext w:val="0"/>
              <w:keepLines w:val="0"/>
              <w:kinsoku/>
              <w:wordWrap/>
              <w:overflowPunct/>
              <w:topLinePunct w:val="0"/>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mc:AlternateContent>
                <mc:Choice Requires="wps">
                  <w:drawing>
                    <wp:anchor distT="0" distB="0" distL="114300" distR="114300" simplePos="0" relativeHeight="251676672" behindDoc="0" locked="0" layoutInCell="1" allowOverlap="1">
                      <wp:simplePos x="0" y="0"/>
                      <wp:positionH relativeFrom="column">
                        <wp:posOffset>3510280</wp:posOffset>
                      </wp:positionH>
                      <wp:positionV relativeFrom="paragraph">
                        <wp:posOffset>63500</wp:posOffset>
                      </wp:positionV>
                      <wp:extent cx="0" cy="276225"/>
                      <wp:effectExtent l="38100" t="0" r="38100" b="9525"/>
                      <wp:wrapNone/>
                      <wp:docPr id="3" name="直接箭头连接符 3"/>
                      <wp:cNvGraphicFramePr/>
                      <a:graphic xmlns:a="http://schemas.openxmlformats.org/drawingml/2006/main">
                        <a:graphicData uri="http://schemas.microsoft.com/office/word/2010/wordprocessingShape">
                          <wps:wsp>
                            <wps:cNvCnPr/>
                            <wps:spPr>
                              <a:xfrm flipV="1">
                                <a:off x="0" y="0"/>
                                <a:ext cx="0" cy="2762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276.4pt;margin-top:5pt;height:21.75pt;width:0pt;z-index:251676672;mso-width-relative:page;mso-height-relative:page;" filled="f" stroked="t" coordsize="21600,21600" o:gfxdata="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DC/Hj1gAAAAkBAAAPAAAAAAAAAAEAIAAAACIAAABk&#10;cnMvZG93bnJldi54bWxQSwECFAAUAAAACACHTuJAgRtfiQgCAAD5AwAADgAAAAAAAAABACAAAAAl&#10;AQAAZHJzL2Uyb0RvYy54bWxQSwUGAAAAAAYABgBZAQAAnwU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b/>
                <w:color w:val="auto"/>
                <w:sz w:val="24"/>
              </w:rPr>
              <mc:AlternateContent>
                <mc:Choice Requires="wps">
                  <w:drawing>
                    <wp:anchor distT="0" distB="0" distL="114300" distR="114300" simplePos="0" relativeHeight="251674624" behindDoc="0" locked="0" layoutInCell="1" allowOverlap="1">
                      <wp:simplePos x="0" y="0"/>
                      <wp:positionH relativeFrom="column">
                        <wp:posOffset>862330</wp:posOffset>
                      </wp:positionH>
                      <wp:positionV relativeFrom="paragraph">
                        <wp:posOffset>63500</wp:posOffset>
                      </wp:positionV>
                      <wp:extent cx="9525" cy="276225"/>
                      <wp:effectExtent l="35560" t="0" r="31115" b="9525"/>
                      <wp:wrapNone/>
                      <wp:docPr id="4" name="直接箭头连接符 4"/>
                      <wp:cNvGraphicFramePr/>
                      <a:graphic xmlns:a="http://schemas.openxmlformats.org/drawingml/2006/main">
                        <a:graphicData uri="http://schemas.microsoft.com/office/word/2010/wordprocessingShape">
                          <wps:wsp>
                            <wps:cNvCnPr/>
                            <wps:spPr>
                              <a:xfrm flipH="1" flipV="1">
                                <a:off x="0" y="0"/>
                                <a:ext cx="9525" cy="2762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 y;margin-left:67.9pt;margin-top:5pt;height:21.75pt;width:0.75pt;z-index:251674624;mso-width-relative:page;mso-height-relative:page;" filled="f" stroked="t" coordsize="21600,21600" o:gfxdata="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G0GlX1wAAAAkBAAAPAAAAAAAAAAEAIAAA&#10;ACIAAABkcnMvZG93bnJldi54bWxQSwECFAAUAAAACACHTuJAaK9Rtg0CAAAGBAAADgAAAAAAAAAB&#10;ACAAAAAmAQAAZHJzL2Uyb0RvYy54bWxQSwUGAAAAAAYABgBZAQAApQUAAAAA&#10;">
                      <v:fill on="f" focussize="0,0"/>
                      <v:stroke color="#000000" joinstyle="round" endarrow="block"/>
                      <v:imagedata o:title=""/>
                      <o:lock v:ext="edit" aspectratio="f"/>
                    </v:shape>
                  </w:pict>
                </mc:Fallback>
              </mc:AlternateContent>
            </w:r>
          </w:p>
          <w:p>
            <w:pPr>
              <w:keepNext w:val="0"/>
              <w:keepLines w:val="0"/>
              <w:kinsoku/>
              <w:wordWrap/>
              <w:overflowPunct/>
              <w:topLinePunct w:val="0"/>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mc:AlternateContent>
                <mc:Choice Requires="wps">
                  <w:drawing>
                    <wp:anchor distT="0" distB="0" distL="114300" distR="114300" simplePos="0" relativeHeight="251667456" behindDoc="0" locked="0" layoutInCell="1" allowOverlap="1">
                      <wp:simplePos x="0" y="0"/>
                      <wp:positionH relativeFrom="column">
                        <wp:posOffset>167005</wp:posOffset>
                      </wp:positionH>
                      <wp:positionV relativeFrom="paragraph">
                        <wp:posOffset>86360</wp:posOffset>
                      </wp:positionV>
                      <wp:extent cx="1333500" cy="323850"/>
                      <wp:effectExtent l="4445" t="4445" r="14605" b="14605"/>
                      <wp:wrapNone/>
                      <wp:docPr id="5" name="文本框 5"/>
                      <wp:cNvGraphicFramePr/>
                      <a:graphic xmlns:a="http://schemas.openxmlformats.org/drawingml/2006/main">
                        <a:graphicData uri="http://schemas.microsoft.com/office/word/2010/wordprocessingShape">
                          <wps:wsp>
                            <wps:cNvSpPr txBox="1"/>
                            <wps:spPr>
                              <a:xfrm>
                                <a:off x="0" y="0"/>
                                <a:ext cx="1333500" cy="3238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化验室</w:t>
                                  </w:r>
                                  <w:r>
                                    <w:t>样品分析</w:t>
                                  </w:r>
                                </w:p>
                              </w:txbxContent>
                            </wps:txbx>
                            <wps:bodyPr upright="1"/>
                          </wps:wsp>
                        </a:graphicData>
                      </a:graphic>
                    </wp:anchor>
                  </w:drawing>
                </mc:Choice>
                <mc:Fallback>
                  <w:pict>
                    <v:shape id="_x0000_s1026" o:spid="_x0000_s1026" o:spt="202" type="#_x0000_t202" style="position:absolute;left:0pt;margin-left:13.15pt;margin-top:6.8pt;height:25.5pt;width:105pt;z-index:251667456;mso-width-relative:page;mso-height-relative:page;" fillcolor="#FFFFFF" filled="t" stroked="t" coordsize="21600,21600" o:gfxdata="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qFyFW1gAAAAgBAAAPAAAAAAAAAAEAIAAAACIA&#10;AABkcnMvZG93bnJldi54bWxQSwECFAAUAAAACACHTuJAvM6p8AsCAAA2BAAADgAAAAAAAAABACAA&#10;AAAlAQAAZHJzL2Uyb0RvYy54bWxQSwUGAAAAAAYABgBZAQAAogUAAAAA&#10;">
                      <v:fill on="t" focussize="0,0"/>
                      <v:stroke color="#000000" joinstyle="miter"/>
                      <v:imagedata o:title=""/>
                      <o:lock v:ext="edit" aspectratio="f"/>
                      <v:textbox>
                        <w:txbxContent>
                          <w:p>
                            <w:pPr>
                              <w:jc w:val="center"/>
                            </w:pPr>
                            <w:r>
                              <w:rPr>
                                <w:rFonts w:hint="eastAsia"/>
                              </w:rPr>
                              <w:t>化验室</w:t>
                            </w:r>
                            <w:r>
                              <w:t>样品分析</w:t>
                            </w:r>
                          </w:p>
                        </w:txbxContent>
                      </v:textbox>
                    </v:shape>
                  </w:pict>
                </mc:Fallback>
              </mc:AlternateContent>
            </w:r>
            <w:r>
              <w:rPr>
                <w:rFonts w:hint="default" w:ascii="Times New Roman" w:hAnsi="Times New Roman" w:eastAsia="宋体" w:cs="Times New Roman"/>
                <w:b/>
                <w:color w:val="auto"/>
                <w:sz w:val="24"/>
              </w:rPr>
              <mc:AlternateContent>
                <mc:Choice Requires="wps">
                  <w:drawing>
                    <wp:anchor distT="0" distB="0" distL="114300" distR="114300" simplePos="0" relativeHeight="251669504" behindDoc="0" locked="0" layoutInCell="1" allowOverlap="1">
                      <wp:simplePos x="0" y="0"/>
                      <wp:positionH relativeFrom="column">
                        <wp:posOffset>1862455</wp:posOffset>
                      </wp:positionH>
                      <wp:positionV relativeFrom="paragraph">
                        <wp:posOffset>76835</wp:posOffset>
                      </wp:positionV>
                      <wp:extent cx="847725" cy="333375"/>
                      <wp:effectExtent l="4445" t="4445" r="5080" b="5080"/>
                      <wp:wrapNone/>
                      <wp:docPr id="13" name="文本框 13"/>
                      <wp:cNvGraphicFramePr/>
                      <a:graphic xmlns:a="http://schemas.openxmlformats.org/drawingml/2006/main">
                        <a:graphicData uri="http://schemas.microsoft.com/office/word/2010/wordprocessingShape">
                          <wps:wsp>
                            <wps:cNvSpPr txBox="1"/>
                            <wps:spPr>
                              <a:xfrm>
                                <a:off x="0" y="0"/>
                                <a:ext cx="847725" cy="3333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t>取得数据</w:t>
                                  </w:r>
                                </w:p>
                              </w:txbxContent>
                            </wps:txbx>
                            <wps:bodyPr upright="1"/>
                          </wps:wsp>
                        </a:graphicData>
                      </a:graphic>
                    </wp:anchor>
                  </w:drawing>
                </mc:Choice>
                <mc:Fallback>
                  <w:pict>
                    <v:shape id="_x0000_s1026" o:spid="_x0000_s1026" o:spt="202" type="#_x0000_t202" style="position:absolute;left:0pt;margin-left:146.65pt;margin-top:6.05pt;height:26.25pt;width:66.75pt;z-index:251669504;mso-width-relative:page;mso-height-relative:page;" fillcolor="#FFFFFF" filled="t" stroked="t" coordsize="21600,21600" o:gfxdata="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0k9qZ2AAAAAkBAAAPAAAAAAAAAAEAIAAAACIA&#10;AABkcnMvZG93bnJldi54bWxQSwECFAAUAAAACACHTuJAn/PHrwkCAAA3BAAADgAAAAAAAAABACAA&#10;AAAnAQAAZHJzL2Uyb0RvYy54bWxQSwUGAAAAAAYABgBZAQAAogUAAAAA&#10;">
                      <v:fill on="t" focussize="0,0"/>
                      <v:stroke color="#000000" joinstyle="miter"/>
                      <v:imagedata o:title=""/>
                      <o:lock v:ext="edit" aspectratio="f"/>
                      <v:textbox>
                        <w:txbxContent>
                          <w:p>
                            <w:pPr>
                              <w:jc w:val="center"/>
                            </w:pPr>
                            <w:r>
                              <w:t>取得数据</w:t>
                            </w:r>
                          </w:p>
                        </w:txbxContent>
                      </v:textbox>
                    </v:shape>
                  </w:pict>
                </mc:Fallback>
              </mc:AlternateContent>
            </w:r>
            <w:r>
              <w:rPr>
                <w:rFonts w:hint="default" w:ascii="Times New Roman" w:hAnsi="Times New Roman" w:eastAsia="宋体" w:cs="Times New Roman"/>
                <w:b/>
                <w:color w:val="auto"/>
                <w:sz w:val="24"/>
              </w:rPr>
              <mc:AlternateContent>
                <mc:Choice Requires="wps">
                  <w:drawing>
                    <wp:anchor distT="0" distB="0" distL="114300" distR="114300" simplePos="0" relativeHeight="251673600" behindDoc="0" locked="0" layoutInCell="1" allowOverlap="1">
                      <wp:simplePos x="0" y="0"/>
                      <wp:positionH relativeFrom="column">
                        <wp:posOffset>4234180</wp:posOffset>
                      </wp:positionH>
                      <wp:positionV relativeFrom="paragraph">
                        <wp:posOffset>76835</wp:posOffset>
                      </wp:positionV>
                      <wp:extent cx="762000" cy="333375"/>
                      <wp:effectExtent l="4445" t="4445" r="14605" b="5080"/>
                      <wp:wrapNone/>
                      <wp:docPr id="21" name="文本框 21"/>
                      <wp:cNvGraphicFramePr/>
                      <a:graphic xmlns:a="http://schemas.openxmlformats.org/drawingml/2006/main">
                        <a:graphicData uri="http://schemas.microsoft.com/office/word/2010/wordprocessingShape">
                          <wps:wsp>
                            <wps:cNvSpPr txBox="1"/>
                            <wps:spPr>
                              <a:xfrm>
                                <a:off x="0" y="0"/>
                                <a:ext cx="762000" cy="333375"/>
                              </a:xfrm>
                              <a:prstGeom prst="rect">
                                <a:avLst/>
                              </a:prstGeom>
                              <a:solidFill>
                                <a:srgbClr val="FFFFFF"/>
                              </a:solidFill>
                              <a:ln w="9525" cap="flat" cmpd="sng">
                                <a:solidFill>
                                  <a:srgbClr val="000000"/>
                                </a:solidFill>
                                <a:prstDash val="solid"/>
                                <a:miter/>
                                <a:headEnd type="none" w="med" len="med"/>
                                <a:tailEnd type="none" w="med" len="med"/>
                              </a:ln>
                            </wps:spPr>
                            <wps:txbx>
                              <w:txbxContent>
                                <w:p>
                                  <w:r>
                                    <w:t>实验结束</w:t>
                                  </w:r>
                                </w:p>
                              </w:txbxContent>
                            </wps:txbx>
                            <wps:bodyPr upright="1"/>
                          </wps:wsp>
                        </a:graphicData>
                      </a:graphic>
                    </wp:anchor>
                  </w:drawing>
                </mc:Choice>
                <mc:Fallback>
                  <w:pict>
                    <v:shape id="_x0000_s1026" o:spid="_x0000_s1026" o:spt="202" type="#_x0000_t202" style="position:absolute;left:0pt;margin-left:333.4pt;margin-top:6.05pt;height:26.25pt;width:60pt;z-index:251673600;mso-width-relative:page;mso-height-relative:page;" fillcolor="#FFFFFF" filled="t" stroked="t" coordsize="21600,21600" o:gfxdata="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fCLk9YAAAAJAQAADwAAAAAAAAABACAAAAAi&#10;AAAAZHJzL2Rvd25yZXYueG1sUEsBAhQAFAAAAAgAh07iQI0AiDEMAgAANwQAAA4AAAAAAAAAAQAg&#10;AAAAJQEAAGRycy9lMm9Eb2MueG1sUEsFBgAAAAAGAAYAWQEAAKMFAAAAAA==&#10;">
                      <v:fill on="t" focussize="0,0"/>
                      <v:stroke color="#000000" joinstyle="miter"/>
                      <v:imagedata o:title=""/>
                      <o:lock v:ext="edit" aspectratio="f"/>
                      <v:textbox>
                        <w:txbxContent>
                          <w:p>
                            <w:r>
                              <w:t>实验结束</w:t>
                            </w:r>
                          </w:p>
                        </w:txbxContent>
                      </v:textbox>
                    </v:shape>
                  </w:pict>
                </mc:Fallback>
              </mc:AlternateContent>
            </w:r>
            <w:r>
              <w:rPr>
                <w:rFonts w:hint="default" w:ascii="Times New Roman" w:hAnsi="Times New Roman" w:eastAsia="宋体" w:cs="Times New Roman"/>
                <w:b/>
                <w:color w:val="auto"/>
                <w:sz w:val="24"/>
              </w:rPr>
              <mc:AlternateContent>
                <mc:Choice Requires="wps">
                  <w:drawing>
                    <wp:anchor distT="0" distB="0" distL="114300" distR="114300" simplePos="0" relativeHeight="251672576" behindDoc="0" locked="0" layoutInCell="1" allowOverlap="1">
                      <wp:simplePos x="0" y="0"/>
                      <wp:positionH relativeFrom="column">
                        <wp:posOffset>3957955</wp:posOffset>
                      </wp:positionH>
                      <wp:positionV relativeFrom="paragraph">
                        <wp:posOffset>200660</wp:posOffset>
                      </wp:positionV>
                      <wp:extent cx="276225" cy="0"/>
                      <wp:effectExtent l="0" t="38100" r="9525" b="38100"/>
                      <wp:wrapNone/>
                      <wp:docPr id="15" name="直接箭头连接符 15"/>
                      <wp:cNvGraphicFramePr/>
                      <a:graphic xmlns:a="http://schemas.openxmlformats.org/drawingml/2006/main">
                        <a:graphicData uri="http://schemas.microsoft.com/office/word/2010/wordprocessingShape">
                          <wps:wsp>
                            <wps:cNvCnPr/>
                            <wps:spPr>
                              <a:xfrm>
                                <a:off x="0" y="0"/>
                                <a:ext cx="27622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311.65pt;margin-top:15.8pt;height:0pt;width:21.75pt;z-index:251672576;mso-width-relative:page;mso-height-relative:page;" filled="f" stroked="t" coordsize="21600,21600" o:gfxdata="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5u4LTXAAAACQEAAA8AAAAAAAAAAQAgAAAAIgAAAGRycy9k&#10;b3ducmV2LnhtbFBLAQIUABQAAAAIAIdO4kAho/yNAwIAAPEDAAAOAAAAAAAAAAEAIAAAACYBAABk&#10;cnMvZTJvRG9jLnhtbFBLBQYAAAAABgAGAFkBAACbBQ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b/>
                <w:color w:val="auto"/>
                <w:sz w:val="24"/>
              </w:rPr>
              <mc:AlternateContent>
                <mc:Choice Requires="wps">
                  <w:drawing>
                    <wp:anchor distT="0" distB="0" distL="114300" distR="114300" simplePos="0" relativeHeight="251671552" behindDoc="0" locked="0" layoutInCell="1" allowOverlap="1">
                      <wp:simplePos x="0" y="0"/>
                      <wp:positionH relativeFrom="column">
                        <wp:posOffset>3062605</wp:posOffset>
                      </wp:positionH>
                      <wp:positionV relativeFrom="paragraph">
                        <wp:posOffset>76835</wp:posOffset>
                      </wp:positionV>
                      <wp:extent cx="895350" cy="333375"/>
                      <wp:effectExtent l="4445" t="4445" r="14605" b="5080"/>
                      <wp:wrapNone/>
                      <wp:docPr id="26" name="文本框 26"/>
                      <wp:cNvGraphicFramePr/>
                      <a:graphic xmlns:a="http://schemas.openxmlformats.org/drawingml/2006/main">
                        <a:graphicData uri="http://schemas.microsoft.com/office/word/2010/wordprocessingShape">
                          <wps:wsp>
                            <wps:cNvSpPr txBox="1"/>
                            <wps:spPr>
                              <a:xfrm>
                                <a:off x="0" y="0"/>
                                <a:ext cx="895350" cy="333375"/>
                              </a:xfrm>
                              <a:prstGeom prst="rect">
                                <a:avLst/>
                              </a:prstGeom>
                              <a:solidFill>
                                <a:srgbClr val="FFFFFF"/>
                              </a:solidFill>
                              <a:ln w="9525" cap="flat" cmpd="sng">
                                <a:solidFill>
                                  <a:srgbClr val="000000"/>
                                </a:solidFill>
                                <a:prstDash val="solid"/>
                                <a:miter/>
                                <a:headEnd type="none" w="med" len="med"/>
                                <a:tailEnd type="none" w="med" len="med"/>
                              </a:ln>
                            </wps:spPr>
                            <wps:txbx>
                              <w:txbxContent>
                                <w:p>
                                  <w:r>
                                    <w:t>试剂瓶清洗</w:t>
                                  </w:r>
                                </w:p>
                              </w:txbxContent>
                            </wps:txbx>
                            <wps:bodyPr upright="1"/>
                          </wps:wsp>
                        </a:graphicData>
                      </a:graphic>
                    </wp:anchor>
                  </w:drawing>
                </mc:Choice>
                <mc:Fallback>
                  <w:pict>
                    <v:shape id="_x0000_s1026" o:spid="_x0000_s1026" o:spt="202" type="#_x0000_t202" style="position:absolute;left:0pt;margin-left:241.15pt;margin-top:6.05pt;height:26.25pt;width:70.5pt;z-index:251671552;mso-width-relative:page;mso-height-relative:page;" fillcolor="#FFFFFF" filled="t" stroked="t" coordsize="21600,21600" o:gfxdata="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EKVfn1wAAAAkBAAAPAAAAAAAAAAEAIAAAACIA&#10;AABkcnMvZG93bnJldi54bWxQSwECFAAUAAAACACHTuJAvuh+OQoCAAA3BAAADgAAAAAAAAABACAA&#10;AAAmAQAAZHJzL2Uyb0RvYy54bWxQSwUGAAAAAAYABgBZAQAAogUAAAAA&#10;">
                      <v:fill on="t" focussize="0,0"/>
                      <v:stroke color="#000000" joinstyle="miter"/>
                      <v:imagedata o:title=""/>
                      <o:lock v:ext="edit" aspectratio="f"/>
                      <v:textbox>
                        <w:txbxContent>
                          <w:p>
                            <w:r>
                              <w:t>试剂瓶清洗</w:t>
                            </w:r>
                          </w:p>
                        </w:txbxContent>
                      </v:textbox>
                    </v:shape>
                  </w:pict>
                </mc:Fallback>
              </mc:AlternateContent>
            </w:r>
            <w:r>
              <w:rPr>
                <w:rFonts w:hint="default" w:ascii="Times New Roman" w:hAnsi="Times New Roman" w:eastAsia="宋体" w:cs="Times New Roman"/>
                <w:b/>
                <w:color w:val="auto"/>
                <w:sz w:val="24"/>
              </w:rPr>
              <mc:AlternateContent>
                <mc:Choice Requires="wps">
                  <w:drawing>
                    <wp:anchor distT="0" distB="0" distL="114300" distR="114300" simplePos="0" relativeHeight="251670528" behindDoc="0" locked="0" layoutInCell="1" allowOverlap="1">
                      <wp:simplePos x="0" y="0"/>
                      <wp:positionH relativeFrom="column">
                        <wp:posOffset>2710180</wp:posOffset>
                      </wp:positionH>
                      <wp:positionV relativeFrom="paragraph">
                        <wp:posOffset>248285</wp:posOffset>
                      </wp:positionV>
                      <wp:extent cx="352425" cy="0"/>
                      <wp:effectExtent l="0" t="38100" r="9525" b="38100"/>
                      <wp:wrapNone/>
                      <wp:docPr id="19" name="直接箭头连接符 19"/>
                      <wp:cNvGraphicFramePr/>
                      <a:graphic xmlns:a="http://schemas.openxmlformats.org/drawingml/2006/main">
                        <a:graphicData uri="http://schemas.microsoft.com/office/word/2010/wordprocessingShape">
                          <wps:wsp>
                            <wps:cNvCnPr/>
                            <wps:spPr>
                              <a:xfrm>
                                <a:off x="0" y="0"/>
                                <a:ext cx="35242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13.4pt;margin-top:19.55pt;height:0pt;width:27.75pt;z-index:251670528;mso-width-relative:page;mso-height-relative:page;" filled="f" stroked="t" coordsize="21600,21600" o:gfxdata="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&#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R5SbXaAAAACQEAAA8AAAAAAAAAAQAgAAAAIgAAAGRy&#10;cy9kb3ducmV2LnhtbFBLAQIUABQAAAAIAIdO4kAZqwLtAwIAAPEDAAAOAAAAAAAAAAEAIAAAACkB&#10;AABkcnMvZTJvRG9jLnhtbFBLBQYAAAAABgAGAFkBAACeBQ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b/>
                <w:color w:val="auto"/>
                <w:sz w:val="24"/>
              </w:rPr>
              <mc:AlternateContent>
                <mc:Choice Requires="wps">
                  <w:drawing>
                    <wp:anchor distT="0" distB="0" distL="114300" distR="114300" simplePos="0" relativeHeight="251668480" behindDoc="0" locked="0" layoutInCell="1" allowOverlap="1">
                      <wp:simplePos x="0" y="0"/>
                      <wp:positionH relativeFrom="column">
                        <wp:posOffset>1500505</wp:posOffset>
                      </wp:positionH>
                      <wp:positionV relativeFrom="paragraph">
                        <wp:posOffset>248285</wp:posOffset>
                      </wp:positionV>
                      <wp:extent cx="361950" cy="0"/>
                      <wp:effectExtent l="0" t="38100" r="0" b="38100"/>
                      <wp:wrapNone/>
                      <wp:docPr id="12" name="直接箭头连接符 12"/>
                      <wp:cNvGraphicFramePr/>
                      <a:graphic xmlns:a="http://schemas.openxmlformats.org/drawingml/2006/main">
                        <a:graphicData uri="http://schemas.microsoft.com/office/word/2010/wordprocessingShape">
                          <wps:wsp>
                            <wps:cNvCnPr/>
                            <wps:spPr>
                              <a:xfrm>
                                <a:off x="0" y="0"/>
                                <a:ext cx="3619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18.15pt;margin-top:19.55pt;height:0pt;width:28.5pt;z-index:251668480;mso-width-relative:page;mso-height-relative:page;" filled="f" stroked="t" coordsize="21600,21600" o:gfxdata="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GPF951wAAAAkBAAAPAAAAAAAAAAEAIAAAACIAAABkcnMv&#10;ZG93bnJldi54bWxQSwECFAAUAAAACACHTuJAEJKihgQCAADxAwAADgAAAAAAAAABACAAAAAmAQAA&#10;ZHJzL2Uyb0RvYy54bWxQSwUGAAAAAAYABgBZAQAAnAUAAAAA&#10;">
                      <v:fill on="f" focussize="0,0"/>
                      <v:stroke color="#000000" joinstyle="round" endarrow="block"/>
                      <v:imagedata o:title=""/>
                      <o:lock v:ext="edit" aspectratio="f"/>
                    </v:shape>
                  </w:pict>
                </mc:Fallback>
              </mc:AlternateContent>
            </w:r>
          </w:p>
          <w:p>
            <w:pPr>
              <w:keepNext w:val="0"/>
              <w:keepLines w:val="0"/>
              <w:kinsoku/>
              <w:wordWrap/>
              <w:overflowPunct/>
              <w:topLinePunct w:val="0"/>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p>
          <w:p>
            <w:pPr>
              <w:keepNext w:val="0"/>
              <w:keepLines w:val="0"/>
              <w:kinsoku/>
              <w:wordWrap/>
              <w:overflowPunct/>
              <w:topLinePunct w:val="0"/>
              <w:bidi w:val="0"/>
              <w:spacing w:beforeAutospacing="0" w:afterAutospacing="0" w:line="240" w:lineRule="auto"/>
              <w:ind w:left="0" w:leftChars="0" w:right="0" w:rightChars="0" w:firstLine="482" w:firstLineChars="200"/>
              <w:contextualSpacing/>
              <w:jc w:val="center"/>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图2-</w:t>
            </w:r>
            <w:r>
              <w:rPr>
                <w:rFonts w:hint="default" w:ascii="Times New Roman" w:hAnsi="Times New Roman" w:eastAsia="宋体" w:cs="Times New Roman"/>
                <w:b/>
                <w:color w:val="auto"/>
                <w:sz w:val="24"/>
                <w:lang w:val="en-US" w:eastAsia="zh-CN"/>
              </w:rPr>
              <w:t>5</w:t>
            </w:r>
            <w:r>
              <w:rPr>
                <w:rFonts w:hint="default" w:ascii="Times New Roman" w:hAnsi="Times New Roman" w:eastAsia="宋体" w:cs="Times New Roman"/>
                <w:b/>
                <w:color w:val="auto"/>
                <w:sz w:val="24"/>
              </w:rPr>
              <w:t xml:space="preserve">  运营期化验室工艺流程及产污节点图</w:t>
            </w:r>
          </w:p>
          <w:p>
            <w:pPr>
              <w:keepNext w:val="0"/>
              <w:keepLines w:val="0"/>
              <w:kinsoku/>
              <w:wordWrap/>
              <w:overflowPunct/>
              <w:topLinePunct w:val="0"/>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2、流程简介：</w:t>
            </w:r>
          </w:p>
          <w:p>
            <w:pPr>
              <w:pStyle w:val="16"/>
              <w:keepNext w:val="0"/>
              <w:keepLines w:val="0"/>
              <w:kinsoku/>
              <w:wordWrap/>
              <w:overflowPunct/>
              <w:topLinePunct w:val="0"/>
              <w:bidi w:val="0"/>
              <w:spacing w:beforeAutospacing="0" w:after="0" w:afterAutospacing="0" w:line="360" w:lineRule="auto"/>
              <w:ind w:left="0" w:leftChars="0" w:right="0" w:rightChars="0" w:firstLine="482" w:firstLineChars="200"/>
              <w:outlineLvl w:val="9"/>
              <w:rPr>
                <w:rFonts w:hint="default" w:ascii="Times New Roman" w:hAnsi="Times New Roman" w:eastAsia="宋体" w:cs="Times New Roman"/>
                <w:b/>
                <w:bCs/>
                <w:color w:val="auto"/>
                <w:spacing w:val="0"/>
                <w:kern w:val="2"/>
                <w:sz w:val="24"/>
              </w:rPr>
            </w:pPr>
            <w:r>
              <w:rPr>
                <w:rFonts w:hint="eastAsia" w:cs="Times New Roman"/>
                <w:b/>
                <w:bCs/>
                <w:color w:val="auto"/>
                <w:spacing w:val="0"/>
                <w:kern w:val="2"/>
                <w:sz w:val="24"/>
                <w:lang w:val="en-US" w:eastAsia="zh-CN"/>
              </w:rPr>
              <w:t>预混料</w:t>
            </w:r>
            <w:r>
              <w:rPr>
                <w:rFonts w:hint="default" w:ascii="Times New Roman" w:hAnsi="Times New Roman" w:eastAsia="宋体" w:cs="Times New Roman"/>
                <w:b/>
                <w:bCs/>
                <w:color w:val="auto"/>
                <w:spacing w:val="0"/>
                <w:kern w:val="2"/>
                <w:sz w:val="24"/>
              </w:rPr>
              <w:t>加工流程：</w:t>
            </w:r>
          </w:p>
          <w:p>
            <w:pPr>
              <w:pStyle w:val="16"/>
              <w:keepNext w:val="0"/>
              <w:keepLines w:val="0"/>
              <w:kinsoku/>
              <w:wordWrap/>
              <w:overflowPunct/>
              <w:topLinePunct w:val="0"/>
              <w:bidi w:val="0"/>
              <w:spacing w:beforeAutospacing="0" w:after="0" w:afterAutospacing="0" w:line="360" w:lineRule="auto"/>
              <w:ind w:left="0" w:leftChars="0" w:right="0" w:rightChars="0" w:firstLine="480" w:firstLineChars="200"/>
              <w:outlineLvl w:val="9"/>
              <w:rPr>
                <w:rFonts w:hint="default" w:ascii="Times New Roman" w:hAnsi="Times New Roman" w:eastAsia="宋体" w:cs="Times New Roman"/>
                <w:bCs/>
                <w:color w:val="auto"/>
                <w:spacing w:val="0"/>
                <w:kern w:val="2"/>
                <w:sz w:val="24"/>
              </w:rPr>
            </w:pPr>
            <w:r>
              <w:rPr>
                <w:rFonts w:hint="eastAsia" w:cs="Times New Roman"/>
                <w:bCs/>
                <w:color w:val="auto"/>
                <w:spacing w:val="0"/>
                <w:kern w:val="2"/>
                <w:sz w:val="24"/>
                <w:lang w:val="en-US" w:eastAsia="zh-CN"/>
              </w:rPr>
              <w:t>预混合车间</w:t>
            </w:r>
            <w:r>
              <w:rPr>
                <w:rFonts w:hint="default" w:ascii="Times New Roman" w:hAnsi="Times New Roman" w:eastAsia="宋体" w:cs="Times New Roman"/>
                <w:bCs/>
                <w:color w:val="auto"/>
                <w:spacing w:val="0"/>
                <w:kern w:val="2"/>
                <w:sz w:val="24"/>
              </w:rPr>
              <w:t>加工线</w:t>
            </w:r>
            <w:r>
              <w:rPr>
                <w:rFonts w:hint="eastAsia" w:cs="Times New Roman"/>
                <w:bCs/>
                <w:color w:val="auto"/>
                <w:spacing w:val="0"/>
                <w:kern w:val="2"/>
                <w:sz w:val="24"/>
                <w:lang w:val="en-US" w:eastAsia="zh-CN"/>
              </w:rPr>
              <w:t>将</w:t>
            </w:r>
            <w:r>
              <w:rPr>
                <w:rFonts w:hint="default" w:ascii="Times New Roman" w:hAnsi="Times New Roman" w:eastAsia="宋体" w:cs="Times New Roman"/>
                <w:bCs/>
                <w:color w:val="auto"/>
                <w:spacing w:val="0"/>
                <w:kern w:val="2"/>
                <w:sz w:val="24"/>
              </w:rPr>
              <w:t>玉米和粕类</w:t>
            </w:r>
            <w:r>
              <w:rPr>
                <w:rFonts w:hint="eastAsia" w:cs="Times New Roman"/>
                <w:bCs/>
                <w:color w:val="auto"/>
                <w:spacing w:val="0"/>
                <w:kern w:val="2"/>
                <w:sz w:val="24"/>
                <w:lang w:val="en-US" w:eastAsia="zh-CN"/>
              </w:rPr>
              <w:t>进行筛分及预混合</w:t>
            </w:r>
            <w:r>
              <w:rPr>
                <w:rFonts w:hint="default" w:ascii="Times New Roman" w:hAnsi="Times New Roman" w:eastAsia="宋体" w:cs="Times New Roman"/>
                <w:bCs/>
                <w:color w:val="auto"/>
                <w:spacing w:val="0"/>
                <w:kern w:val="2"/>
                <w:sz w:val="24"/>
              </w:rPr>
              <w:t>，</w:t>
            </w:r>
            <w:r>
              <w:rPr>
                <w:rFonts w:hint="eastAsia" w:cs="Times New Roman"/>
                <w:bCs/>
                <w:color w:val="auto"/>
                <w:spacing w:val="0"/>
                <w:kern w:val="2"/>
                <w:sz w:val="24"/>
                <w:lang w:val="en-US" w:eastAsia="zh-CN"/>
              </w:rPr>
              <w:t>打包后送至主车间进行生产，工作时</w:t>
            </w:r>
            <w:r>
              <w:rPr>
                <w:rFonts w:hint="default" w:ascii="Times New Roman" w:hAnsi="Times New Roman" w:eastAsia="宋体" w:cs="Times New Roman"/>
                <w:bCs/>
                <w:color w:val="auto"/>
                <w:spacing w:val="0"/>
                <w:kern w:val="2"/>
                <w:sz w:val="24"/>
              </w:rPr>
              <w:t>关闭卷帘门。玉米及粕类卸料</w:t>
            </w:r>
            <w:r>
              <w:rPr>
                <w:rFonts w:hint="eastAsia" w:cs="Times New Roman"/>
                <w:bCs/>
                <w:color w:val="auto"/>
                <w:spacing w:val="0"/>
                <w:kern w:val="2"/>
                <w:sz w:val="24"/>
                <w:lang w:eastAsia="zh-CN"/>
              </w:rPr>
              <w:t>、</w:t>
            </w:r>
            <w:r>
              <w:rPr>
                <w:rFonts w:hint="eastAsia" w:cs="Times New Roman"/>
                <w:bCs/>
                <w:color w:val="auto"/>
                <w:spacing w:val="0"/>
                <w:kern w:val="2"/>
                <w:sz w:val="24"/>
                <w:lang w:val="en-US" w:eastAsia="zh-CN"/>
              </w:rPr>
              <w:t>筛分、混合</w:t>
            </w:r>
            <w:r>
              <w:rPr>
                <w:rFonts w:hint="default" w:ascii="Times New Roman" w:hAnsi="Times New Roman" w:eastAsia="宋体" w:cs="Times New Roman"/>
                <w:bCs/>
                <w:color w:val="auto"/>
                <w:spacing w:val="0"/>
                <w:kern w:val="2"/>
                <w:sz w:val="24"/>
              </w:rPr>
              <w:t>过程产生的粉尘经</w:t>
            </w:r>
            <w:r>
              <w:rPr>
                <w:rFonts w:hint="eastAsia" w:cs="Times New Roman"/>
                <w:bCs/>
                <w:color w:val="auto"/>
                <w:spacing w:val="0"/>
                <w:kern w:val="2"/>
                <w:sz w:val="24"/>
                <w:lang w:val="en-US" w:eastAsia="zh-CN"/>
              </w:rPr>
              <w:t>1</w:t>
            </w:r>
            <w:r>
              <w:rPr>
                <w:rFonts w:hint="default" w:ascii="Times New Roman" w:hAnsi="Times New Roman" w:eastAsia="宋体" w:cs="Times New Roman"/>
                <w:bCs/>
                <w:color w:val="auto"/>
                <w:spacing w:val="0"/>
                <w:kern w:val="2"/>
                <w:sz w:val="24"/>
              </w:rPr>
              <w:t>套</w:t>
            </w:r>
            <w:r>
              <w:rPr>
                <w:rFonts w:hint="eastAsia" w:cs="Times New Roman"/>
                <w:bCs/>
                <w:color w:val="auto"/>
                <w:spacing w:val="0"/>
                <w:kern w:val="2"/>
                <w:sz w:val="24"/>
                <w:lang w:eastAsia="zh-CN"/>
              </w:rPr>
              <w:t>脉冲式布袋除尘器</w:t>
            </w:r>
            <w:r>
              <w:rPr>
                <w:rFonts w:hint="default" w:ascii="Times New Roman" w:hAnsi="Times New Roman" w:eastAsia="宋体" w:cs="Times New Roman"/>
                <w:bCs/>
                <w:color w:val="auto"/>
                <w:spacing w:val="0"/>
                <w:kern w:val="2"/>
                <w:sz w:val="24"/>
              </w:rPr>
              <w:t>处理后，无组织排放</w:t>
            </w:r>
            <w:r>
              <w:rPr>
                <w:rFonts w:hint="eastAsia" w:cs="Times New Roman"/>
                <w:bCs/>
                <w:color w:val="auto"/>
                <w:spacing w:val="0"/>
                <w:kern w:val="2"/>
                <w:sz w:val="24"/>
                <w:lang w:eastAsia="zh-CN"/>
              </w:rPr>
              <w:t>，</w:t>
            </w:r>
            <w:r>
              <w:rPr>
                <w:rFonts w:hint="eastAsia" w:cs="Times New Roman"/>
                <w:bCs/>
                <w:color w:val="auto"/>
                <w:spacing w:val="0"/>
                <w:kern w:val="2"/>
                <w:sz w:val="24"/>
                <w:lang w:val="en-US" w:eastAsia="zh-CN"/>
              </w:rPr>
              <w:t>除尘器底部设置灰斗收集除尘灰并回用</w:t>
            </w:r>
            <w:r>
              <w:rPr>
                <w:rFonts w:hint="default" w:ascii="Times New Roman" w:hAnsi="Times New Roman" w:eastAsia="宋体" w:cs="Times New Roman"/>
                <w:bCs/>
                <w:color w:val="auto"/>
                <w:spacing w:val="0"/>
                <w:kern w:val="2"/>
                <w:sz w:val="24"/>
              </w:rPr>
              <w:t>。</w:t>
            </w:r>
          </w:p>
          <w:p>
            <w:pPr>
              <w:pStyle w:val="16"/>
              <w:keepNext w:val="0"/>
              <w:keepLines w:val="0"/>
              <w:kinsoku/>
              <w:wordWrap/>
              <w:overflowPunct/>
              <w:topLinePunct w:val="0"/>
              <w:bidi w:val="0"/>
              <w:spacing w:beforeAutospacing="0" w:after="0" w:afterAutospacing="0" w:line="360" w:lineRule="auto"/>
              <w:ind w:left="0" w:leftChars="0" w:right="0" w:rightChars="0" w:firstLine="482" w:firstLineChars="200"/>
              <w:outlineLvl w:val="9"/>
              <w:rPr>
                <w:rFonts w:hint="default" w:ascii="Times New Roman" w:hAnsi="Times New Roman" w:eastAsia="宋体" w:cs="Times New Roman"/>
                <w:b/>
                <w:bCs/>
                <w:color w:val="auto"/>
                <w:spacing w:val="0"/>
                <w:kern w:val="2"/>
                <w:sz w:val="24"/>
                <w:lang w:val="en-US" w:eastAsia="zh-CN"/>
              </w:rPr>
            </w:pPr>
            <w:r>
              <w:rPr>
                <w:rFonts w:hint="eastAsia" w:cs="Times New Roman"/>
                <w:b/>
                <w:bCs/>
                <w:color w:val="auto"/>
                <w:spacing w:val="0"/>
                <w:kern w:val="2"/>
                <w:sz w:val="24"/>
                <w:lang w:val="en-US" w:eastAsia="zh-CN"/>
              </w:rPr>
              <w:t>配合</w:t>
            </w:r>
            <w:r>
              <w:rPr>
                <w:rFonts w:hint="default" w:ascii="Times New Roman" w:hAnsi="Times New Roman" w:eastAsia="宋体" w:cs="Times New Roman"/>
                <w:b/>
                <w:bCs/>
                <w:color w:val="auto"/>
                <w:spacing w:val="0"/>
                <w:kern w:val="2"/>
                <w:sz w:val="24"/>
              </w:rPr>
              <w:t>饲料</w:t>
            </w:r>
            <w:r>
              <w:rPr>
                <w:rFonts w:hint="eastAsia" w:cs="Times New Roman"/>
                <w:b/>
                <w:bCs/>
                <w:color w:val="auto"/>
                <w:spacing w:val="0"/>
                <w:kern w:val="2"/>
                <w:sz w:val="24"/>
                <w:lang w:eastAsia="zh-CN"/>
              </w:rPr>
              <w:t>、</w:t>
            </w:r>
            <w:r>
              <w:rPr>
                <w:rFonts w:hint="eastAsia" w:cs="Times New Roman"/>
                <w:b/>
                <w:bCs/>
                <w:color w:val="auto"/>
                <w:spacing w:val="0"/>
                <w:kern w:val="2"/>
                <w:sz w:val="24"/>
                <w:lang w:val="en-US" w:eastAsia="zh-CN"/>
              </w:rPr>
              <w:t>浓缩饲料加工流程：</w:t>
            </w:r>
          </w:p>
          <w:p>
            <w:pPr>
              <w:pStyle w:val="16"/>
              <w:keepNext w:val="0"/>
              <w:keepLines w:val="0"/>
              <w:kinsoku/>
              <w:wordWrap/>
              <w:overflowPunct/>
              <w:topLinePunct w:val="0"/>
              <w:bidi w:val="0"/>
              <w:spacing w:beforeAutospacing="0" w:after="0" w:afterAutospacing="0" w:line="360" w:lineRule="auto"/>
              <w:ind w:left="0" w:leftChars="0" w:right="0" w:rightChars="0" w:firstLine="480" w:firstLineChars="200"/>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rPr>
              <w:t>（1）投料工段</w:t>
            </w:r>
          </w:p>
          <w:p>
            <w:pPr>
              <w:pStyle w:val="16"/>
              <w:keepNext w:val="0"/>
              <w:keepLines w:val="0"/>
              <w:kinsoku/>
              <w:wordWrap/>
              <w:overflowPunct/>
              <w:topLinePunct w:val="0"/>
              <w:bidi w:val="0"/>
              <w:spacing w:beforeAutospacing="0" w:after="0" w:afterAutospacing="0" w:line="360" w:lineRule="auto"/>
              <w:ind w:left="0" w:leftChars="0" w:right="0" w:rightChars="0" w:firstLine="480" w:firstLineChars="200"/>
              <w:outlineLvl w:val="9"/>
              <w:rPr>
                <w:rFonts w:hint="default" w:ascii="Times New Roman" w:hAnsi="Times New Roman" w:eastAsia="宋体" w:cs="Times New Roman"/>
                <w:bCs/>
                <w:color w:val="auto"/>
                <w:spacing w:val="0"/>
                <w:kern w:val="2"/>
                <w:sz w:val="24"/>
              </w:rPr>
            </w:pPr>
            <w:r>
              <w:rPr>
                <w:rFonts w:hint="eastAsia" w:cs="Times New Roman"/>
                <w:bCs/>
                <w:color w:val="auto"/>
                <w:spacing w:val="0"/>
                <w:kern w:val="2"/>
                <w:sz w:val="24"/>
                <w:lang w:val="en-US" w:eastAsia="zh-CN"/>
              </w:rPr>
              <w:t>车间设置猪用饲料和反刍饲料两条生产线，将预混车间处理好的预混料投入产线</w:t>
            </w:r>
            <w:r>
              <w:rPr>
                <w:rFonts w:hint="default" w:ascii="Times New Roman" w:hAnsi="Times New Roman" w:eastAsia="宋体" w:cs="Times New Roman"/>
                <w:bCs/>
                <w:color w:val="auto"/>
                <w:spacing w:val="0"/>
                <w:kern w:val="2"/>
                <w:sz w:val="24"/>
              </w:rPr>
              <w:t>，</w:t>
            </w:r>
            <w:r>
              <w:rPr>
                <w:rFonts w:hint="eastAsia" w:cs="Times New Roman"/>
                <w:bCs/>
                <w:color w:val="auto"/>
                <w:spacing w:val="0"/>
                <w:kern w:val="2"/>
                <w:sz w:val="24"/>
                <w:lang w:val="en-US" w:eastAsia="zh-CN"/>
              </w:rPr>
              <w:t>车间密闭，投料工段产生的粉尘无组织排放</w:t>
            </w:r>
            <w:r>
              <w:rPr>
                <w:rFonts w:hint="default" w:ascii="Times New Roman" w:hAnsi="Times New Roman" w:eastAsia="宋体" w:cs="Times New Roman"/>
                <w:bCs/>
                <w:color w:val="auto"/>
                <w:spacing w:val="0"/>
                <w:kern w:val="2"/>
                <w:sz w:val="24"/>
              </w:rPr>
              <w:t>。</w:t>
            </w:r>
          </w:p>
          <w:p>
            <w:pPr>
              <w:pStyle w:val="16"/>
              <w:keepNext w:val="0"/>
              <w:keepLines w:val="0"/>
              <w:kinsoku/>
              <w:wordWrap/>
              <w:overflowPunct/>
              <w:topLinePunct w:val="0"/>
              <w:bidi w:val="0"/>
              <w:spacing w:beforeAutospacing="0" w:after="0" w:afterAutospacing="0" w:line="360" w:lineRule="auto"/>
              <w:ind w:left="0" w:leftChars="0" w:right="0" w:rightChars="0" w:firstLine="480" w:firstLineChars="200"/>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rPr>
              <w:t>（2）配料、混合工段</w:t>
            </w:r>
          </w:p>
          <w:p>
            <w:pPr>
              <w:pStyle w:val="16"/>
              <w:keepNext w:val="0"/>
              <w:keepLines w:val="0"/>
              <w:kinsoku/>
              <w:wordWrap/>
              <w:overflowPunct/>
              <w:topLinePunct w:val="0"/>
              <w:bidi w:val="0"/>
              <w:spacing w:beforeAutospacing="0" w:after="0" w:afterAutospacing="0" w:line="360" w:lineRule="auto"/>
              <w:ind w:left="0" w:leftChars="0" w:right="0" w:rightChars="0" w:firstLine="480" w:firstLineChars="200"/>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lang w:eastAsia="zh-CN"/>
              </w:rPr>
              <w:t>其余辅助</w:t>
            </w:r>
            <w:r>
              <w:rPr>
                <w:rFonts w:hint="default" w:ascii="Times New Roman" w:hAnsi="Times New Roman" w:eastAsia="宋体" w:cs="Times New Roman"/>
                <w:bCs/>
                <w:color w:val="auto"/>
                <w:spacing w:val="0"/>
                <w:kern w:val="2"/>
                <w:sz w:val="24"/>
              </w:rPr>
              <w:t>原料按照比例进行配料，配比好的原料进行筛分，筛去原料中夹杂的杂质，配料后与粉碎的玉米、粕类一起混合，混合过程完全密闭。配料工序设置</w:t>
            </w:r>
            <w:r>
              <w:rPr>
                <w:rFonts w:hint="eastAsia" w:cs="Times New Roman"/>
                <w:bCs/>
                <w:color w:val="auto"/>
                <w:spacing w:val="0"/>
                <w:kern w:val="2"/>
                <w:sz w:val="24"/>
                <w:lang w:val="en-US" w:eastAsia="zh-CN"/>
              </w:rPr>
              <w:t>1</w:t>
            </w:r>
            <w:r>
              <w:rPr>
                <w:rFonts w:hint="default" w:ascii="Times New Roman" w:hAnsi="Times New Roman" w:eastAsia="宋体" w:cs="Times New Roman"/>
                <w:bCs/>
                <w:color w:val="auto"/>
                <w:spacing w:val="0"/>
                <w:kern w:val="2"/>
                <w:sz w:val="24"/>
              </w:rPr>
              <w:t>台脉冲布袋除尘器，处理后粉尘无组织排放</w:t>
            </w:r>
            <w:r>
              <w:rPr>
                <w:rFonts w:hint="eastAsia" w:cs="Times New Roman"/>
                <w:bCs/>
                <w:color w:val="auto"/>
                <w:spacing w:val="0"/>
                <w:kern w:val="2"/>
                <w:sz w:val="24"/>
                <w:lang w:eastAsia="zh-CN"/>
              </w:rPr>
              <w:t>，</w:t>
            </w:r>
            <w:r>
              <w:rPr>
                <w:rFonts w:hint="eastAsia" w:cs="Times New Roman"/>
                <w:bCs/>
                <w:color w:val="auto"/>
                <w:spacing w:val="0"/>
                <w:kern w:val="2"/>
                <w:sz w:val="24"/>
                <w:lang w:val="en-US" w:eastAsia="zh-CN"/>
              </w:rPr>
              <w:t>除尘器底部设置灰斗收集除尘灰并回用</w:t>
            </w:r>
            <w:r>
              <w:rPr>
                <w:rFonts w:hint="default" w:ascii="Times New Roman" w:hAnsi="Times New Roman" w:eastAsia="宋体" w:cs="Times New Roman"/>
                <w:bCs/>
                <w:color w:val="auto"/>
                <w:spacing w:val="0"/>
                <w:kern w:val="2"/>
                <w:sz w:val="24"/>
              </w:rPr>
              <w:t>。</w:t>
            </w:r>
          </w:p>
          <w:p>
            <w:pPr>
              <w:pStyle w:val="16"/>
              <w:keepNext w:val="0"/>
              <w:keepLines w:val="0"/>
              <w:kinsoku/>
              <w:wordWrap/>
              <w:overflowPunct/>
              <w:topLinePunct w:val="0"/>
              <w:bidi w:val="0"/>
              <w:spacing w:beforeAutospacing="0" w:after="0" w:afterAutospacing="0" w:line="360" w:lineRule="auto"/>
              <w:ind w:left="0" w:leftChars="0" w:right="0" w:rightChars="0" w:firstLine="480" w:firstLineChars="200"/>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rPr>
              <w:t>（</w:t>
            </w:r>
            <w:r>
              <w:rPr>
                <w:rFonts w:hint="eastAsia" w:cs="Times New Roman"/>
                <w:bCs/>
                <w:color w:val="auto"/>
                <w:spacing w:val="0"/>
                <w:kern w:val="2"/>
                <w:sz w:val="24"/>
                <w:lang w:val="en-US" w:eastAsia="zh-CN"/>
              </w:rPr>
              <w:t>3</w:t>
            </w:r>
            <w:r>
              <w:rPr>
                <w:rFonts w:hint="default" w:ascii="Times New Roman" w:hAnsi="Times New Roman" w:eastAsia="宋体" w:cs="Times New Roman"/>
                <w:bCs/>
                <w:color w:val="auto"/>
                <w:spacing w:val="0"/>
                <w:kern w:val="2"/>
                <w:sz w:val="24"/>
              </w:rPr>
              <w:t>）</w:t>
            </w:r>
            <w:r>
              <w:rPr>
                <w:rFonts w:hint="eastAsia" w:cs="Times New Roman"/>
                <w:bCs/>
                <w:color w:val="auto"/>
                <w:spacing w:val="0"/>
                <w:kern w:val="2"/>
                <w:sz w:val="24"/>
                <w:lang w:val="en-US" w:eastAsia="zh-CN"/>
              </w:rPr>
              <w:t>调质、</w:t>
            </w:r>
            <w:r>
              <w:rPr>
                <w:rFonts w:hint="default" w:ascii="Times New Roman" w:hAnsi="Times New Roman" w:eastAsia="宋体" w:cs="Times New Roman"/>
                <w:bCs/>
                <w:color w:val="auto"/>
                <w:spacing w:val="0"/>
                <w:kern w:val="2"/>
                <w:sz w:val="24"/>
              </w:rPr>
              <w:t>制粒工段</w:t>
            </w:r>
          </w:p>
          <w:p>
            <w:pPr>
              <w:pStyle w:val="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pacing w:val="0"/>
                <w:kern w:val="2"/>
                <w:sz w:val="24"/>
                <w:szCs w:val="20"/>
                <w:lang w:val="en-US" w:eastAsia="zh-CN" w:bidi="ar-SA"/>
              </w:rPr>
            </w:pPr>
            <w:r>
              <w:rPr>
                <w:rFonts w:hint="default" w:ascii="Times New Roman" w:hAnsi="Times New Roman" w:eastAsia="宋体" w:cs="Times New Roman"/>
                <w:bCs/>
                <w:color w:val="auto"/>
                <w:spacing w:val="0"/>
                <w:kern w:val="2"/>
                <w:sz w:val="24"/>
              </w:rPr>
              <w:t>本项目</w:t>
            </w:r>
            <w:r>
              <w:rPr>
                <w:rFonts w:hint="default" w:ascii="Times New Roman" w:hAnsi="Times New Roman" w:eastAsia="宋体" w:cs="Times New Roman"/>
                <w:bCs/>
                <w:color w:val="auto"/>
                <w:spacing w:val="0"/>
                <w:kern w:val="2"/>
                <w:sz w:val="24"/>
                <w:szCs w:val="20"/>
                <w:lang w:val="en-US" w:eastAsia="zh-CN" w:bidi="ar-SA"/>
              </w:rPr>
              <w:t>制粒使用蒸汽由自建的</w:t>
            </w:r>
            <w:r>
              <w:rPr>
                <w:rFonts w:hint="eastAsia" w:ascii="Times New Roman" w:hAnsi="Times New Roman" w:eastAsia="宋体" w:cs="Times New Roman"/>
                <w:bCs/>
                <w:color w:val="auto"/>
                <w:spacing w:val="0"/>
                <w:kern w:val="2"/>
                <w:sz w:val="24"/>
                <w:szCs w:val="20"/>
                <w:lang w:val="en-US" w:eastAsia="zh-CN" w:bidi="ar-SA"/>
              </w:rPr>
              <w:t>1</w:t>
            </w:r>
            <w:r>
              <w:rPr>
                <w:rFonts w:hint="default" w:ascii="Times New Roman" w:hAnsi="Times New Roman" w:eastAsia="宋体" w:cs="Times New Roman"/>
                <w:bCs/>
                <w:color w:val="auto"/>
                <w:spacing w:val="0"/>
                <w:kern w:val="2"/>
                <w:sz w:val="24"/>
                <w:szCs w:val="20"/>
                <w:lang w:val="en-US" w:eastAsia="zh-CN" w:bidi="ar-SA"/>
              </w:rPr>
              <w:t>t/h燃气锅炉供给，混合后的原料与蒸汽接触，该过程用蒸汽提供温度，120℃~140℃。</w:t>
            </w:r>
            <w:r>
              <w:rPr>
                <w:rFonts w:hint="eastAsia" w:ascii="Times New Roman" w:hAnsi="Times New Roman" w:eastAsia="宋体" w:cs="Times New Roman"/>
                <w:bCs/>
                <w:color w:val="auto"/>
                <w:spacing w:val="0"/>
                <w:kern w:val="2"/>
                <w:sz w:val="24"/>
                <w:szCs w:val="20"/>
                <w:lang w:val="en-US" w:eastAsia="zh-CN" w:bidi="ar-SA"/>
              </w:rPr>
              <w:t>项目采用热制粒的方式制粒，制粒过程使用蒸汽调制，</w:t>
            </w:r>
            <w:r>
              <w:rPr>
                <w:rFonts w:hint="default" w:ascii="Times New Roman" w:hAnsi="Times New Roman" w:eastAsia="宋体" w:cs="Times New Roman"/>
                <w:bCs/>
                <w:color w:val="auto"/>
                <w:spacing w:val="0"/>
                <w:kern w:val="2"/>
                <w:sz w:val="24"/>
                <w:szCs w:val="20"/>
                <w:lang w:val="en-US" w:eastAsia="zh-CN" w:bidi="ar-SA"/>
              </w:rPr>
              <w:t>原料在制粒机进行制粒，制粒成品再经过筛分后进入冷却工序。</w:t>
            </w:r>
            <w:r>
              <w:rPr>
                <w:rFonts w:hint="eastAsia" w:ascii="Times New Roman" w:hAnsi="Times New Roman" w:eastAsia="宋体" w:cs="Times New Roman"/>
                <w:bCs/>
                <w:color w:val="auto"/>
                <w:spacing w:val="0"/>
                <w:kern w:val="2"/>
                <w:sz w:val="24"/>
                <w:szCs w:val="20"/>
                <w:lang w:val="en-US" w:eastAsia="zh-CN" w:bidi="ar-SA"/>
              </w:rPr>
              <w:t>制粒过程全密闭，制粒工段产生的粉尘与配料混合工段产生的粉尘经</w:t>
            </w:r>
            <w:r>
              <w:rPr>
                <w:rFonts w:hint="eastAsia" w:cs="Times New Roman"/>
                <w:bCs/>
                <w:color w:val="auto"/>
                <w:spacing w:val="0"/>
                <w:kern w:val="2"/>
                <w:sz w:val="24"/>
                <w:szCs w:val="20"/>
                <w:lang w:val="en-US" w:eastAsia="zh-CN" w:bidi="ar-SA"/>
              </w:rPr>
              <w:t>1</w:t>
            </w:r>
            <w:r>
              <w:rPr>
                <w:rFonts w:hint="eastAsia" w:ascii="Times New Roman" w:hAnsi="Times New Roman" w:eastAsia="宋体" w:cs="Times New Roman"/>
                <w:bCs/>
                <w:color w:val="auto"/>
                <w:spacing w:val="0"/>
                <w:kern w:val="2"/>
                <w:sz w:val="24"/>
                <w:szCs w:val="20"/>
                <w:lang w:val="en-US" w:eastAsia="zh-CN" w:bidi="ar-SA"/>
              </w:rPr>
              <w:t>台</w:t>
            </w:r>
            <w:r>
              <w:rPr>
                <w:rFonts w:hint="default" w:ascii="Times New Roman" w:hAnsi="Times New Roman" w:eastAsia="宋体" w:cs="Times New Roman"/>
                <w:bCs/>
                <w:color w:val="auto"/>
                <w:spacing w:val="0"/>
                <w:kern w:val="2"/>
                <w:sz w:val="24"/>
                <w:szCs w:val="20"/>
                <w:lang w:val="en-US" w:eastAsia="zh-CN" w:bidi="ar-SA"/>
              </w:rPr>
              <w:t>脉冲布袋除尘器，处理后粉尘无组织排放</w:t>
            </w:r>
            <w:r>
              <w:rPr>
                <w:rFonts w:hint="eastAsia" w:ascii="Times New Roman" w:hAnsi="Times New Roman" w:eastAsia="宋体" w:cs="Times New Roman"/>
                <w:bCs/>
                <w:color w:val="auto"/>
                <w:spacing w:val="0"/>
                <w:kern w:val="2"/>
                <w:sz w:val="24"/>
                <w:szCs w:val="20"/>
                <w:lang w:val="en-US" w:eastAsia="zh-CN" w:bidi="ar-SA"/>
              </w:rPr>
              <w:t>，除尘器底部设置灰斗收集除尘灰并回用</w:t>
            </w:r>
            <w:r>
              <w:rPr>
                <w:rFonts w:hint="default" w:ascii="Times New Roman" w:hAnsi="Times New Roman" w:eastAsia="宋体" w:cs="Times New Roman"/>
                <w:bCs/>
                <w:color w:val="auto"/>
                <w:spacing w:val="0"/>
                <w:kern w:val="2"/>
                <w:sz w:val="24"/>
                <w:szCs w:val="20"/>
                <w:lang w:val="en-US" w:eastAsia="zh-CN" w:bidi="ar-SA"/>
              </w:rPr>
              <w:t>。</w:t>
            </w:r>
          </w:p>
          <w:p>
            <w:pPr>
              <w:pStyle w:val="16"/>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rPr>
              <w:t>（</w:t>
            </w:r>
            <w:r>
              <w:rPr>
                <w:rFonts w:hint="eastAsia" w:cs="Times New Roman"/>
                <w:bCs/>
                <w:color w:val="auto"/>
                <w:spacing w:val="0"/>
                <w:kern w:val="2"/>
                <w:sz w:val="24"/>
                <w:lang w:val="en-US" w:eastAsia="zh-CN"/>
              </w:rPr>
              <w:t>4</w:t>
            </w:r>
            <w:r>
              <w:rPr>
                <w:rFonts w:hint="default" w:ascii="Times New Roman" w:hAnsi="Times New Roman" w:eastAsia="宋体" w:cs="Times New Roman"/>
                <w:bCs/>
                <w:color w:val="auto"/>
                <w:spacing w:val="0"/>
                <w:kern w:val="2"/>
                <w:sz w:val="24"/>
              </w:rPr>
              <w:t>）包装工段</w:t>
            </w:r>
          </w:p>
          <w:p>
            <w:pPr>
              <w:pStyle w:val="16"/>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rPr>
              <w:t>冷却后的成品进行包装入库，包装过程</w:t>
            </w:r>
            <w:r>
              <w:rPr>
                <w:rFonts w:hint="eastAsia" w:cs="Times New Roman"/>
                <w:bCs/>
                <w:color w:val="auto"/>
                <w:spacing w:val="0"/>
                <w:kern w:val="2"/>
                <w:sz w:val="24"/>
                <w:lang w:val="en-US" w:eastAsia="zh-CN"/>
              </w:rPr>
              <w:t>关闭卷帘门</w:t>
            </w:r>
            <w:r>
              <w:rPr>
                <w:rFonts w:hint="default" w:ascii="Times New Roman" w:hAnsi="Times New Roman" w:eastAsia="宋体" w:cs="Times New Roman"/>
                <w:bCs/>
                <w:color w:val="auto"/>
                <w:spacing w:val="0"/>
                <w:kern w:val="2"/>
                <w:sz w:val="24"/>
              </w:rPr>
              <w:t>，</w:t>
            </w:r>
            <w:r>
              <w:rPr>
                <w:rFonts w:hint="eastAsia" w:cs="Times New Roman"/>
                <w:bCs/>
                <w:color w:val="auto"/>
                <w:spacing w:val="0"/>
                <w:kern w:val="2"/>
                <w:sz w:val="24"/>
                <w:lang w:val="en-US" w:eastAsia="zh-CN"/>
              </w:rPr>
              <w:t>产生的粉尘</w:t>
            </w:r>
            <w:r>
              <w:rPr>
                <w:rFonts w:hint="default" w:ascii="Times New Roman" w:hAnsi="Times New Roman" w:eastAsia="宋体" w:cs="Times New Roman"/>
                <w:bCs/>
                <w:color w:val="auto"/>
                <w:spacing w:val="0"/>
                <w:kern w:val="2"/>
                <w:sz w:val="24"/>
              </w:rPr>
              <w:t>无组织排放。</w:t>
            </w:r>
          </w:p>
          <w:p>
            <w:pPr>
              <w:pStyle w:val="16"/>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2" w:firstLineChars="200"/>
              <w:textAlignment w:val="auto"/>
              <w:outlineLvl w:val="9"/>
              <w:rPr>
                <w:rFonts w:hint="default" w:ascii="Times New Roman" w:hAnsi="Times New Roman" w:eastAsia="宋体" w:cs="Times New Roman"/>
                <w:b/>
                <w:color w:val="auto"/>
                <w:spacing w:val="0"/>
                <w:kern w:val="2"/>
                <w:sz w:val="24"/>
              </w:rPr>
            </w:pPr>
            <w:r>
              <w:rPr>
                <w:rFonts w:hint="default" w:ascii="Times New Roman" w:hAnsi="Times New Roman" w:eastAsia="宋体" w:cs="Times New Roman"/>
                <w:b/>
                <w:color w:val="auto"/>
                <w:spacing w:val="0"/>
                <w:kern w:val="2"/>
                <w:sz w:val="24"/>
              </w:rPr>
              <w:t>化验室流程：</w:t>
            </w:r>
          </w:p>
          <w:p>
            <w:pPr>
              <w:pStyle w:val="32"/>
              <w:keepNext w:val="0"/>
              <w:keepLines w:val="0"/>
              <w:pageBreakBefore w:val="0"/>
              <w:kinsoku/>
              <w:wordWrap/>
              <w:overflowPunct/>
              <w:topLinePunct w:val="0"/>
              <w:autoSpaceDE/>
              <w:autoSpaceDN/>
              <w:bidi w:val="0"/>
              <w:adjustRightInd/>
              <w:spacing w:beforeAutospacing="0" w:afterAutospacing="0"/>
              <w:ind w:left="0" w:leftChars="0" w:right="0" w:rightChars="0" w:firstLine="48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bCs/>
                <w:color w:val="auto"/>
              </w:rPr>
              <w:t>根据不同检测项目采用相应检测方法进行样品测定，样品测定过程产生实验废气、废液、固废。样品测定结束后，需要对仪器进行清洗，该过程会产生清洗废水。</w:t>
            </w:r>
          </w:p>
          <w:p>
            <w:pPr>
              <w:pStyle w:val="16"/>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2" w:firstLineChars="200"/>
              <w:textAlignment w:val="auto"/>
              <w:outlineLvl w:val="9"/>
              <w:rPr>
                <w:rFonts w:hint="default" w:ascii="Times New Roman" w:hAnsi="Times New Roman" w:eastAsia="宋体" w:cs="Times New Roman"/>
                <w:b/>
                <w:color w:val="auto"/>
                <w:spacing w:val="0"/>
                <w:kern w:val="2"/>
                <w:sz w:val="24"/>
              </w:rPr>
            </w:pPr>
            <w:r>
              <w:rPr>
                <w:rFonts w:hint="default" w:ascii="Times New Roman" w:hAnsi="Times New Roman" w:eastAsia="宋体" w:cs="Times New Roman"/>
                <w:b/>
                <w:color w:val="auto"/>
                <w:spacing w:val="0"/>
                <w:kern w:val="2"/>
                <w:sz w:val="24"/>
              </w:rPr>
              <w:t>3、产排污环节分析</w:t>
            </w:r>
          </w:p>
          <w:p>
            <w:pPr>
              <w:pStyle w:val="16"/>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rPr>
              <w:t>本项目污染物主要为生产过程中产生的粉尘、锅炉烟气、食堂油烟、实验过程产生的无机废气；生活污水、</w:t>
            </w:r>
            <w:r>
              <w:rPr>
                <w:rFonts w:hint="eastAsia" w:cs="Times New Roman"/>
                <w:bCs/>
                <w:color w:val="auto"/>
                <w:spacing w:val="0"/>
                <w:kern w:val="2"/>
                <w:sz w:val="24"/>
                <w:lang w:eastAsia="zh-CN"/>
              </w:rPr>
              <w:t>食堂废水</w:t>
            </w:r>
            <w:r>
              <w:rPr>
                <w:rFonts w:hint="default" w:ascii="Times New Roman" w:hAnsi="Times New Roman" w:eastAsia="宋体" w:cs="Times New Roman"/>
                <w:bCs/>
                <w:color w:val="auto"/>
                <w:spacing w:val="0"/>
                <w:kern w:val="2"/>
                <w:sz w:val="24"/>
              </w:rPr>
              <w:t>、软化处理废水和锅炉排污水、化验室器皿清洗废水；设备噪声；员工生活垃圾、餐馀废物及废油脂、化验室废液（HW49,900-047-49）、除尘器收集的粉尘、筛分工序产生的杂质和不合格原料。</w:t>
            </w:r>
          </w:p>
          <w:p>
            <w:pPr>
              <w:pStyle w:val="16"/>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rPr>
              <w:t>（1）废气：饲料加工生产线产生的粉尘、锅炉烟气、食堂产生的油烟及实验过程产生的无机废气（硫酸雾）。</w:t>
            </w:r>
          </w:p>
          <w:p>
            <w:pPr>
              <w:pStyle w:val="16"/>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rPr>
              <w:t>（2）废水：员工</w:t>
            </w:r>
            <w:r>
              <w:rPr>
                <w:rFonts w:hint="eastAsia" w:cs="Times New Roman"/>
                <w:bCs/>
                <w:color w:val="auto"/>
                <w:spacing w:val="0"/>
                <w:kern w:val="2"/>
                <w:sz w:val="24"/>
                <w:lang w:eastAsia="zh-CN"/>
              </w:rPr>
              <w:t>食堂废水</w:t>
            </w:r>
            <w:r>
              <w:rPr>
                <w:rFonts w:hint="default" w:ascii="Times New Roman" w:hAnsi="Times New Roman" w:eastAsia="宋体" w:cs="Times New Roman"/>
                <w:bCs/>
                <w:color w:val="auto"/>
                <w:spacing w:val="0"/>
                <w:kern w:val="2"/>
                <w:sz w:val="24"/>
              </w:rPr>
              <w:t>、生活污水，软化处理废水和锅炉排污水、化验室器皿清洗废水，主要污染物为COD、氨氮、SS。</w:t>
            </w:r>
          </w:p>
          <w:p>
            <w:pPr>
              <w:pStyle w:val="16"/>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outlineLvl w:val="9"/>
              <w:rPr>
                <w:rFonts w:hint="default" w:ascii="Times New Roman" w:hAnsi="Times New Roman" w:eastAsia="宋体" w:cs="Times New Roman"/>
                <w:bCs/>
                <w:color w:val="auto"/>
                <w:spacing w:val="0"/>
                <w:kern w:val="2"/>
                <w:sz w:val="24"/>
              </w:rPr>
            </w:pPr>
            <w:r>
              <w:rPr>
                <w:rFonts w:hint="default" w:ascii="Times New Roman" w:hAnsi="Times New Roman" w:eastAsia="宋体" w:cs="Times New Roman"/>
                <w:bCs/>
                <w:color w:val="auto"/>
                <w:spacing w:val="0"/>
                <w:kern w:val="2"/>
                <w:sz w:val="24"/>
              </w:rPr>
              <w:t>（3）噪声：主要噪声来自于粉碎机、制粒机等设备。</w:t>
            </w:r>
          </w:p>
          <w:p>
            <w:pPr>
              <w:pStyle w:val="16"/>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bCs/>
                <w:color w:val="auto"/>
                <w:spacing w:val="0"/>
                <w:kern w:val="2"/>
                <w:sz w:val="24"/>
              </w:rPr>
              <w:t>（4）固废：员工生活垃圾化验室废液（HW49</w:t>
            </w:r>
            <w:r>
              <w:rPr>
                <w:rFonts w:hint="eastAsia" w:cs="Times New Roman"/>
                <w:bCs/>
                <w:color w:val="auto"/>
                <w:spacing w:val="0"/>
                <w:kern w:val="2"/>
                <w:sz w:val="24"/>
                <w:lang w:eastAsia="zh-CN"/>
              </w:rPr>
              <w:t>，</w:t>
            </w:r>
            <w:r>
              <w:rPr>
                <w:rFonts w:hint="default" w:ascii="Times New Roman" w:hAnsi="Times New Roman" w:eastAsia="宋体" w:cs="Times New Roman"/>
                <w:bCs/>
                <w:color w:val="auto"/>
                <w:spacing w:val="0"/>
                <w:kern w:val="2"/>
                <w:sz w:val="24"/>
              </w:rPr>
              <w:t>900-047-49）、除尘器收集的粉尘、筛分工序产生的杂质、废包装袋。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dxa"/>
            <w:noWrap w:val="0"/>
            <w:vAlign w:val="center"/>
          </w:tcPr>
          <w:p>
            <w:pPr>
              <w:pStyle w:val="14"/>
              <w:keepNext w:val="0"/>
              <w:keepLines w:val="0"/>
              <w:kinsoku/>
              <w:wordWrap/>
              <w:overflowPunct/>
              <w:topLinePunct w:val="0"/>
              <w:bidi w:val="0"/>
              <w:adjustRightInd w:val="0"/>
              <w:snapToGrid w:val="0"/>
              <w:spacing w:before="0" w:beforeAutospacing="0" w:after="0" w:afterAutospacing="0"/>
              <w:ind w:left="0" w:leftChars="0" w:right="0" w:right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Cs/>
                <w:color w:val="auto"/>
                <w:kern w:val="2"/>
                <w:szCs w:val="24"/>
                <w:lang w:val="en-US" w:eastAsia="zh-CN"/>
              </w:rPr>
              <w:t>与项目有关的原有环境污染问题</w:t>
            </w:r>
          </w:p>
        </w:tc>
        <w:tc>
          <w:tcPr>
            <w:tcW w:w="8161" w:type="dxa"/>
            <w:noWrap w:val="0"/>
            <w:vAlign w:val="center"/>
          </w:tcPr>
          <w:p>
            <w:pPr>
              <w:keepNext w:val="0"/>
              <w:keepLines w:val="0"/>
              <w:topLinePunct w:val="0"/>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一、企业基本情况</w:t>
            </w:r>
          </w:p>
          <w:p>
            <w:pPr>
              <w:keepNext w:val="0"/>
              <w:keepLines w:val="0"/>
              <w:topLinePunct w:val="0"/>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lang w:val="en-US" w:eastAsia="zh-CN"/>
              </w:rPr>
              <w:t>哈尔滨众诚牧业有限公司</w:t>
            </w:r>
            <w:r>
              <w:rPr>
                <w:rFonts w:hint="eastAsia"/>
                <w:snapToGrid w:val="0"/>
                <w:sz w:val="24"/>
              </w:rPr>
              <w:t>投资</w:t>
            </w:r>
            <w:r>
              <w:rPr>
                <w:rFonts w:hint="eastAsia"/>
                <w:snapToGrid w:val="0"/>
                <w:sz w:val="24"/>
                <w:lang w:val="en-US" w:eastAsia="zh-CN"/>
              </w:rPr>
              <w:t>80</w:t>
            </w:r>
            <w:r>
              <w:rPr>
                <w:rFonts w:hint="eastAsia"/>
                <w:snapToGrid w:val="0"/>
                <w:sz w:val="24"/>
              </w:rPr>
              <w:t>0万元在哈尔滨市双城区</w:t>
            </w:r>
            <w:r>
              <w:rPr>
                <w:rFonts w:hint="eastAsia"/>
                <w:snapToGrid w:val="0"/>
                <w:sz w:val="24"/>
                <w:lang w:val="en-US" w:eastAsia="zh-CN"/>
              </w:rPr>
              <w:t>联兴乡兴功村1号</w:t>
            </w:r>
            <w:r>
              <w:rPr>
                <w:rFonts w:hint="eastAsia"/>
                <w:snapToGrid w:val="0"/>
                <w:sz w:val="24"/>
              </w:rPr>
              <w:t>建设本项目，年</w:t>
            </w:r>
            <w:r>
              <w:rPr>
                <w:rFonts w:hint="eastAsia"/>
                <w:snapToGrid w:val="0"/>
                <w:sz w:val="24"/>
                <w:lang w:val="en-US" w:eastAsia="zh-CN"/>
              </w:rPr>
              <w:t>产饲料10000</w:t>
            </w:r>
            <w:r>
              <w:rPr>
                <w:rFonts w:hint="eastAsia"/>
                <w:snapToGrid w:val="0"/>
                <w:sz w:val="24"/>
              </w:rPr>
              <w:t>吨。</w:t>
            </w:r>
            <w:r>
              <w:rPr>
                <w:rFonts w:hint="eastAsia"/>
                <w:snapToGrid w:val="0"/>
                <w:sz w:val="24"/>
                <w:lang w:val="en-US" w:eastAsia="zh-CN"/>
              </w:rPr>
              <w:t>本</w:t>
            </w:r>
            <w:r>
              <w:rPr>
                <w:rFonts w:hint="eastAsia"/>
                <w:snapToGrid w:val="0"/>
                <w:sz w:val="24"/>
              </w:rPr>
              <w:t>项目属于未批先建项目，</w:t>
            </w:r>
            <w:r>
              <w:rPr>
                <w:rFonts w:hint="eastAsia"/>
                <w:snapToGrid w:val="0"/>
                <w:sz w:val="24"/>
                <w:lang w:val="en-US" w:eastAsia="zh-CN"/>
              </w:rPr>
              <w:t>暂无处罚</w:t>
            </w:r>
            <w:r>
              <w:rPr>
                <w:rFonts w:hint="eastAsia"/>
                <w:snapToGrid w:val="0"/>
                <w:sz w:val="24"/>
              </w:rPr>
              <w:t>。企业现已停产，待相关手续及环保措施落实后投产。经回顾性调查，本项目自建成投产以来，周边居民无上访现象，无环保投诉问题。</w:t>
            </w:r>
          </w:p>
          <w:p>
            <w:pPr>
              <w:keepNext w:val="0"/>
              <w:keepLines w:val="0"/>
              <w:topLinePunct w:val="0"/>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二、现有工程概况</w:t>
            </w:r>
          </w:p>
          <w:p>
            <w:pPr>
              <w:keepNext w:val="0"/>
              <w:keepLines w:val="0"/>
              <w:topLinePunct w:val="0"/>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本项目位于哈尔滨市双城区</w:t>
            </w:r>
            <w:r>
              <w:rPr>
                <w:rFonts w:hint="eastAsia"/>
                <w:snapToGrid w:val="0"/>
                <w:sz w:val="24"/>
                <w:lang w:val="en-US" w:eastAsia="zh-CN"/>
              </w:rPr>
              <w:t>联兴乡兴功村1号</w:t>
            </w:r>
            <w:r>
              <w:rPr>
                <w:rFonts w:hint="eastAsia"/>
                <w:snapToGrid w:val="0"/>
                <w:sz w:val="24"/>
              </w:rPr>
              <w:t>，项目</w:t>
            </w:r>
            <w:r>
              <w:rPr>
                <w:rFonts w:hint="eastAsia"/>
                <w:snapToGrid w:val="0"/>
                <w:sz w:val="24"/>
                <w:lang w:val="en-US" w:eastAsia="zh-CN"/>
              </w:rPr>
              <w:t>东侧</w:t>
            </w:r>
            <w:r>
              <w:rPr>
                <w:rFonts w:hint="eastAsia"/>
                <w:snapToGrid w:val="0"/>
                <w:sz w:val="24"/>
              </w:rPr>
              <w:t>为</w:t>
            </w:r>
            <w:r>
              <w:rPr>
                <w:rFonts w:hint="eastAsia"/>
                <w:snapToGrid w:val="0"/>
                <w:sz w:val="24"/>
                <w:lang w:val="en-US" w:eastAsia="zh-CN"/>
              </w:rPr>
              <w:t>居民</w:t>
            </w:r>
            <w:r>
              <w:rPr>
                <w:rFonts w:hint="eastAsia"/>
                <w:snapToGrid w:val="0"/>
                <w:sz w:val="24"/>
              </w:rPr>
              <w:t>，西侧</w:t>
            </w:r>
            <w:r>
              <w:rPr>
                <w:rFonts w:hint="eastAsia"/>
                <w:snapToGrid w:val="0"/>
                <w:sz w:val="24"/>
                <w:lang w:eastAsia="zh-CN"/>
              </w:rPr>
              <w:t>、</w:t>
            </w:r>
            <w:r>
              <w:rPr>
                <w:rFonts w:hint="eastAsia"/>
                <w:snapToGrid w:val="0"/>
                <w:sz w:val="24"/>
                <w:lang w:val="en-US" w:eastAsia="zh-CN"/>
              </w:rPr>
              <w:t>北</w:t>
            </w:r>
            <w:r>
              <w:rPr>
                <w:rFonts w:hint="eastAsia"/>
                <w:snapToGrid w:val="0"/>
                <w:sz w:val="24"/>
              </w:rPr>
              <w:t>侧</w:t>
            </w:r>
            <w:r>
              <w:rPr>
                <w:rFonts w:hint="eastAsia"/>
                <w:snapToGrid w:val="0"/>
                <w:sz w:val="24"/>
                <w:lang w:eastAsia="zh-CN"/>
              </w:rPr>
              <w:t>、</w:t>
            </w:r>
            <w:r>
              <w:rPr>
                <w:rFonts w:hint="eastAsia"/>
                <w:snapToGrid w:val="0"/>
                <w:sz w:val="24"/>
              </w:rPr>
              <w:t>南侧</w:t>
            </w:r>
            <w:r>
              <w:rPr>
                <w:rFonts w:hint="eastAsia"/>
                <w:snapToGrid w:val="0"/>
                <w:sz w:val="24"/>
                <w:lang w:val="en-US" w:eastAsia="zh-CN"/>
              </w:rPr>
              <w:t>均为农田</w:t>
            </w:r>
            <w:r>
              <w:rPr>
                <w:rFonts w:hint="eastAsia"/>
                <w:snapToGrid w:val="0"/>
                <w:sz w:val="24"/>
              </w:rPr>
              <w:t>。本项目</w:t>
            </w:r>
            <w:r>
              <w:rPr>
                <w:rFonts w:hint="eastAsia"/>
                <w:snapToGrid w:val="0"/>
                <w:sz w:val="24"/>
                <w:lang w:val="en-US" w:eastAsia="zh-CN"/>
              </w:rPr>
              <w:t>与原房主签订租赁合同，项目地址已获得哈尔滨市人民政府建设用地审批件</w:t>
            </w:r>
            <w:r>
              <w:rPr>
                <w:rFonts w:hint="eastAsia"/>
                <w:snapToGrid w:val="0"/>
                <w:sz w:val="24"/>
                <w:lang w:eastAsia="zh-CN"/>
              </w:rPr>
              <w:t>，</w:t>
            </w:r>
            <w:r>
              <w:rPr>
                <w:rFonts w:hint="eastAsia"/>
                <w:snapToGrid w:val="0"/>
                <w:sz w:val="24"/>
              </w:rPr>
              <w:t>用地性质为</w:t>
            </w:r>
            <w:r>
              <w:rPr>
                <w:rFonts w:hint="eastAsia"/>
                <w:snapToGrid w:val="0"/>
                <w:sz w:val="24"/>
                <w:lang w:val="en-US" w:eastAsia="zh-CN"/>
              </w:rPr>
              <w:t>建设用</w:t>
            </w:r>
            <w:r>
              <w:rPr>
                <w:rFonts w:hint="eastAsia"/>
                <w:snapToGrid w:val="0"/>
                <w:sz w:val="24"/>
              </w:rPr>
              <w:t>地，建设项目行业类别与用地性质相符。项目占地面积为</w:t>
            </w:r>
            <w:r>
              <w:rPr>
                <w:rFonts w:hint="eastAsia"/>
                <w:snapToGrid w:val="0"/>
                <w:sz w:val="24"/>
                <w:lang w:val="en-US" w:eastAsia="zh-CN"/>
              </w:rPr>
              <w:t>23000</w:t>
            </w:r>
            <w:r>
              <w:rPr>
                <w:rFonts w:hint="eastAsia"/>
                <w:snapToGrid w:val="0"/>
                <w:sz w:val="24"/>
              </w:rPr>
              <w:t>平方米，总建筑面积</w:t>
            </w:r>
            <w:r>
              <w:rPr>
                <w:rFonts w:hint="eastAsia"/>
                <w:snapToGrid w:val="0"/>
                <w:sz w:val="24"/>
                <w:lang w:val="en-US" w:eastAsia="zh-CN"/>
              </w:rPr>
              <w:t>5960.5</w:t>
            </w:r>
            <w:r>
              <w:rPr>
                <w:rFonts w:hint="eastAsia"/>
                <w:snapToGrid w:val="0"/>
                <w:sz w:val="24"/>
              </w:rPr>
              <w:t>平方米。本项目主要建设内容为</w:t>
            </w:r>
            <w:r>
              <w:rPr>
                <w:rFonts w:hint="eastAsia"/>
                <w:snapToGrid w:val="0"/>
                <w:sz w:val="24"/>
                <w:lang w:val="en-US" w:eastAsia="zh-CN"/>
              </w:rPr>
              <w:t>预混车间</w:t>
            </w:r>
            <w:r>
              <w:rPr>
                <w:rFonts w:hint="eastAsia"/>
                <w:snapToGrid w:val="0"/>
                <w:sz w:val="24"/>
              </w:rPr>
              <w:t>、</w:t>
            </w:r>
            <w:r>
              <w:rPr>
                <w:rFonts w:hint="eastAsia"/>
                <w:snapToGrid w:val="0"/>
                <w:sz w:val="24"/>
                <w:lang w:val="en-US" w:eastAsia="zh-CN"/>
              </w:rPr>
              <w:t>主车间</w:t>
            </w:r>
            <w:r>
              <w:rPr>
                <w:rFonts w:hint="eastAsia"/>
                <w:snapToGrid w:val="0"/>
                <w:sz w:val="24"/>
              </w:rPr>
              <w:t>、</w:t>
            </w:r>
            <w:r>
              <w:rPr>
                <w:rFonts w:hint="eastAsia"/>
                <w:snapToGrid w:val="0"/>
                <w:sz w:val="24"/>
                <w:lang w:val="en-US" w:eastAsia="zh-CN"/>
              </w:rPr>
              <w:t>原料库</w:t>
            </w:r>
            <w:r>
              <w:rPr>
                <w:rFonts w:hint="eastAsia"/>
                <w:snapToGrid w:val="0"/>
                <w:sz w:val="24"/>
              </w:rPr>
              <w:t>、</w:t>
            </w:r>
            <w:r>
              <w:rPr>
                <w:rFonts w:hint="eastAsia"/>
                <w:snapToGrid w:val="0"/>
                <w:sz w:val="24"/>
                <w:lang w:val="en-US" w:eastAsia="zh-CN"/>
              </w:rPr>
              <w:t>成品库、锅炉房</w:t>
            </w:r>
            <w:r>
              <w:rPr>
                <w:rFonts w:hint="eastAsia"/>
                <w:snapToGrid w:val="0"/>
                <w:sz w:val="24"/>
              </w:rPr>
              <w:t>、</w:t>
            </w:r>
            <w:r>
              <w:rPr>
                <w:rFonts w:hint="eastAsia"/>
                <w:snapToGrid w:val="0"/>
                <w:sz w:val="24"/>
                <w:lang w:val="en-US" w:eastAsia="zh-CN"/>
              </w:rPr>
              <w:t>综合楼</w:t>
            </w:r>
            <w:r>
              <w:rPr>
                <w:rFonts w:hint="eastAsia"/>
                <w:snapToGrid w:val="0"/>
                <w:sz w:val="24"/>
              </w:rPr>
              <w:t>及配套生产设施等。本项目年</w:t>
            </w:r>
            <w:r>
              <w:rPr>
                <w:rFonts w:hint="eastAsia"/>
                <w:snapToGrid w:val="0"/>
                <w:sz w:val="24"/>
                <w:lang w:val="en-US" w:eastAsia="zh-CN"/>
              </w:rPr>
              <w:t>产饲料10000</w:t>
            </w:r>
            <w:r>
              <w:rPr>
                <w:rFonts w:hint="eastAsia"/>
                <w:snapToGrid w:val="0"/>
                <w:sz w:val="24"/>
              </w:rPr>
              <w:t>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三、现有工程污染防治措施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（一）废气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outlineLvl w:val="9"/>
              <w:rPr>
                <w:rFonts w:hint="eastAsia"/>
                <w:snapToGrid w:val="0"/>
                <w:sz w:val="24"/>
                <w:lang w:eastAsia="zh-CN"/>
              </w:rPr>
            </w:pPr>
            <w:r>
              <w:rPr>
                <w:rFonts w:hint="eastAsia"/>
                <w:snapToGrid w:val="0"/>
                <w:sz w:val="24"/>
              </w:rPr>
              <w:t>本项目</w:t>
            </w:r>
            <w:r>
              <w:rPr>
                <w:rFonts w:hint="eastAsia"/>
                <w:snapToGrid w:val="0"/>
                <w:sz w:val="24"/>
                <w:lang w:val="en-US" w:eastAsia="zh-CN"/>
              </w:rPr>
              <w:t>生物质锅炉</w:t>
            </w:r>
            <w:r>
              <w:rPr>
                <w:rFonts w:hint="eastAsia"/>
                <w:snapToGrid w:val="0"/>
                <w:sz w:val="24"/>
              </w:rPr>
              <w:t>烟气中污染物主要为烟尘、SO</w:t>
            </w:r>
            <w:r>
              <w:rPr>
                <w:rFonts w:hint="eastAsia"/>
                <w:snapToGrid w:val="0"/>
                <w:sz w:val="24"/>
                <w:vertAlign w:val="subscript"/>
              </w:rPr>
              <w:t>2</w:t>
            </w:r>
            <w:r>
              <w:rPr>
                <w:rFonts w:hint="eastAsia"/>
                <w:snapToGrid w:val="0"/>
                <w:sz w:val="24"/>
              </w:rPr>
              <w:t>、NO</w:t>
            </w:r>
            <w:r>
              <w:rPr>
                <w:rFonts w:hint="eastAsia"/>
                <w:snapToGrid w:val="0"/>
                <w:sz w:val="24"/>
                <w:vertAlign w:val="subscript"/>
              </w:rPr>
              <w:t>X</w:t>
            </w:r>
            <w:r>
              <w:rPr>
                <w:rFonts w:hint="eastAsia"/>
                <w:snapToGrid w:val="0"/>
                <w:sz w:val="24"/>
              </w:rPr>
              <w:t>和汞，</w:t>
            </w:r>
            <w:r>
              <w:rPr>
                <w:rFonts w:hint="eastAsia"/>
                <w:snapToGrid w:val="0"/>
                <w:sz w:val="24"/>
                <w:lang w:val="en-US" w:eastAsia="zh-CN"/>
              </w:rPr>
              <w:t>生产供热蒸汽锅炉</w:t>
            </w:r>
            <w:r>
              <w:rPr>
                <w:rFonts w:hint="eastAsia"/>
                <w:snapToGrid w:val="0"/>
                <w:sz w:val="24"/>
              </w:rPr>
              <w:t>烟气经布</w:t>
            </w:r>
            <w:r>
              <w:rPr>
                <w:rFonts w:hint="eastAsia"/>
                <w:snapToGrid w:val="0"/>
                <w:sz w:val="24"/>
                <w:lang w:val="en-US" w:eastAsia="zh-CN"/>
              </w:rPr>
              <w:t>旋风除</w:t>
            </w:r>
            <w:r>
              <w:rPr>
                <w:rFonts w:hint="eastAsia"/>
                <w:snapToGrid w:val="0"/>
                <w:sz w:val="24"/>
              </w:rPr>
              <w:t>尘器处理后通过</w:t>
            </w:r>
            <w:r>
              <w:rPr>
                <w:rFonts w:hint="eastAsia"/>
                <w:snapToGrid w:val="0"/>
                <w:sz w:val="24"/>
                <w:lang w:val="en-US" w:eastAsia="zh-CN"/>
              </w:rPr>
              <w:t>2</w:t>
            </w:r>
            <w:r>
              <w:rPr>
                <w:rFonts w:hint="eastAsia"/>
                <w:snapToGrid w:val="0"/>
                <w:sz w:val="24"/>
              </w:rPr>
              <w:t>5m高烟囱排放</w:t>
            </w:r>
            <w:r>
              <w:rPr>
                <w:rFonts w:hint="eastAsia"/>
                <w:snapToGrid w:val="0"/>
                <w:sz w:val="24"/>
                <w:lang w:eastAsia="zh-CN"/>
              </w:rPr>
              <w:t>，</w:t>
            </w:r>
            <w:r>
              <w:rPr>
                <w:rFonts w:hint="eastAsia"/>
                <w:snapToGrid w:val="0"/>
                <w:sz w:val="24"/>
                <w:lang w:val="en-US" w:eastAsia="zh-CN"/>
              </w:rPr>
              <w:t>冬季供热锅炉烟气经脉冲除尘器处理后经25m</w:t>
            </w:r>
            <w:r>
              <w:rPr>
                <w:rFonts w:hint="eastAsia"/>
                <w:snapToGrid w:val="0"/>
                <w:sz w:val="24"/>
              </w:rPr>
              <w:t>高烟囱排放。</w:t>
            </w:r>
            <w:r>
              <w:rPr>
                <w:rFonts w:hint="eastAsia"/>
                <w:snapToGrid w:val="0"/>
                <w:sz w:val="24"/>
                <w:lang w:val="en-US" w:eastAsia="zh-CN"/>
              </w:rPr>
              <w:t>本项目预混车间、主车间两条生产线产生粉尘分别经2台脉冲除尘器处理后无组织排放，生产车间密闭。</w:t>
            </w:r>
            <w:r>
              <w:rPr>
                <w:rFonts w:hint="eastAsia"/>
                <w:snapToGrid w:val="0"/>
                <w:sz w:val="24"/>
              </w:rPr>
              <w:t>本项目燃料、炉渣、</w:t>
            </w:r>
            <w:r>
              <w:rPr>
                <w:rFonts w:hint="eastAsia"/>
                <w:snapToGrid w:val="0"/>
                <w:sz w:val="24"/>
                <w:lang w:val="en-US" w:eastAsia="zh-CN"/>
              </w:rPr>
              <w:t>锅炉</w:t>
            </w:r>
            <w:r>
              <w:rPr>
                <w:rFonts w:hint="eastAsia"/>
                <w:snapToGrid w:val="0"/>
                <w:sz w:val="24"/>
              </w:rPr>
              <w:t>除尘器收尘暂存于锅炉房内，储存间封闭并且定期清运处理，储存过程中无粉尘外逸至大气环境。</w:t>
            </w:r>
            <w:r>
              <w:rPr>
                <w:rFonts w:hint="eastAsia"/>
                <w:snapToGrid w:val="0"/>
                <w:sz w:val="24"/>
                <w:lang w:val="en-US" w:eastAsia="zh-CN"/>
              </w:rPr>
              <w:t>本项目预混料生产线及主车间生产线除尘器收尘密闭收集，回用于工艺；</w:t>
            </w:r>
            <w:r>
              <w:rPr>
                <w:rFonts w:hint="eastAsia"/>
                <w:snapToGrid w:val="0"/>
                <w:sz w:val="24"/>
              </w:rPr>
              <w:t>本项目装卸工段采取</w:t>
            </w:r>
            <w:r>
              <w:rPr>
                <w:rFonts w:hint="eastAsia"/>
                <w:snapToGrid w:val="0"/>
                <w:sz w:val="24"/>
                <w:lang w:val="en-US" w:eastAsia="zh-CN"/>
              </w:rPr>
              <w:t>车间密闭</w:t>
            </w:r>
            <w:r>
              <w:rPr>
                <w:rFonts w:hint="eastAsia"/>
                <w:snapToGrid w:val="0"/>
                <w:sz w:val="24"/>
              </w:rPr>
              <w:t>、减小装卸高度等降尘措施，输送过程中采用封闭输送</w:t>
            </w:r>
            <w:r>
              <w:rPr>
                <w:rFonts w:hint="eastAsia"/>
                <w:snapToGrid w:val="0"/>
                <w:sz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（二）废水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生活污水</w:t>
            </w:r>
            <w:r>
              <w:rPr>
                <w:rFonts w:hint="eastAsia"/>
                <w:snapToGrid w:val="0"/>
                <w:sz w:val="24"/>
                <w:lang w:eastAsia="zh-CN"/>
              </w:rPr>
              <w:t>、</w:t>
            </w:r>
            <w:r>
              <w:rPr>
                <w:rFonts w:hint="eastAsia"/>
                <w:snapToGrid w:val="0"/>
                <w:sz w:val="24"/>
                <w:lang w:val="en-US" w:eastAsia="zh-CN"/>
              </w:rPr>
              <w:t>食堂废水经隔油池处理后、</w:t>
            </w:r>
            <w:r>
              <w:rPr>
                <w:rFonts w:hint="default"/>
                <w:snapToGrid w:val="0"/>
                <w:sz w:val="24"/>
              </w:rPr>
              <w:t>化验室器皿清洗废水</w:t>
            </w:r>
            <w:r>
              <w:rPr>
                <w:rFonts w:hint="eastAsia"/>
                <w:snapToGrid w:val="0"/>
                <w:sz w:val="24"/>
                <w:lang w:eastAsia="zh-CN"/>
              </w:rPr>
              <w:t>、</w:t>
            </w:r>
            <w:r>
              <w:rPr>
                <w:rFonts w:hint="eastAsia"/>
                <w:snapToGrid w:val="0"/>
                <w:sz w:val="24"/>
                <w:lang w:val="en-US" w:eastAsia="zh-CN"/>
              </w:rPr>
              <w:t>锅炉排污水（含软化水制备废水）</w:t>
            </w:r>
            <w:r>
              <w:rPr>
                <w:rFonts w:hint="eastAsia"/>
                <w:snapToGrid w:val="0"/>
                <w:sz w:val="24"/>
              </w:rPr>
              <w:t>排入</w:t>
            </w:r>
            <w:r>
              <w:rPr>
                <w:rFonts w:hint="eastAsia"/>
                <w:snapToGrid w:val="0"/>
                <w:sz w:val="24"/>
                <w:lang w:val="en-US" w:eastAsia="zh-CN"/>
              </w:rPr>
              <w:t>防渗化粪池</w:t>
            </w:r>
            <w:r>
              <w:rPr>
                <w:rFonts w:hint="eastAsia"/>
                <w:snapToGrid w:val="0"/>
                <w:sz w:val="24"/>
              </w:rPr>
              <w:t>，定期清掏，</w:t>
            </w:r>
            <w:r>
              <w:rPr>
                <w:rFonts w:hint="eastAsia"/>
                <w:snapToGrid w:val="0"/>
                <w:sz w:val="24"/>
                <w:lang w:val="en-US" w:eastAsia="zh-CN"/>
              </w:rPr>
              <w:t>送至双城污水处理厂处理</w:t>
            </w:r>
            <w:r>
              <w:rPr>
                <w:rFonts w:hint="eastAsia"/>
                <w:snapToGrid w:val="0"/>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（三）噪声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本项目固定噪声源主要为生产设备，噪声值约70~85dB(A)。选用低噪声设备，建筑采取隔声、降噪措施，振动较大的设备采取独立基础，设置减振器，风机进出口均设软管连接等措施。合理布局，减少噪声对外环境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rPr>
              <w:t>（四）固体废物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lang w:val="en-US" w:eastAsia="zh-CN"/>
              </w:rPr>
              <w:t>本项目锅炉</w:t>
            </w:r>
            <w:r>
              <w:rPr>
                <w:rFonts w:hint="eastAsia"/>
                <w:snapToGrid w:val="0"/>
                <w:sz w:val="24"/>
              </w:rPr>
              <w:t>炉除尘器收尘、</w:t>
            </w:r>
            <w:r>
              <w:rPr>
                <w:rFonts w:hint="eastAsia"/>
                <w:snapToGrid w:val="0"/>
                <w:sz w:val="24"/>
                <w:lang w:val="en-US" w:eastAsia="zh-CN"/>
              </w:rPr>
              <w:t>锅</w:t>
            </w:r>
            <w:r>
              <w:rPr>
                <w:rFonts w:hint="eastAsia"/>
                <w:snapToGrid w:val="0"/>
                <w:sz w:val="24"/>
              </w:rPr>
              <w:t>炉灰渣集中收集，暂存于封闭</w:t>
            </w:r>
            <w:r>
              <w:rPr>
                <w:rFonts w:hint="eastAsia"/>
                <w:snapToGrid w:val="0"/>
                <w:sz w:val="24"/>
                <w:lang w:val="en-US" w:eastAsia="zh-CN"/>
              </w:rPr>
              <w:t>锅炉房</w:t>
            </w:r>
            <w:r>
              <w:rPr>
                <w:rFonts w:hint="eastAsia"/>
                <w:snapToGrid w:val="0"/>
                <w:sz w:val="24"/>
              </w:rPr>
              <w:t>内，由市政环卫部门统一清运处理。</w:t>
            </w:r>
            <w:r>
              <w:rPr>
                <w:rFonts w:hint="default"/>
                <w:snapToGrid w:val="0"/>
                <w:sz w:val="24"/>
              </w:rPr>
              <w:t>化验室废液（HW49</w:t>
            </w:r>
            <w:r>
              <w:rPr>
                <w:rFonts w:hint="eastAsia"/>
                <w:snapToGrid w:val="0"/>
                <w:sz w:val="24"/>
                <w:lang w:eastAsia="zh-CN"/>
              </w:rPr>
              <w:t>，</w:t>
            </w:r>
            <w:r>
              <w:rPr>
                <w:rFonts w:hint="default"/>
                <w:snapToGrid w:val="0"/>
                <w:sz w:val="24"/>
              </w:rPr>
              <w:t>900-047-49）</w:t>
            </w:r>
            <w:r>
              <w:rPr>
                <w:rFonts w:hint="eastAsia"/>
                <w:snapToGrid w:val="0"/>
                <w:sz w:val="24"/>
                <w:lang w:val="en-US" w:eastAsia="zh-CN"/>
              </w:rPr>
              <w:t>交由具有资质的专业公司处理；</w:t>
            </w:r>
            <w:r>
              <w:rPr>
                <w:rFonts w:hint="default"/>
                <w:snapToGrid w:val="0"/>
                <w:sz w:val="24"/>
              </w:rPr>
              <w:t>筛分工序产生的杂质、</w:t>
            </w:r>
            <w:r>
              <w:rPr>
                <w:rFonts w:hint="eastAsia"/>
                <w:snapToGrid w:val="0"/>
                <w:sz w:val="24"/>
              </w:rPr>
              <w:t>生活垃圾分类收集</w:t>
            </w:r>
            <w:r>
              <w:rPr>
                <w:rFonts w:hint="eastAsia"/>
                <w:snapToGrid w:val="0"/>
                <w:sz w:val="24"/>
                <w:lang w:eastAsia="zh-CN"/>
              </w:rPr>
              <w:t>、</w:t>
            </w:r>
            <w:r>
              <w:rPr>
                <w:rFonts w:hint="default"/>
                <w:snapToGrid w:val="0"/>
                <w:sz w:val="24"/>
              </w:rPr>
              <w:t>废包装袋</w:t>
            </w:r>
            <w:r>
              <w:rPr>
                <w:rFonts w:hint="eastAsia"/>
                <w:snapToGrid w:val="0"/>
                <w:sz w:val="24"/>
              </w:rPr>
              <w:t>由市政环卫部门统一清运处理。</w:t>
            </w:r>
          </w:p>
          <w:p>
            <w:pPr>
              <w:keepNext w:val="0"/>
              <w:keepLines w:val="0"/>
              <w:topLinePunct w:val="0"/>
              <w:bidi w:val="0"/>
              <w:adjustRightInd w:val="0"/>
              <w:snapToGrid w:val="0"/>
              <w:spacing w:line="360" w:lineRule="auto"/>
              <w:ind w:firstLine="480" w:firstLineChars="200"/>
              <w:jc w:val="left"/>
              <w:textAlignment w:val="baseline"/>
              <w:outlineLvl w:val="9"/>
              <w:rPr>
                <w:rFonts w:hint="eastAsia"/>
                <w:snapToGrid w:val="0"/>
                <w:sz w:val="24"/>
              </w:rPr>
            </w:pPr>
            <w:r>
              <w:rPr>
                <w:rFonts w:hint="eastAsia"/>
                <w:snapToGrid w:val="0"/>
                <w:sz w:val="24"/>
                <w:lang w:val="en-US" w:eastAsia="zh-CN"/>
              </w:rPr>
              <w:t>四</w:t>
            </w:r>
            <w:r>
              <w:rPr>
                <w:rFonts w:hint="eastAsia"/>
                <w:snapToGrid w:val="0"/>
                <w:sz w:val="24"/>
              </w:rPr>
              <w:t>、现有工程存在问题及整改措施</w:t>
            </w:r>
          </w:p>
          <w:p>
            <w:pPr>
              <w:keepNext w:val="0"/>
              <w:keepLines w:val="0"/>
              <w:topLinePunct w:val="0"/>
              <w:bidi w:val="0"/>
              <w:adjustRightInd w:val="0"/>
              <w:snapToGrid w:val="0"/>
              <w:spacing w:line="360" w:lineRule="auto"/>
              <w:ind w:firstLine="480" w:firstLineChars="200"/>
              <w:jc w:val="left"/>
              <w:textAlignment w:val="baseline"/>
              <w:outlineLvl w:val="9"/>
              <w:rPr>
                <w:rFonts w:hint="default"/>
                <w:snapToGrid w:val="0"/>
                <w:sz w:val="24"/>
                <w:lang w:val="en-US" w:eastAsia="zh-CN"/>
              </w:rPr>
            </w:pPr>
            <w:r>
              <w:rPr>
                <w:rFonts w:hint="eastAsia"/>
                <w:snapToGrid w:val="0"/>
                <w:sz w:val="24"/>
              </w:rPr>
              <w:t>现有工程污染防治措施</w:t>
            </w:r>
            <w:r>
              <w:rPr>
                <w:rFonts w:hint="eastAsia"/>
                <w:snapToGrid w:val="0"/>
                <w:sz w:val="24"/>
                <w:lang w:val="en-US" w:eastAsia="zh-CN"/>
              </w:rPr>
              <w:t>基本</w:t>
            </w:r>
            <w:r>
              <w:rPr>
                <w:rFonts w:hint="eastAsia"/>
                <w:snapToGrid w:val="0"/>
                <w:sz w:val="24"/>
              </w:rPr>
              <w:t>可行，</w:t>
            </w:r>
            <w:r>
              <w:rPr>
                <w:rFonts w:hint="eastAsia"/>
                <w:snapToGrid w:val="0"/>
                <w:sz w:val="24"/>
                <w:lang w:val="en-US" w:eastAsia="zh-CN"/>
              </w:rPr>
              <w:t>除两台然生物质锅炉排气筒应加高至25m外，</w:t>
            </w:r>
            <w:r>
              <w:rPr>
                <w:rFonts w:hint="eastAsia"/>
                <w:snapToGrid w:val="0"/>
                <w:sz w:val="24"/>
              </w:rPr>
              <w:t>无需整改，</w:t>
            </w:r>
            <w:r>
              <w:rPr>
                <w:rFonts w:hint="eastAsia"/>
                <w:snapToGrid w:val="0"/>
                <w:sz w:val="24"/>
                <w:lang w:val="en-US" w:eastAsia="zh-CN"/>
              </w:rPr>
              <w:t>本项目原有两台然生物质锅炉烟囱高度均为15m，未达到</w:t>
            </w:r>
            <w:r>
              <w:rPr>
                <w:rFonts w:hint="eastAsia" w:ascii="Times New Roman" w:hAnsi="Times New Roman" w:eastAsia="宋体" w:cs="Times New Roman"/>
                <w:snapToGrid w:val="0"/>
                <w:sz w:val="24"/>
                <w:lang w:val="en-US" w:eastAsia="zh-CN"/>
              </w:rPr>
              <w:t>《</w:t>
            </w:r>
            <w:r>
              <w:rPr>
                <w:rFonts w:hint="eastAsia" w:ascii="Times New Roman" w:hAnsi="Times New Roman" w:eastAsia="宋体" w:cs="Times New Roman"/>
                <w:snapToGrid w:val="0"/>
                <w:sz w:val="24"/>
              </w:rPr>
              <w:fldChar w:fldCharType="begin"/>
            </w:r>
            <w:r>
              <w:rPr>
                <w:rFonts w:hint="eastAsia" w:ascii="Times New Roman" w:hAnsi="Times New Roman" w:eastAsia="宋体" w:cs="Times New Roman"/>
                <w:snapToGrid w:val="0"/>
                <w:sz w:val="24"/>
              </w:rPr>
              <w:instrText xml:space="preserve"> HYPERLINK "https://www.mee.gov.cn/ywgz/fgbz/bz/bzwb/dqhjbh/dqgdwrywrwpfbz/201405/W020140530580815383678.pdf" </w:instrText>
            </w:r>
            <w:r>
              <w:rPr>
                <w:rFonts w:hint="eastAsia" w:ascii="Times New Roman" w:hAnsi="Times New Roman" w:eastAsia="宋体" w:cs="Times New Roman"/>
                <w:snapToGrid w:val="0"/>
                <w:sz w:val="24"/>
              </w:rPr>
              <w:fldChar w:fldCharType="separate"/>
            </w:r>
            <w:r>
              <w:rPr>
                <w:rFonts w:hint="eastAsia" w:ascii="Times New Roman" w:hAnsi="Times New Roman" w:eastAsia="宋体" w:cs="Times New Roman"/>
                <w:snapToGrid w:val="0"/>
                <w:sz w:val="24"/>
              </w:rPr>
              <w:t>锅炉大气污染物排放标准</w:t>
            </w:r>
            <w:r>
              <w:rPr>
                <w:rFonts w:hint="eastAsia" w:ascii="Times New Roman" w:hAnsi="Times New Roman" w:eastAsia="宋体" w:cs="Times New Roman"/>
                <w:snapToGrid w:val="0"/>
                <w:sz w:val="24"/>
              </w:rPr>
              <w:fldChar w:fldCharType="end"/>
            </w:r>
            <w:r>
              <w:rPr>
                <w:rFonts w:hint="eastAsia" w:ascii="Times New Roman" w:hAnsi="Times New Roman" w:eastAsia="宋体" w:cs="Times New Roman"/>
                <w:snapToGrid w:val="0"/>
                <w:sz w:val="24"/>
                <w:lang w:val="en-US" w:eastAsia="zh-CN"/>
              </w:rPr>
              <w:t>》（</w:t>
            </w:r>
            <w:r>
              <w:rPr>
                <w:rFonts w:hint="eastAsia" w:ascii="Times New Roman" w:hAnsi="Times New Roman" w:eastAsia="宋体" w:cs="Times New Roman"/>
                <w:snapToGrid w:val="0"/>
                <w:sz w:val="24"/>
              </w:rPr>
              <w:t>GB 13271-2014</w:t>
            </w:r>
            <w:r>
              <w:rPr>
                <w:rFonts w:hint="eastAsia" w:ascii="Times New Roman" w:hAnsi="Times New Roman" w:eastAsia="宋体" w:cs="Times New Roman"/>
                <w:snapToGrid w:val="0"/>
                <w:sz w:val="24"/>
                <w:lang w:eastAsia="zh-CN"/>
              </w:rPr>
              <w:t>）</w:t>
            </w:r>
            <w:r>
              <w:rPr>
                <w:rFonts w:hint="eastAsia" w:ascii="Times New Roman" w:hAnsi="Times New Roman" w:eastAsia="宋体" w:cs="Times New Roman"/>
                <w:snapToGrid w:val="0"/>
                <w:sz w:val="24"/>
                <w:lang w:val="en-US" w:eastAsia="zh-CN"/>
              </w:rPr>
              <w:t>中相关烟囱高度要求，本次按相关标准要求改造；自本项目建成以来</w:t>
            </w:r>
            <w:r>
              <w:rPr>
                <w:rFonts w:hint="eastAsia"/>
                <w:snapToGrid w:val="0"/>
                <w:sz w:val="24"/>
                <w:lang w:val="en-US" w:eastAsia="zh-CN"/>
              </w:rPr>
              <w:t>，锅炉烟气均可达标排放，</w:t>
            </w:r>
            <w:r>
              <w:rPr>
                <w:rFonts w:hint="eastAsia"/>
                <w:snapToGrid w:val="0"/>
                <w:sz w:val="24"/>
              </w:rPr>
              <w:t>无环境信访问题及污染处罚情况。</w:t>
            </w:r>
            <w:r>
              <w:rPr>
                <w:rFonts w:hint="eastAsia"/>
                <w:snapToGrid w:val="0"/>
                <w:sz w:val="24"/>
              </w:rPr>
              <w:br w:type="textWrapping"/>
            </w:r>
          </w:p>
        </w:tc>
      </w:tr>
    </w:tbl>
    <w:p>
      <w:pPr>
        <w:pStyle w:val="14"/>
        <w:bidi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z w:val="30"/>
          <w:szCs w:val="30"/>
        </w:rPr>
      </w:pPr>
      <w:bookmarkStart w:id="43" w:name="_Toc12229"/>
      <w:r>
        <w:rPr>
          <w:rFonts w:hint="default" w:ascii="Times New Roman" w:hAnsi="Times New Roman" w:eastAsia="宋体" w:cs="Times New Roman"/>
          <w:snapToGrid w:val="0"/>
          <w:color w:val="auto"/>
          <w:sz w:val="30"/>
          <w:szCs w:val="30"/>
        </w:rPr>
        <w:t>三、区域环境质量现状、环境保护目标及评价标准</w:t>
      </w:r>
      <w:bookmarkEnd w:id="43"/>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6" w:hRule="atLeast"/>
          <w:jc w:val="center"/>
        </w:trPr>
        <w:tc>
          <w:tcPr>
            <w:tcW w:w="800"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区域</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质量</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rPr>
              <w:t>现状</w:t>
            </w:r>
          </w:p>
        </w:tc>
        <w:tc>
          <w:tcPr>
            <w:tcW w:w="8190" w:type="dxa"/>
            <w:noWrap w:val="0"/>
            <w:vAlign w:val="center"/>
          </w:tcPr>
          <w:p>
            <w:pPr>
              <w:tabs>
                <w:tab w:val="left" w:pos="400"/>
              </w:tabs>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一、大气环境</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）基本污染物环境质量现状</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根据《哈尔滨市生态环境质量报告书》（</w:t>
            </w:r>
            <w:r>
              <w:rPr>
                <w:rFonts w:hint="default" w:ascii="Times New Roman" w:hAnsi="Times New Roman" w:eastAsia="宋体" w:cs="Times New Roman"/>
                <w:color w:val="auto"/>
                <w:sz w:val="24"/>
                <w:lang w:val="en-US" w:eastAsia="zh-CN"/>
              </w:rPr>
              <w:t>2</w:t>
            </w:r>
            <w:r>
              <w:rPr>
                <w:rFonts w:hint="eastAsia" w:cs="Times New Roman"/>
                <w:color w:val="auto"/>
                <w:sz w:val="24"/>
                <w:lang w:val="en-US" w:eastAsia="zh-CN"/>
              </w:rPr>
              <w:t>021</w:t>
            </w:r>
            <w:r>
              <w:rPr>
                <w:rFonts w:hint="default" w:ascii="Times New Roman" w:hAnsi="Times New Roman" w:eastAsia="宋体" w:cs="Times New Roman"/>
                <w:color w:val="auto"/>
                <w:sz w:val="24"/>
              </w:rPr>
              <w:t>年）统计结果，20</w:t>
            </w:r>
            <w:r>
              <w:rPr>
                <w:rFonts w:hint="default" w:ascii="Times New Roman" w:hAnsi="Times New Roman" w:eastAsia="宋体" w:cs="Times New Roman"/>
                <w:color w:val="auto"/>
                <w:sz w:val="24"/>
                <w:lang w:val="en-US" w:eastAsia="zh-CN"/>
              </w:rPr>
              <w:t>2</w:t>
            </w:r>
            <w:r>
              <w:rPr>
                <w:rFonts w:hint="eastAsia" w:cs="Times New Roman"/>
                <w:color w:val="auto"/>
                <w:sz w:val="24"/>
                <w:lang w:val="en-US" w:eastAsia="zh-CN"/>
              </w:rPr>
              <w:t>1</w:t>
            </w:r>
            <w:r>
              <w:rPr>
                <w:rFonts w:hint="default" w:ascii="Times New Roman" w:hAnsi="Times New Roman" w:eastAsia="宋体" w:cs="Times New Roman"/>
                <w:color w:val="auto"/>
                <w:sz w:val="24"/>
              </w:rPr>
              <w:t>年哈尔滨市环境空气质量有效监测天数36</w:t>
            </w:r>
            <w:r>
              <w:rPr>
                <w:rFonts w:hint="eastAsia" w:cs="Times New Roman"/>
                <w:color w:val="auto"/>
                <w:sz w:val="24"/>
                <w:lang w:val="en-US" w:eastAsia="zh-CN"/>
              </w:rPr>
              <w:t>5</w:t>
            </w:r>
            <w:r>
              <w:rPr>
                <w:rFonts w:hint="default" w:ascii="Times New Roman" w:hAnsi="Times New Roman" w:eastAsia="宋体" w:cs="Times New Roman"/>
                <w:color w:val="auto"/>
                <w:sz w:val="24"/>
              </w:rPr>
              <w:t>天，达标3</w:t>
            </w:r>
            <w:r>
              <w:rPr>
                <w:rFonts w:hint="eastAsia" w:cs="Times New Roman"/>
                <w:color w:val="auto"/>
                <w:sz w:val="24"/>
                <w:lang w:val="en-US" w:eastAsia="zh-CN"/>
              </w:rPr>
              <w:t>10</w:t>
            </w:r>
            <w:r>
              <w:rPr>
                <w:rFonts w:hint="default" w:ascii="Times New Roman" w:hAnsi="Times New Roman" w:eastAsia="宋体" w:cs="Times New Roman"/>
                <w:color w:val="auto"/>
                <w:sz w:val="24"/>
              </w:rPr>
              <w:t>天，达标率8</w:t>
            </w:r>
            <w:r>
              <w:rPr>
                <w:rFonts w:hint="eastAsia" w:cs="Times New Roman"/>
                <w:color w:val="auto"/>
                <w:sz w:val="24"/>
                <w:lang w:val="en-US" w:eastAsia="zh-CN"/>
              </w:rPr>
              <w:t>4.9</w:t>
            </w:r>
            <w:r>
              <w:rPr>
                <w:rFonts w:hint="default" w:ascii="Times New Roman" w:hAnsi="Times New Roman" w:eastAsia="宋体" w:cs="Times New Roman"/>
                <w:color w:val="auto"/>
                <w:sz w:val="24"/>
              </w:rPr>
              <w:t>%。其中优1</w:t>
            </w:r>
            <w:r>
              <w:rPr>
                <w:rFonts w:hint="eastAsia" w:cs="Times New Roman"/>
                <w:color w:val="auto"/>
                <w:sz w:val="24"/>
                <w:lang w:val="en-US" w:eastAsia="zh-CN"/>
              </w:rPr>
              <w:t>35</w:t>
            </w:r>
            <w:r>
              <w:rPr>
                <w:rFonts w:hint="default" w:ascii="Times New Roman" w:hAnsi="Times New Roman" w:eastAsia="宋体" w:cs="Times New Roman"/>
                <w:color w:val="auto"/>
                <w:sz w:val="24"/>
              </w:rPr>
              <w:t>天，良1</w:t>
            </w:r>
            <w:r>
              <w:rPr>
                <w:rFonts w:hint="eastAsia" w:cs="Times New Roman"/>
                <w:color w:val="auto"/>
                <w:sz w:val="24"/>
                <w:lang w:val="en-US" w:eastAsia="zh-CN"/>
              </w:rPr>
              <w:t>7</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天。超标</w:t>
            </w:r>
            <w:r>
              <w:rPr>
                <w:rFonts w:hint="eastAsia" w:cs="Times New Roman"/>
                <w:color w:val="auto"/>
                <w:sz w:val="24"/>
                <w:lang w:val="en-US" w:eastAsia="zh-CN"/>
              </w:rPr>
              <w:t>55</w:t>
            </w:r>
            <w:r>
              <w:rPr>
                <w:rFonts w:hint="default" w:ascii="Times New Roman" w:hAnsi="Times New Roman" w:eastAsia="宋体" w:cs="Times New Roman"/>
                <w:color w:val="auto"/>
                <w:sz w:val="24"/>
              </w:rPr>
              <w:t>天，其中轻度污染</w:t>
            </w:r>
            <w:r>
              <w:rPr>
                <w:rFonts w:hint="eastAsia" w:cs="Times New Roman"/>
                <w:color w:val="auto"/>
                <w:sz w:val="24"/>
                <w:lang w:val="en-US" w:eastAsia="zh-CN"/>
              </w:rPr>
              <w:t>40</w:t>
            </w:r>
            <w:r>
              <w:rPr>
                <w:rFonts w:hint="default" w:ascii="Times New Roman" w:hAnsi="Times New Roman" w:eastAsia="宋体" w:cs="Times New Roman"/>
                <w:color w:val="auto"/>
                <w:sz w:val="24"/>
              </w:rPr>
              <w:t>天，中度污染1</w:t>
            </w:r>
            <w:r>
              <w:rPr>
                <w:rFonts w:hint="eastAsia" w:cs="Times New Roman"/>
                <w:color w:val="auto"/>
                <w:sz w:val="24"/>
                <w:lang w:val="en-US" w:eastAsia="zh-CN"/>
              </w:rPr>
              <w:t>0</w:t>
            </w:r>
            <w:r>
              <w:rPr>
                <w:rFonts w:hint="default" w:ascii="Times New Roman" w:hAnsi="Times New Roman" w:eastAsia="宋体" w:cs="Times New Roman"/>
                <w:color w:val="auto"/>
                <w:sz w:val="24"/>
              </w:rPr>
              <w:t>天，重度污染</w:t>
            </w:r>
            <w:r>
              <w:rPr>
                <w:rFonts w:hint="eastAsia" w:cs="Times New Roman"/>
                <w:color w:val="auto"/>
                <w:sz w:val="24"/>
                <w:lang w:val="en-US" w:eastAsia="zh-CN"/>
              </w:rPr>
              <w:t>5</w:t>
            </w:r>
            <w:r>
              <w:rPr>
                <w:rFonts w:hint="default" w:ascii="Times New Roman" w:hAnsi="Times New Roman" w:eastAsia="宋体" w:cs="Times New Roman"/>
                <w:color w:val="auto"/>
                <w:sz w:val="24"/>
              </w:rPr>
              <w:t>天。超标天数中首要污染物</w:t>
            </w:r>
            <w:r>
              <w:rPr>
                <w:rFonts w:hint="eastAsia" w:cs="Times New Roman"/>
                <w:color w:val="auto"/>
                <w:sz w:val="24"/>
                <w:lang w:val="en-US" w:eastAsia="zh-CN"/>
              </w:rPr>
              <w:t>42</w:t>
            </w:r>
            <w:r>
              <w:rPr>
                <w:rFonts w:hint="default" w:ascii="Times New Roman" w:hAnsi="Times New Roman" w:eastAsia="宋体" w:cs="Times New Roman"/>
                <w:color w:val="auto"/>
                <w:sz w:val="24"/>
              </w:rPr>
              <w:t>天为细颗粒物，</w:t>
            </w:r>
            <w:r>
              <w:rPr>
                <w:rFonts w:hint="eastAsia" w:cs="Times New Roman"/>
                <w:color w:val="auto"/>
                <w:sz w:val="24"/>
                <w:lang w:val="en-US" w:eastAsia="zh-CN"/>
              </w:rPr>
              <w:t>11</w:t>
            </w:r>
            <w:r>
              <w:rPr>
                <w:rFonts w:hint="default" w:ascii="Times New Roman" w:hAnsi="Times New Roman" w:eastAsia="宋体" w:cs="Times New Roman"/>
                <w:color w:val="auto"/>
                <w:sz w:val="24"/>
              </w:rPr>
              <w:t>天为臭氧，</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 xml:space="preserve">天为可吸入颗粒物。 </w:t>
            </w:r>
          </w:p>
          <w:p>
            <w:pPr>
              <w:bidi w:val="0"/>
              <w:spacing w:beforeAutospacing="0" w:afterAutospacing="0" w:line="360" w:lineRule="auto"/>
              <w:ind w:left="0" w:leftChars="0" w:right="0" w:rightChars="0" w:firstLine="561"/>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本项目所在区域空气质量现状见表3-1。</w:t>
            </w:r>
          </w:p>
          <w:p>
            <w:pPr>
              <w:pStyle w:val="46"/>
              <w:bidi w:val="0"/>
              <w:spacing w:beforeAutospacing="0" w:afterAutospacing="0" w:line="240" w:lineRule="auto"/>
              <w:ind w:left="0" w:leftChars="0" w:right="0" w:rightChars="0"/>
              <w:rPr>
                <w:rFonts w:hint="default" w:ascii="Times New Roman" w:hAnsi="Times New Roman" w:eastAsia="宋体" w:cs="Times New Roman"/>
                <w:b w:val="0"/>
                <w:bCs/>
                <w:color w:val="auto"/>
                <w:sz w:val="24"/>
                <w:szCs w:val="28"/>
              </w:rPr>
            </w:pPr>
            <w:r>
              <w:rPr>
                <w:rFonts w:hint="default" w:ascii="Times New Roman" w:hAnsi="Times New Roman" w:eastAsia="宋体" w:cs="Times New Roman"/>
                <w:b/>
                <w:bCs w:val="0"/>
                <w:color w:val="auto"/>
                <w:sz w:val="24"/>
                <w:szCs w:val="28"/>
              </w:rPr>
              <w:t>表3-1 本项目所在区域空气质量现状评价表</w:t>
            </w:r>
          </w:p>
          <w:tbl>
            <w:tblPr>
              <w:tblStyle w:val="51"/>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77"/>
              <w:gridCol w:w="3294"/>
              <w:gridCol w:w="1144"/>
              <w:gridCol w:w="1144"/>
              <w:gridCol w:w="869"/>
              <w:gridCol w:w="84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tcBorders>
                    <w:top w:val="single" w:color="000000" w:sz="12" w:space="0"/>
                    <w:bottom w:val="single" w:color="000000" w:sz="4" w:space="0"/>
                    <w:tl2br w:val="nil"/>
                    <w:tr2bl w:val="nil"/>
                  </w:tcBorders>
                  <w:vAlign w:val="center"/>
                </w:tcPr>
                <w:p>
                  <w:pPr>
                    <w:topLinePunct/>
                    <w:adjustRightInd w:val="0"/>
                    <w:snapToGrid w:val="0"/>
                    <w:jc w:val="center"/>
                    <w:textAlignment w:val="center"/>
                    <w:rPr>
                      <w:szCs w:val="21"/>
                    </w:rPr>
                  </w:pPr>
                  <w:r>
                    <w:rPr>
                      <w:szCs w:val="21"/>
                    </w:rPr>
                    <w:t>污染</w:t>
                  </w:r>
                </w:p>
                <w:p>
                  <w:pPr>
                    <w:topLinePunct/>
                    <w:adjustRightInd w:val="0"/>
                    <w:snapToGrid w:val="0"/>
                    <w:jc w:val="center"/>
                    <w:textAlignment w:val="center"/>
                    <w:rPr>
                      <w:szCs w:val="21"/>
                    </w:rPr>
                  </w:pPr>
                  <w:r>
                    <w:rPr>
                      <w:szCs w:val="21"/>
                    </w:rPr>
                    <w:t>物</w:t>
                  </w:r>
                </w:p>
              </w:tc>
              <w:tc>
                <w:tcPr>
                  <w:tcW w:w="2067" w:type="pct"/>
                  <w:tcBorders>
                    <w:top w:val="single" w:color="000000" w:sz="12" w:space="0"/>
                    <w:bottom w:val="single" w:color="000000" w:sz="4" w:space="0"/>
                    <w:tl2br w:val="nil"/>
                    <w:tr2bl w:val="nil"/>
                  </w:tcBorders>
                  <w:vAlign w:val="center"/>
                </w:tcPr>
                <w:p>
                  <w:pPr>
                    <w:topLinePunct/>
                    <w:adjustRightInd w:val="0"/>
                    <w:snapToGrid w:val="0"/>
                    <w:jc w:val="center"/>
                    <w:textAlignment w:val="center"/>
                    <w:rPr>
                      <w:szCs w:val="21"/>
                    </w:rPr>
                  </w:pPr>
                  <w:r>
                    <w:rPr>
                      <w:szCs w:val="21"/>
                    </w:rPr>
                    <w:t>年评价指标</w:t>
                  </w:r>
                </w:p>
              </w:tc>
              <w:tc>
                <w:tcPr>
                  <w:tcW w:w="718" w:type="pct"/>
                  <w:tcBorders>
                    <w:top w:val="single" w:color="000000" w:sz="12" w:space="0"/>
                    <w:bottom w:val="single" w:color="000000" w:sz="4" w:space="0"/>
                    <w:tl2br w:val="nil"/>
                    <w:tr2bl w:val="nil"/>
                  </w:tcBorders>
                  <w:vAlign w:val="center"/>
                </w:tcPr>
                <w:p>
                  <w:pPr>
                    <w:topLinePunct/>
                    <w:adjustRightInd w:val="0"/>
                    <w:snapToGrid w:val="0"/>
                    <w:jc w:val="center"/>
                    <w:textAlignment w:val="center"/>
                    <w:rPr>
                      <w:szCs w:val="21"/>
                    </w:rPr>
                  </w:pPr>
                  <w:r>
                    <w:rPr>
                      <w:szCs w:val="21"/>
                    </w:rPr>
                    <w:t>现状浓度/μg/m</w:t>
                  </w:r>
                  <w:r>
                    <w:rPr>
                      <w:szCs w:val="21"/>
                      <w:vertAlign w:val="superscript"/>
                    </w:rPr>
                    <w:t>3</w:t>
                  </w:r>
                </w:p>
              </w:tc>
              <w:tc>
                <w:tcPr>
                  <w:tcW w:w="718" w:type="pct"/>
                  <w:tcBorders>
                    <w:top w:val="single" w:color="000000" w:sz="12" w:space="0"/>
                    <w:bottom w:val="single" w:color="000000" w:sz="4" w:space="0"/>
                    <w:tl2br w:val="nil"/>
                    <w:tr2bl w:val="nil"/>
                  </w:tcBorders>
                  <w:vAlign w:val="center"/>
                </w:tcPr>
                <w:p>
                  <w:pPr>
                    <w:topLinePunct/>
                    <w:adjustRightInd w:val="0"/>
                    <w:snapToGrid w:val="0"/>
                    <w:jc w:val="center"/>
                    <w:textAlignment w:val="center"/>
                    <w:rPr>
                      <w:szCs w:val="21"/>
                    </w:rPr>
                  </w:pPr>
                  <w:r>
                    <w:rPr>
                      <w:szCs w:val="21"/>
                    </w:rPr>
                    <w:t>标准值/μg/m</w:t>
                  </w:r>
                  <w:r>
                    <w:rPr>
                      <w:szCs w:val="21"/>
                      <w:vertAlign w:val="superscript"/>
                    </w:rPr>
                    <w:t>3</w:t>
                  </w:r>
                </w:p>
              </w:tc>
              <w:tc>
                <w:tcPr>
                  <w:tcW w:w="545" w:type="pct"/>
                  <w:tcBorders>
                    <w:top w:val="single" w:color="000000" w:sz="12" w:space="0"/>
                    <w:bottom w:val="single" w:color="000000" w:sz="4" w:space="0"/>
                    <w:tl2br w:val="nil"/>
                    <w:tr2bl w:val="nil"/>
                  </w:tcBorders>
                  <w:vAlign w:val="center"/>
                </w:tcPr>
                <w:p>
                  <w:pPr>
                    <w:topLinePunct/>
                    <w:adjustRightInd w:val="0"/>
                    <w:snapToGrid w:val="0"/>
                    <w:jc w:val="center"/>
                    <w:textAlignment w:val="center"/>
                    <w:rPr>
                      <w:szCs w:val="21"/>
                    </w:rPr>
                  </w:pPr>
                  <w:r>
                    <w:rPr>
                      <w:szCs w:val="21"/>
                    </w:rPr>
                    <w:t>占标率/%</w:t>
                  </w:r>
                </w:p>
              </w:tc>
              <w:tc>
                <w:tcPr>
                  <w:tcW w:w="527" w:type="pct"/>
                  <w:tcBorders>
                    <w:top w:val="single" w:color="000000" w:sz="12" w:space="0"/>
                    <w:bottom w:val="single" w:color="000000" w:sz="4" w:space="0"/>
                    <w:tl2br w:val="nil"/>
                    <w:tr2bl w:val="nil"/>
                  </w:tcBorders>
                  <w:vAlign w:val="center"/>
                </w:tcPr>
                <w:p>
                  <w:pPr>
                    <w:topLinePunct/>
                    <w:adjustRightInd w:val="0"/>
                    <w:snapToGrid w:val="0"/>
                    <w:jc w:val="center"/>
                    <w:textAlignment w:val="center"/>
                    <w:rPr>
                      <w:szCs w:val="21"/>
                    </w:rPr>
                  </w:pPr>
                  <w:r>
                    <w:rPr>
                      <w:szCs w:val="21"/>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vMerge w:val="restart"/>
                  <w:tcBorders>
                    <w:top w:val="single" w:color="000000" w:sz="4" w:space="0"/>
                    <w:tl2br w:val="nil"/>
                    <w:tr2bl w:val="nil"/>
                  </w:tcBorders>
                  <w:vAlign w:val="center"/>
                </w:tcPr>
                <w:p>
                  <w:pPr>
                    <w:topLinePunct/>
                    <w:adjustRightInd w:val="0"/>
                    <w:snapToGrid w:val="0"/>
                    <w:jc w:val="center"/>
                    <w:textAlignment w:val="center"/>
                    <w:rPr>
                      <w:szCs w:val="21"/>
                    </w:rPr>
                  </w:pPr>
                  <w:r>
                    <w:rPr>
                      <w:szCs w:val="21"/>
                    </w:rPr>
                    <w:t>NO</w:t>
                  </w:r>
                  <w:r>
                    <w:rPr>
                      <w:szCs w:val="21"/>
                      <w:vertAlign w:val="subscript"/>
                    </w:rPr>
                    <w:t>2</w:t>
                  </w:r>
                </w:p>
              </w:tc>
              <w:tc>
                <w:tcPr>
                  <w:tcW w:w="2067" w:type="pct"/>
                  <w:tcBorders>
                    <w:top w:val="single" w:color="000000" w:sz="4" w:space="0"/>
                    <w:tl2br w:val="nil"/>
                    <w:tr2bl w:val="nil"/>
                  </w:tcBorders>
                  <w:vAlign w:val="center"/>
                </w:tcPr>
                <w:p>
                  <w:pPr>
                    <w:topLinePunct/>
                    <w:adjustRightInd w:val="0"/>
                    <w:snapToGrid w:val="0"/>
                    <w:jc w:val="center"/>
                    <w:textAlignment w:val="center"/>
                    <w:rPr>
                      <w:szCs w:val="21"/>
                    </w:rPr>
                  </w:pPr>
                  <w:r>
                    <w:rPr>
                      <w:szCs w:val="21"/>
                    </w:rPr>
                    <w:t>年平均</w:t>
                  </w:r>
                </w:p>
              </w:tc>
              <w:tc>
                <w:tcPr>
                  <w:tcW w:w="718" w:type="pct"/>
                  <w:tcBorders>
                    <w:top w:val="single" w:color="000000" w:sz="4" w:space="0"/>
                    <w:tl2br w:val="nil"/>
                    <w:tr2bl w:val="nil"/>
                  </w:tcBorders>
                  <w:vAlign w:val="center"/>
                </w:tcPr>
                <w:p>
                  <w:pPr>
                    <w:topLinePunct/>
                    <w:adjustRightInd w:val="0"/>
                    <w:snapToGrid w:val="0"/>
                    <w:jc w:val="center"/>
                    <w:textAlignment w:val="center"/>
                    <w:rPr>
                      <w:szCs w:val="21"/>
                    </w:rPr>
                  </w:pPr>
                  <w:r>
                    <w:rPr>
                      <w:szCs w:val="21"/>
                    </w:rPr>
                    <w:t>31</w:t>
                  </w:r>
                </w:p>
              </w:tc>
              <w:tc>
                <w:tcPr>
                  <w:tcW w:w="718" w:type="pct"/>
                  <w:tcBorders>
                    <w:top w:val="single" w:color="000000" w:sz="4" w:space="0"/>
                    <w:tl2br w:val="nil"/>
                    <w:tr2bl w:val="nil"/>
                  </w:tcBorders>
                  <w:vAlign w:val="center"/>
                </w:tcPr>
                <w:p>
                  <w:pPr>
                    <w:topLinePunct/>
                    <w:adjustRightInd w:val="0"/>
                    <w:snapToGrid w:val="0"/>
                    <w:jc w:val="center"/>
                    <w:textAlignment w:val="center"/>
                    <w:rPr>
                      <w:szCs w:val="21"/>
                    </w:rPr>
                  </w:pPr>
                  <w:r>
                    <w:rPr>
                      <w:szCs w:val="21"/>
                    </w:rPr>
                    <w:t>40</w:t>
                  </w:r>
                </w:p>
              </w:tc>
              <w:tc>
                <w:tcPr>
                  <w:tcW w:w="545" w:type="pct"/>
                  <w:tcBorders>
                    <w:top w:val="single" w:color="000000" w:sz="4" w:space="0"/>
                    <w:tl2br w:val="nil"/>
                    <w:tr2bl w:val="nil"/>
                  </w:tcBorders>
                  <w:vAlign w:val="center"/>
                </w:tcPr>
                <w:p>
                  <w:pPr>
                    <w:topLinePunct/>
                    <w:adjustRightInd w:val="0"/>
                    <w:snapToGrid w:val="0"/>
                    <w:jc w:val="center"/>
                    <w:textAlignment w:val="center"/>
                    <w:rPr>
                      <w:szCs w:val="21"/>
                    </w:rPr>
                  </w:pPr>
                  <w:r>
                    <w:rPr>
                      <w:szCs w:val="21"/>
                    </w:rPr>
                    <w:t>77.50</w:t>
                  </w:r>
                </w:p>
              </w:tc>
              <w:tc>
                <w:tcPr>
                  <w:tcW w:w="527" w:type="pct"/>
                  <w:tcBorders>
                    <w:top w:val="single" w:color="000000" w:sz="4" w:space="0"/>
                    <w:tl2br w:val="nil"/>
                    <w:tr2bl w:val="nil"/>
                  </w:tcBorders>
                  <w:vAlign w:val="center"/>
                </w:tcPr>
                <w:p>
                  <w:pPr>
                    <w:topLinePunct/>
                    <w:adjustRightInd w:val="0"/>
                    <w:snapToGrid w:val="0"/>
                    <w:jc w:val="center"/>
                    <w:textAlignment w:val="center"/>
                    <w:rPr>
                      <w:szCs w:val="21"/>
                    </w:rPr>
                  </w:pPr>
                  <w:r>
                    <w:rPr>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vMerge w:val="continue"/>
                  <w:tcBorders>
                    <w:tl2br w:val="nil"/>
                    <w:tr2bl w:val="nil"/>
                  </w:tcBorders>
                  <w:vAlign w:val="center"/>
                </w:tcPr>
                <w:p>
                  <w:pPr>
                    <w:topLinePunct/>
                    <w:adjustRightInd w:val="0"/>
                    <w:snapToGrid w:val="0"/>
                    <w:jc w:val="center"/>
                    <w:textAlignment w:val="center"/>
                    <w:rPr>
                      <w:szCs w:val="21"/>
                    </w:rPr>
                  </w:pPr>
                </w:p>
              </w:tc>
              <w:tc>
                <w:tcPr>
                  <w:tcW w:w="2067" w:type="pct"/>
                  <w:tcBorders>
                    <w:tl2br w:val="nil"/>
                    <w:tr2bl w:val="nil"/>
                  </w:tcBorders>
                  <w:vAlign w:val="center"/>
                </w:tcPr>
                <w:p>
                  <w:pPr>
                    <w:topLinePunct/>
                    <w:adjustRightInd w:val="0"/>
                    <w:snapToGrid w:val="0"/>
                    <w:jc w:val="center"/>
                    <w:textAlignment w:val="center"/>
                    <w:rPr>
                      <w:szCs w:val="21"/>
                    </w:rPr>
                  </w:pPr>
                  <w:r>
                    <w:rPr>
                      <w:szCs w:val="21"/>
                    </w:rPr>
                    <w:t>24小时平均第98百分位数</w:t>
                  </w:r>
                </w:p>
              </w:tc>
              <w:tc>
                <w:tcPr>
                  <w:tcW w:w="718" w:type="pct"/>
                  <w:tcBorders>
                    <w:tl2br w:val="nil"/>
                    <w:tr2bl w:val="nil"/>
                  </w:tcBorders>
                  <w:vAlign w:val="center"/>
                </w:tcPr>
                <w:p>
                  <w:pPr>
                    <w:topLinePunct/>
                    <w:adjustRightInd w:val="0"/>
                    <w:snapToGrid w:val="0"/>
                    <w:jc w:val="center"/>
                    <w:textAlignment w:val="center"/>
                    <w:rPr>
                      <w:szCs w:val="21"/>
                    </w:rPr>
                  </w:pPr>
                  <w:r>
                    <w:rPr>
                      <w:szCs w:val="21"/>
                    </w:rPr>
                    <w:t>57</w:t>
                  </w:r>
                </w:p>
              </w:tc>
              <w:tc>
                <w:tcPr>
                  <w:tcW w:w="718" w:type="pct"/>
                  <w:tcBorders>
                    <w:tl2br w:val="nil"/>
                    <w:tr2bl w:val="nil"/>
                  </w:tcBorders>
                  <w:vAlign w:val="center"/>
                </w:tcPr>
                <w:p>
                  <w:pPr>
                    <w:topLinePunct/>
                    <w:adjustRightInd w:val="0"/>
                    <w:snapToGrid w:val="0"/>
                    <w:jc w:val="center"/>
                    <w:textAlignment w:val="center"/>
                    <w:rPr>
                      <w:szCs w:val="21"/>
                    </w:rPr>
                  </w:pPr>
                  <w:r>
                    <w:rPr>
                      <w:szCs w:val="21"/>
                    </w:rPr>
                    <w:t>80</w:t>
                  </w:r>
                </w:p>
              </w:tc>
              <w:tc>
                <w:tcPr>
                  <w:tcW w:w="545" w:type="pct"/>
                  <w:tcBorders>
                    <w:tl2br w:val="nil"/>
                    <w:tr2bl w:val="nil"/>
                  </w:tcBorders>
                  <w:vAlign w:val="center"/>
                </w:tcPr>
                <w:p>
                  <w:pPr>
                    <w:topLinePunct/>
                    <w:adjustRightInd w:val="0"/>
                    <w:snapToGrid w:val="0"/>
                    <w:jc w:val="center"/>
                    <w:textAlignment w:val="center"/>
                    <w:rPr>
                      <w:szCs w:val="21"/>
                    </w:rPr>
                  </w:pPr>
                  <w:r>
                    <w:rPr>
                      <w:szCs w:val="21"/>
                    </w:rPr>
                    <w:t>71.25</w:t>
                  </w:r>
                </w:p>
              </w:tc>
              <w:tc>
                <w:tcPr>
                  <w:tcW w:w="527" w:type="pct"/>
                  <w:tcBorders>
                    <w:tl2br w:val="nil"/>
                    <w:tr2bl w:val="nil"/>
                  </w:tcBorders>
                  <w:vAlign w:val="center"/>
                </w:tcPr>
                <w:p>
                  <w:pPr>
                    <w:topLinePunct/>
                    <w:adjustRightInd w:val="0"/>
                    <w:snapToGrid w:val="0"/>
                    <w:jc w:val="center"/>
                    <w:textAlignment w:val="center"/>
                    <w:rPr>
                      <w:szCs w:val="21"/>
                    </w:rPr>
                  </w:pPr>
                  <w:r>
                    <w:rPr>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vMerge w:val="restart"/>
                  <w:tcBorders>
                    <w:tl2br w:val="nil"/>
                    <w:tr2bl w:val="nil"/>
                  </w:tcBorders>
                  <w:vAlign w:val="center"/>
                </w:tcPr>
                <w:p>
                  <w:pPr>
                    <w:topLinePunct/>
                    <w:adjustRightInd w:val="0"/>
                    <w:snapToGrid w:val="0"/>
                    <w:jc w:val="center"/>
                    <w:textAlignment w:val="center"/>
                    <w:rPr>
                      <w:szCs w:val="21"/>
                    </w:rPr>
                  </w:pPr>
                  <w:r>
                    <w:rPr>
                      <w:szCs w:val="21"/>
                    </w:rPr>
                    <w:t>SO</w:t>
                  </w:r>
                  <w:r>
                    <w:rPr>
                      <w:szCs w:val="21"/>
                      <w:vertAlign w:val="subscript"/>
                    </w:rPr>
                    <w:t>2</w:t>
                  </w:r>
                </w:p>
              </w:tc>
              <w:tc>
                <w:tcPr>
                  <w:tcW w:w="2067" w:type="pct"/>
                  <w:tcBorders>
                    <w:tl2br w:val="nil"/>
                    <w:tr2bl w:val="nil"/>
                  </w:tcBorders>
                  <w:vAlign w:val="center"/>
                </w:tcPr>
                <w:p>
                  <w:pPr>
                    <w:topLinePunct/>
                    <w:adjustRightInd w:val="0"/>
                    <w:snapToGrid w:val="0"/>
                    <w:jc w:val="center"/>
                    <w:textAlignment w:val="center"/>
                    <w:rPr>
                      <w:szCs w:val="21"/>
                    </w:rPr>
                  </w:pPr>
                  <w:r>
                    <w:rPr>
                      <w:szCs w:val="21"/>
                    </w:rPr>
                    <w:t>年平均</w:t>
                  </w:r>
                </w:p>
              </w:tc>
              <w:tc>
                <w:tcPr>
                  <w:tcW w:w="718" w:type="pct"/>
                  <w:tcBorders>
                    <w:tl2br w:val="nil"/>
                    <w:tr2bl w:val="nil"/>
                  </w:tcBorders>
                  <w:vAlign w:val="center"/>
                </w:tcPr>
                <w:p>
                  <w:pPr>
                    <w:topLinePunct/>
                    <w:adjustRightInd w:val="0"/>
                    <w:snapToGrid w:val="0"/>
                    <w:jc w:val="center"/>
                    <w:textAlignment w:val="center"/>
                    <w:rPr>
                      <w:szCs w:val="21"/>
                    </w:rPr>
                  </w:pPr>
                  <w:r>
                    <w:rPr>
                      <w:szCs w:val="21"/>
                    </w:rPr>
                    <w:t>16</w:t>
                  </w:r>
                </w:p>
              </w:tc>
              <w:tc>
                <w:tcPr>
                  <w:tcW w:w="718" w:type="pct"/>
                  <w:tcBorders>
                    <w:tl2br w:val="nil"/>
                    <w:tr2bl w:val="nil"/>
                  </w:tcBorders>
                  <w:vAlign w:val="center"/>
                </w:tcPr>
                <w:p>
                  <w:pPr>
                    <w:topLinePunct/>
                    <w:adjustRightInd w:val="0"/>
                    <w:snapToGrid w:val="0"/>
                    <w:jc w:val="center"/>
                    <w:textAlignment w:val="center"/>
                    <w:rPr>
                      <w:szCs w:val="21"/>
                    </w:rPr>
                  </w:pPr>
                  <w:r>
                    <w:rPr>
                      <w:szCs w:val="21"/>
                    </w:rPr>
                    <w:t>60</w:t>
                  </w:r>
                </w:p>
              </w:tc>
              <w:tc>
                <w:tcPr>
                  <w:tcW w:w="545" w:type="pct"/>
                  <w:tcBorders>
                    <w:tl2br w:val="nil"/>
                    <w:tr2bl w:val="nil"/>
                  </w:tcBorders>
                  <w:vAlign w:val="center"/>
                </w:tcPr>
                <w:p>
                  <w:pPr>
                    <w:topLinePunct/>
                    <w:adjustRightInd w:val="0"/>
                    <w:snapToGrid w:val="0"/>
                    <w:jc w:val="center"/>
                    <w:textAlignment w:val="center"/>
                    <w:rPr>
                      <w:szCs w:val="21"/>
                    </w:rPr>
                  </w:pPr>
                  <w:r>
                    <w:rPr>
                      <w:szCs w:val="21"/>
                    </w:rPr>
                    <w:t>26.67</w:t>
                  </w:r>
                </w:p>
              </w:tc>
              <w:tc>
                <w:tcPr>
                  <w:tcW w:w="527" w:type="pct"/>
                  <w:tcBorders>
                    <w:tl2br w:val="nil"/>
                    <w:tr2bl w:val="nil"/>
                  </w:tcBorders>
                  <w:vAlign w:val="center"/>
                </w:tcPr>
                <w:p>
                  <w:pPr>
                    <w:topLinePunct/>
                    <w:adjustRightInd w:val="0"/>
                    <w:snapToGrid w:val="0"/>
                    <w:jc w:val="center"/>
                    <w:textAlignment w:val="center"/>
                    <w:rPr>
                      <w:szCs w:val="21"/>
                    </w:rPr>
                  </w:pPr>
                  <w:r>
                    <w:rPr>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vMerge w:val="continue"/>
                  <w:tcBorders>
                    <w:tl2br w:val="nil"/>
                    <w:tr2bl w:val="nil"/>
                  </w:tcBorders>
                  <w:vAlign w:val="center"/>
                </w:tcPr>
                <w:p>
                  <w:pPr>
                    <w:topLinePunct/>
                    <w:adjustRightInd w:val="0"/>
                    <w:snapToGrid w:val="0"/>
                    <w:jc w:val="center"/>
                    <w:textAlignment w:val="center"/>
                    <w:rPr>
                      <w:szCs w:val="21"/>
                    </w:rPr>
                  </w:pPr>
                </w:p>
              </w:tc>
              <w:tc>
                <w:tcPr>
                  <w:tcW w:w="2067" w:type="pct"/>
                  <w:tcBorders>
                    <w:tl2br w:val="nil"/>
                    <w:tr2bl w:val="nil"/>
                  </w:tcBorders>
                  <w:vAlign w:val="center"/>
                </w:tcPr>
                <w:p>
                  <w:pPr>
                    <w:topLinePunct/>
                    <w:adjustRightInd w:val="0"/>
                    <w:snapToGrid w:val="0"/>
                    <w:jc w:val="center"/>
                    <w:textAlignment w:val="center"/>
                    <w:rPr>
                      <w:szCs w:val="21"/>
                    </w:rPr>
                  </w:pPr>
                  <w:r>
                    <w:rPr>
                      <w:szCs w:val="21"/>
                    </w:rPr>
                    <w:t>24小时平均第98百分位数</w:t>
                  </w:r>
                </w:p>
              </w:tc>
              <w:tc>
                <w:tcPr>
                  <w:tcW w:w="718" w:type="pct"/>
                  <w:tcBorders>
                    <w:tl2br w:val="nil"/>
                    <w:tr2bl w:val="nil"/>
                  </w:tcBorders>
                  <w:vAlign w:val="center"/>
                </w:tcPr>
                <w:p>
                  <w:pPr>
                    <w:topLinePunct/>
                    <w:adjustRightInd w:val="0"/>
                    <w:snapToGrid w:val="0"/>
                    <w:jc w:val="center"/>
                    <w:textAlignment w:val="center"/>
                    <w:rPr>
                      <w:szCs w:val="21"/>
                    </w:rPr>
                  </w:pPr>
                  <w:r>
                    <w:rPr>
                      <w:szCs w:val="21"/>
                    </w:rPr>
                    <w:t>38</w:t>
                  </w:r>
                </w:p>
              </w:tc>
              <w:tc>
                <w:tcPr>
                  <w:tcW w:w="718" w:type="pct"/>
                  <w:tcBorders>
                    <w:tl2br w:val="nil"/>
                    <w:tr2bl w:val="nil"/>
                  </w:tcBorders>
                  <w:vAlign w:val="center"/>
                </w:tcPr>
                <w:p>
                  <w:pPr>
                    <w:topLinePunct/>
                    <w:adjustRightInd w:val="0"/>
                    <w:snapToGrid w:val="0"/>
                    <w:jc w:val="center"/>
                    <w:textAlignment w:val="center"/>
                    <w:rPr>
                      <w:szCs w:val="21"/>
                    </w:rPr>
                  </w:pPr>
                  <w:r>
                    <w:rPr>
                      <w:szCs w:val="21"/>
                    </w:rPr>
                    <w:t>150</w:t>
                  </w:r>
                </w:p>
              </w:tc>
              <w:tc>
                <w:tcPr>
                  <w:tcW w:w="545" w:type="pct"/>
                  <w:tcBorders>
                    <w:tl2br w:val="nil"/>
                    <w:tr2bl w:val="nil"/>
                  </w:tcBorders>
                  <w:vAlign w:val="center"/>
                </w:tcPr>
                <w:p>
                  <w:pPr>
                    <w:topLinePunct/>
                    <w:adjustRightInd w:val="0"/>
                    <w:snapToGrid w:val="0"/>
                    <w:jc w:val="center"/>
                    <w:textAlignment w:val="center"/>
                    <w:rPr>
                      <w:szCs w:val="21"/>
                    </w:rPr>
                  </w:pPr>
                  <w:r>
                    <w:rPr>
                      <w:szCs w:val="21"/>
                    </w:rPr>
                    <w:t>25.33</w:t>
                  </w:r>
                </w:p>
              </w:tc>
              <w:tc>
                <w:tcPr>
                  <w:tcW w:w="527" w:type="pct"/>
                  <w:tcBorders>
                    <w:tl2br w:val="nil"/>
                    <w:tr2bl w:val="nil"/>
                  </w:tcBorders>
                  <w:vAlign w:val="center"/>
                </w:tcPr>
                <w:p>
                  <w:pPr>
                    <w:topLinePunct/>
                    <w:adjustRightInd w:val="0"/>
                    <w:snapToGrid w:val="0"/>
                    <w:jc w:val="center"/>
                    <w:textAlignment w:val="center"/>
                    <w:rPr>
                      <w:szCs w:val="21"/>
                    </w:rPr>
                  </w:pPr>
                  <w:r>
                    <w:rPr>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vMerge w:val="restart"/>
                  <w:tcBorders>
                    <w:tl2br w:val="nil"/>
                    <w:tr2bl w:val="nil"/>
                  </w:tcBorders>
                  <w:vAlign w:val="center"/>
                </w:tcPr>
                <w:p>
                  <w:pPr>
                    <w:topLinePunct/>
                    <w:adjustRightInd w:val="0"/>
                    <w:snapToGrid w:val="0"/>
                    <w:jc w:val="center"/>
                    <w:textAlignment w:val="center"/>
                    <w:rPr>
                      <w:szCs w:val="21"/>
                    </w:rPr>
                  </w:pPr>
                  <w:r>
                    <w:rPr>
                      <w:szCs w:val="21"/>
                    </w:rPr>
                    <w:t>PM</w:t>
                  </w:r>
                  <w:r>
                    <w:rPr>
                      <w:szCs w:val="21"/>
                      <w:vertAlign w:val="subscript"/>
                    </w:rPr>
                    <w:t>10</w:t>
                  </w:r>
                </w:p>
              </w:tc>
              <w:tc>
                <w:tcPr>
                  <w:tcW w:w="2067" w:type="pct"/>
                  <w:tcBorders>
                    <w:tl2br w:val="nil"/>
                    <w:tr2bl w:val="nil"/>
                  </w:tcBorders>
                  <w:vAlign w:val="center"/>
                </w:tcPr>
                <w:p>
                  <w:pPr>
                    <w:topLinePunct/>
                    <w:adjustRightInd w:val="0"/>
                    <w:snapToGrid w:val="0"/>
                    <w:jc w:val="center"/>
                    <w:textAlignment w:val="center"/>
                    <w:rPr>
                      <w:szCs w:val="21"/>
                    </w:rPr>
                  </w:pPr>
                  <w:r>
                    <w:rPr>
                      <w:szCs w:val="21"/>
                    </w:rPr>
                    <w:t>年平均</w:t>
                  </w:r>
                </w:p>
              </w:tc>
              <w:tc>
                <w:tcPr>
                  <w:tcW w:w="718" w:type="pct"/>
                  <w:tcBorders>
                    <w:tl2br w:val="nil"/>
                    <w:tr2bl w:val="nil"/>
                  </w:tcBorders>
                  <w:vAlign w:val="center"/>
                </w:tcPr>
                <w:p>
                  <w:pPr>
                    <w:topLinePunct/>
                    <w:adjustRightInd w:val="0"/>
                    <w:snapToGrid w:val="0"/>
                    <w:jc w:val="center"/>
                    <w:textAlignment w:val="center"/>
                    <w:rPr>
                      <w:szCs w:val="21"/>
                    </w:rPr>
                  </w:pPr>
                  <w:r>
                    <w:rPr>
                      <w:szCs w:val="21"/>
                    </w:rPr>
                    <w:t>57</w:t>
                  </w:r>
                </w:p>
              </w:tc>
              <w:tc>
                <w:tcPr>
                  <w:tcW w:w="718" w:type="pct"/>
                  <w:tcBorders>
                    <w:tl2br w:val="nil"/>
                    <w:tr2bl w:val="nil"/>
                  </w:tcBorders>
                  <w:vAlign w:val="center"/>
                </w:tcPr>
                <w:p>
                  <w:pPr>
                    <w:topLinePunct/>
                    <w:adjustRightInd w:val="0"/>
                    <w:snapToGrid w:val="0"/>
                    <w:jc w:val="center"/>
                    <w:textAlignment w:val="center"/>
                    <w:rPr>
                      <w:szCs w:val="21"/>
                    </w:rPr>
                  </w:pPr>
                  <w:r>
                    <w:rPr>
                      <w:szCs w:val="21"/>
                    </w:rPr>
                    <w:t>70</w:t>
                  </w:r>
                </w:p>
              </w:tc>
              <w:tc>
                <w:tcPr>
                  <w:tcW w:w="545" w:type="pct"/>
                  <w:tcBorders>
                    <w:tl2br w:val="nil"/>
                    <w:tr2bl w:val="nil"/>
                  </w:tcBorders>
                  <w:vAlign w:val="center"/>
                </w:tcPr>
                <w:p>
                  <w:pPr>
                    <w:topLinePunct/>
                    <w:adjustRightInd w:val="0"/>
                    <w:snapToGrid w:val="0"/>
                    <w:jc w:val="center"/>
                    <w:textAlignment w:val="center"/>
                    <w:rPr>
                      <w:szCs w:val="21"/>
                    </w:rPr>
                  </w:pPr>
                  <w:r>
                    <w:rPr>
                      <w:szCs w:val="21"/>
                    </w:rPr>
                    <w:t>71.43</w:t>
                  </w:r>
                </w:p>
              </w:tc>
              <w:tc>
                <w:tcPr>
                  <w:tcW w:w="527" w:type="pct"/>
                  <w:tcBorders>
                    <w:tl2br w:val="nil"/>
                    <w:tr2bl w:val="nil"/>
                  </w:tcBorders>
                  <w:vAlign w:val="center"/>
                </w:tcPr>
                <w:p>
                  <w:pPr>
                    <w:topLinePunct/>
                    <w:adjustRightInd w:val="0"/>
                    <w:snapToGrid w:val="0"/>
                    <w:jc w:val="center"/>
                    <w:textAlignment w:val="center"/>
                    <w:rPr>
                      <w:szCs w:val="21"/>
                    </w:rPr>
                  </w:pPr>
                  <w:r>
                    <w:rPr>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vMerge w:val="continue"/>
                  <w:tcBorders>
                    <w:tl2br w:val="nil"/>
                    <w:tr2bl w:val="nil"/>
                  </w:tcBorders>
                  <w:vAlign w:val="center"/>
                </w:tcPr>
                <w:p>
                  <w:pPr>
                    <w:topLinePunct/>
                    <w:adjustRightInd w:val="0"/>
                    <w:snapToGrid w:val="0"/>
                    <w:jc w:val="center"/>
                    <w:textAlignment w:val="center"/>
                    <w:rPr>
                      <w:szCs w:val="21"/>
                    </w:rPr>
                  </w:pPr>
                </w:p>
              </w:tc>
              <w:tc>
                <w:tcPr>
                  <w:tcW w:w="2067" w:type="pct"/>
                  <w:tcBorders>
                    <w:tl2br w:val="nil"/>
                    <w:tr2bl w:val="nil"/>
                  </w:tcBorders>
                  <w:vAlign w:val="center"/>
                </w:tcPr>
                <w:p>
                  <w:pPr>
                    <w:topLinePunct/>
                    <w:adjustRightInd w:val="0"/>
                    <w:snapToGrid w:val="0"/>
                    <w:jc w:val="center"/>
                    <w:textAlignment w:val="center"/>
                    <w:rPr>
                      <w:szCs w:val="21"/>
                    </w:rPr>
                  </w:pPr>
                  <w:r>
                    <w:rPr>
                      <w:szCs w:val="21"/>
                    </w:rPr>
                    <w:t>24小时平均第95百分位数</w:t>
                  </w:r>
                </w:p>
              </w:tc>
              <w:tc>
                <w:tcPr>
                  <w:tcW w:w="718" w:type="pct"/>
                  <w:tcBorders>
                    <w:tl2br w:val="nil"/>
                    <w:tr2bl w:val="nil"/>
                  </w:tcBorders>
                  <w:vAlign w:val="center"/>
                </w:tcPr>
                <w:p>
                  <w:pPr>
                    <w:topLinePunct/>
                    <w:adjustRightInd w:val="0"/>
                    <w:snapToGrid w:val="0"/>
                    <w:jc w:val="center"/>
                    <w:textAlignment w:val="center"/>
                    <w:rPr>
                      <w:szCs w:val="21"/>
                    </w:rPr>
                  </w:pPr>
                  <w:r>
                    <w:rPr>
                      <w:szCs w:val="21"/>
                    </w:rPr>
                    <w:t>118</w:t>
                  </w:r>
                </w:p>
              </w:tc>
              <w:tc>
                <w:tcPr>
                  <w:tcW w:w="718" w:type="pct"/>
                  <w:tcBorders>
                    <w:tl2br w:val="nil"/>
                    <w:tr2bl w:val="nil"/>
                  </w:tcBorders>
                  <w:vAlign w:val="center"/>
                </w:tcPr>
                <w:p>
                  <w:pPr>
                    <w:topLinePunct/>
                    <w:adjustRightInd w:val="0"/>
                    <w:snapToGrid w:val="0"/>
                    <w:jc w:val="center"/>
                    <w:textAlignment w:val="center"/>
                    <w:rPr>
                      <w:szCs w:val="21"/>
                    </w:rPr>
                  </w:pPr>
                  <w:r>
                    <w:rPr>
                      <w:szCs w:val="21"/>
                    </w:rPr>
                    <w:t>150</w:t>
                  </w:r>
                </w:p>
              </w:tc>
              <w:tc>
                <w:tcPr>
                  <w:tcW w:w="545" w:type="pct"/>
                  <w:tcBorders>
                    <w:tl2br w:val="nil"/>
                    <w:tr2bl w:val="nil"/>
                  </w:tcBorders>
                  <w:vAlign w:val="center"/>
                </w:tcPr>
                <w:p>
                  <w:pPr>
                    <w:topLinePunct/>
                    <w:adjustRightInd w:val="0"/>
                    <w:snapToGrid w:val="0"/>
                    <w:jc w:val="center"/>
                    <w:textAlignment w:val="center"/>
                    <w:rPr>
                      <w:szCs w:val="21"/>
                    </w:rPr>
                  </w:pPr>
                  <w:r>
                    <w:rPr>
                      <w:szCs w:val="21"/>
                    </w:rPr>
                    <w:t>78.67</w:t>
                  </w:r>
                </w:p>
              </w:tc>
              <w:tc>
                <w:tcPr>
                  <w:tcW w:w="527" w:type="pct"/>
                  <w:tcBorders>
                    <w:tl2br w:val="nil"/>
                    <w:tr2bl w:val="nil"/>
                  </w:tcBorders>
                  <w:vAlign w:val="center"/>
                </w:tcPr>
                <w:p>
                  <w:pPr>
                    <w:topLinePunct/>
                    <w:adjustRightInd w:val="0"/>
                    <w:snapToGrid w:val="0"/>
                    <w:jc w:val="center"/>
                    <w:textAlignment w:val="center"/>
                    <w:rPr>
                      <w:szCs w:val="21"/>
                    </w:rPr>
                  </w:pPr>
                  <w:r>
                    <w:rPr>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vMerge w:val="restart"/>
                  <w:tcBorders>
                    <w:tl2br w:val="nil"/>
                    <w:tr2bl w:val="nil"/>
                  </w:tcBorders>
                  <w:vAlign w:val="center"/>
                </w:tcPr>
                <w:p>
                  <w:pPr>
                    <w:topLinePunct/>
                    <w:adjustRightInd w:val="0"/>
                    <w:snapToGrid w:val="0"/>
                    <w:jc w:val="center"/>
                    <w:textAlignment w:val="center"/>
                    <w:rPr>
                      <w:szCs w:val="21"/>
                    </w:rPr>
                  </w:pPr>
                  <w:r>
                    <w:rPr>
                      <w:szCs w:val="21"/>
                    </w:rPr>
                    <w:t>PM</w:t>
                  </w:r>
                  <w:r>
                    <w:rPr>
                      <w:szCs w:val="21"/>
                      <w:vertAlign w:val="subscript"/>
                    </w:rPr>
                    <w:t>2.5</w:t>
                  </w:r>
                </w:p>
              </w:tc>
              <w:tc>
                <w:tcPr>
                  <w:tcW w:w="2067" w:type="pct"/>
                  <w:tcBorders>
                    <w:tl2br w:val="nil"/>
                    <w:tr2bl w:val="nil"/>
                  </w:tcBorders>
                  <w:vAlign w:val="center"/>
                </w:tcPr>
                <w:p>
                  <w:pPr>
                    <w:topLinePunct/>
                    <w:adjustRightInd w:val="0"/>
                    <w:snapToGrid w:val="0"/>
                    <w:jc w:val="center"/>
                    <w:textAlignment w:val="center"/>
                    <w:rPr>
                      <w:szCs w:val="21"/>
                    </w:rPr>
                  </w:pPr>
                  <w:r>
                    <w:rPr>
                      <w:szCs w:val="21"/>
                    </w:rPr>
                    <w:t>年平均</w:t>
                  </w:r>
                </w:p>
              </w:tc>
              <w:tc>
                <w:tcPr>
                  <w:tcW w:w="718" w:type="pct"/>
                  <w:tcBorders>
                    <w:tl2br w:val="nil"/>
                    <w:tr2bl w:val="nil"/>
                  </w:tcBorders>
                  <w:vAlign w:val="center"/>
                </w:tcPr>
                <w:p>
                  <w:pPr>
                    <w:topLinePunct/>
                    <w:adjustRightInd w:val="0"/>
                    <w:snapToGrid w:val="0"/>
                    <w:jc w:val="center"/>
                    <w:textAlignment w:val="center"/>
                    <w:rPr>
                      <w:szCs w:val="21"/>
                    </w:rPr>
                  </w:pPr>
                  <w:r>
                    <w:rPr>
                      <w:szCs w:val="21"/>
                    </w:rPr>
                    <w:t>37</w:t>
                  </w:r>
                </w:p>
              </w:tc>
              <w:tc>
                <w:tcPr>
                  <w:tcW w:w="718" w:type="pct"/>
                  <w:tcBorders>
                    <w:tl2br w:val="nil"/>
                    <w:tr2bl w:val="nil"/>
                  </w:tcBorders>
                  <w:vAlign w:val="center"/>
                </w:tcPr>
                <w:p>
                  <w:pPr>
                    <w:topLinePunct/>
                    <w:adjustRightInd w:val="0"/>
                    <w:snapToGrid w:val="0"/>
                    <w:jc w:val="center"/>
                    <w:textAlignment w:val="center"/>
                    <w:rPr>
                      <w:szCs w:val="21"/>
                    </w:rPr>
                  </w:pPr>
                  <w:r>
                    <w:rPr>
                      <w:szCs w:val="21"/>
                    </w:rPr>
                    <w:t>35</w:t>
                  </w:r>
                </w:p>
              </w:tc>
              <w:tc>
                <w:tcPr>
                  <w:tcW w:w="545" w:type="pct"/>
                  <w:tcBorders>
                    <w:tl2br w:val="nil"/>
                    <w:tr2bl w:val="nil"/>
                  </w:tcBorders>
                  <w:vAlign w:val="center"/>
                </w:tcPr>
                <w:p>
                  <w:pPr>
                    <w:topLinePunct/>
                    <w:adjustRightInd w:val="0"/>
                    <w:snapToGrid w:val="0"/>
                    <w:jc w:val="center"/>
                    <w:textAlignment w:val="center"/>
                    <w:rPr>
                      <w:szCs w:val="21"/>
                    </w:rPr>
                  </w:pPr>
                  <w:r>
                    <w:rPr>
                      <w:szCs w:val="21"/>
                    </w:rPr>
                    <w:t>105.71</w:t>
                  </w:r>
                </w:p>
              </w:tc>
              <w:tc>
                <w:tcPr>
                  <w:tcW w:w="527" w:type="pct"/>
                  <w:tcBorders>
                    <w:tl2br w:val="nil"/>
                    <w:tr2bl w:val="nil"/>
                  </w:tcBorders>
                  <w:vAlign w:val="center"/>
                </w:tcPr>
                <w:p>
                  <w:pPr>
                    <w:topLinePunct/>
                    <w:adjustRightInd w:val="0"/>
                    <w:snapToGrid w:val="0"/>
                    <w:jc w:val="center"/>
                    <w:textAlignment w:val="center"/>
                    <w:rPr>
                      <w:szCs w:val="21"/>
                    </w:rPr>
                  </w:pPr>
                  <w:r>
                    <w:rPr>
                      <w:szCs w:val="21"/>
                    </w:rPr>
                    <w:t>不达标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vMerge w:val="continue"/>
                  <w:tcBorders>
                    <w:tl2br w:val="nil"/>
                    <w:tr2bl w:val="nil"/>
                  </w:tcBorders>
                  <w:vAlign w:val="center"/>
                </w:tcPr>
                <w:p>
                  <w:pPr>
                    <w:topLinePunct/>
                    <w:adjustRightInd w:val="0"/>
                    <w:snapToGrid w:val="0"/>
                    <w:jc w:val="center"/>
                    <w:textAlignment w:val="center"/>
                    <w:rPr>
                      <w:szCs w:val="21"/>
                    </w:rPr>
                  </w:pPr>
                </w:p>
              </w:tc>
              <w:tc>
                <w:tcPr>
                  <w:tcW w:w="2067" w:type="pct"/>
                  <w:tcBorders>
                    <w:tl2br w:val="nil"/>
                    <w:tr2bl w:val="nil"/>
                  </w:tcBorders>
                  <w:vAlign w:val="center"/>
                </w:tcPr>
                <w:p>
                  <w:pPr>
                    <w:topLinePunct/>
                    <w:adjustRightInd w:val="0"/>
                    <w:snapToGrid w:val="0"/>
                    <w:jc w:val="center"/>
                    <w:textAlignment w:val="center"/>
                    <w:rPr>
                      <w:szCs w:val="21"/>
                    </w:rPr>
                  </w:pPr>
                  <w:r>
                    <w:rPr>
                      <w:szCs w:val="21"/>
                    </w:rPr>
                    <w:t>24小时平均第95百分位数</w:t>
                  </w:r>
                </w:p>
              </w:tc>
              <w:tc>
                <w:tcPr>
                  <w:tcW w:w="718" w:type="pct"/>
                  <w:tcBorders>
                    <w:tl2br w:val="nil"/>
                    <w:tr2bl w:val="nil"/>
                  </w:tcBorders>
                  <w:vAlign w:val="center"/>
                </w:tcPr>
                <w:p>
                  <w:pPr>
                    <w:topLinePunct/>
                    <w:adjustRightInd w:val="0"/>
                    <w:snapToGrid w:val="0"/>
                    <w:jc w:val="center"/>
                    <w:textAlignment w:val="center"/>
                    <w:rPr>
                      <w:szCs w:val="21"/>
                    </w:rPr>
                  </w:pPr>
                  <w:r>
                    <w:rPr>
                      <w:szCs w:val="21"/>
                    </w:rPr>
                    <w:t>95</w:t>
                  </w:r>
                </w:p>
              </w:tc>
              <w:tc>
                <w:tcPr>
                  <w:tcW w:w="718" w:type="pct"/>
                  <w:tcBorders>
                    <w:tl2br w:val="nil"/>
                    <w:tr2bl w:val="nil"/>
                  </w:tcBorders>
                  <w:vAlign w:val="center"/>
                </w:tcPr>
                <w:p>
                  <w:pPr>
                    <w:topLinePunct/>
                    <w:adjustRightInd w:val="0"/>
                    <w:snapToGrid w:val="0"/>
                    <w:jc w:val="center"/>
                    <w:textAlignment w:val="center"/>
                    <w:rPr>
                      <w:szCs w:val="21"/>
                    </w:rPr>
                  </w:pPr>
                  <w:r>
                    <w:rPr>
                      <w:szCs w:val="21"/>
                    </w:rPr>
                    <w:t>75</w:t>
                  </w:r>
                </w:p>
              </w:tc>
              <w:tc>
                <w:tcPr>
                  <w:tcW w:w="545" w:type="pct"/>
                  <w:tcBorders>
                    <w:tl2br w:val="nil"/>
                    <w:tr2bl w:val="nil"/>
                  </w:tcBorders>
                  <w:vAlign w:val="center"/>
                </w:tcPr>
                <w:p>
                  <w:pPr>
                    <w:topLinePunct/>
                    <w:adjustRightInd w:val="0"/>
                    <w:snapToGrid w:val="0"/>
                    <w:jc w:val="center"/>
                    <w:textAlignment w:val="center"/>
                    <w:rPr>
                      <w:szCs w:val="21"/>
                    </w:rPr>
                  </w:pPr>
                  <w:r>
                    <w:rPr>
                      <w:szCs w:val="21"/>
                    </w:rPr>
                    <w:t>126.67</w:t>
                  </w:r>
                </w:p>
              </w:tc>
              <w:tc>
                <w:tcPr>
                  <w:tcW w:w="527" w:type="pct"/>
                  <w:tcBorders>
                    <w:tl2br w:val="nil"/>
                    <w:tr2bl w:val="nil"/>
                  </w:tcBorders>
                  <w:vAlign w:val="center"/>
                </w:tcPr>
                <w:p>
                  <w:pPr>
                    <w:topLinePunct/>
                    <w:adjustRightInd w:val="0"/>
                    <w:snapToGrid w:val="0"/>
                    <w:jc w:val="center"/>
                    <w:textAlignment w:val="center"/>
                    <w:rPr>
                      <w:szCs w:val="21"/>
                    </w:rPr>
                  </w:pPr>
                  <w:r>
                    <w:rPr>
                      <w:szCs w:val="21"/>
                    </w:rPr>
                    <w:t>不达标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5" w:type="pct"/>
                  <w:tcBorders>
                    <w:bottom w:val="single" w:color="000000" w:sz="4" w:space="0"/>
                    <w:tl2br w:val="nil"/>
                    <w:tr2bl w:val="nil"/>
                  </w:tcBorders>
                  <w:vAlign w:val="center"/>
                </w:tcPr>
                <w:p>
                  <w:pPr>
                    <w:topLinePunct/>
                    <w:adjustRightInd w:val="0"/>
                    <w:snapToGrid w:val="0"/>
                    <w:jc w:val="center"/>
                    <w:textAlignment w:val="center"/>
                    <w:rPr>
                      <w:szCs w:val="21"/>
                    </w:rPr>
                  </w:pPr>
                  <w:r>
                    <w:rPr>
                      <w:szCs w:val="21"/>
                    </w:rPr>
                    <w:t>CO</w:t>
                  </w:r>
                </w:p>
              </w:tc>
              <w:tc>
                <w:tcPr>
                  <w:tcW w:w="2067" w:type="pct"/>
                  <w:tcBorders>
                    <w:bottom w:val="single" w:color="000000" w:sz="4" w:space="0"/>
                    <w:tl2br w:val="nil"/>
                    <w:tr2bl w:val="nil"/>
                  </w:tcBorders>
                  <w:vAlign w:val="center"/>
                </w:tcPr>
                <w:p>
                  <w:pPr>
                    <w:topLinePunct/>
                    <w:adjustRightInd w:val="0"/>
                    <w:snapToGrid w:val="0"/>
                    <w:jc w:val="center"/>
                    <w:textAlignment w:val="center"/>
                    <w:rPr>
                      <w:szCs w:val="21"/>
                    </w:rPr>
                  </w:pPr>
                  <w:r>
                    <w:rPr>
                      <w:szCs w:val="21"/>
                    </w:rPr>
                    <w:t>24小时平均第95百分位数</w:t>
                  </w:r>
                </w:p>
              </w:tc>
              <w:tc>
                <w:tcPr>
                  <w:tcW w:w="718" w:type="pct"/>
                  <w:tcBorders>
                    <w:bottom w:val="single" w:color="000000" w:sz="4" w:space="0"/>
                    <w:tl2br w:val="nil"/>
                    <w:tr2bl w:val="nil"/>
                  </w:tcBorders>
                  <w:vAlign w:val="center"/>
                </w:tcPr>
                <w:p>
                  <w:pPr>
                    <w:topLinePunct/>
                    <w:adjustRightInd w:val="0"/>
                    <w:snapToGrid w:val="0"/>
                    <w:jc w:val="center"/>
                    <w:textAlignment w:val="center"/>
                    <w:rPr>
                      <w:szCs w:val="21"/>
                    </w:rPr>
                  </w:pPr>
                  <w:r>
                    <w:rPr>
                      <w:szCs w:val="21"/>
                    </w:rPr>
                    <w:t>1200</w:t>
                  </w:r>
                </w:p>
              </w:tc>
              <w:tc>
                <w:tcPr>
                  <w:tcW w:w="718" w:type="pct"/>
                  <w:tcBorders>
                    <w:bottom w:val="single" w:color="000000" w:sz="4" w:space="0"/>
                    <w:tl2br w:val="nil"/>
                    <w:tr2bl w:val="nil"/>
                  </w:tcBorders>
                  <w:vAlign w:val="center"/>
                </w:tcPr>
                <w:p>
                  <w:pPr>
                    <w:topLinePunct/>
                    <w:adjustRightInd w:val="0"/>
                    <w:snapToGrid w:val="0"/>
                    <w:jc w:val="center"/>
                    <w:textAlignment w:val="center"/>
                    <w:rPr>
                      <w:szCs w:val="21"/>
                    </w:rPr>
                  </w:pPr>
                  <w:r>
                    <w:rPr>
                      <w:szCs w:val="21"/>
                    </w:rPr>
                    <w:t>4000</w:t>
                  </w:r>
                </w:p>
              </w:tc>
              <w:tc>
                <w:tcPr>
                  <w:tcW w:w="545" w:type="pct"/>
                  <w:tcBorders>
                    <w:bottom w:val="single" w:color="000000" w:sz="4" w:space="0"/>
                    <w:tl2br w:val="nil"/>
                    <w:tr2bl w:val="nil"/>
                  </w:tcBorders>
                  <w:vAlign w:val="center"/>
                </w:tcPr>
                <w:p>
                  <w:pPr>
                    <w:topLinePunct/>
                    <w:adjustRightInd w:val="0"/>
                    <w:snapToGrid w:val="0"/>
                    <w:jc w:val="center"/>
                    <w:textAlignment w:val="center"/>
                    <w:rPr>
                      <w:szCs w:val="21"/>
                    </w:rPr>
                  </w:pPr>
                  <w:r>
                    <w:rPr>
                      <w:szCs w:val="21"/>
                    </w:rPr>
                    <w:t>30.00</w:t>
                  </w:r>
                </w:p>
              </w:tc>
              <w:tc>
                <w:tcPr>
                  <w:tcW w:w="527" w:type="pct"/>
                  <w:tcBorders>
                    <w:bottom w:val="single" w:color="000000" w:sz="4" w:space="0"/>
                    <w:tl2br w:val="nil"/>
                    <w:tr2bl w:val="nil"/>
                  </w:tcBorders>
                  <w:vAlign w:val="center"/>
                </w:tcPr>
                <w:p>
                  <w:pPr>
                    <w:topLinePunct/>
                    <w:adjustRightInd w:val="0"/>
                    <w:snapToGrid w:val="0"/>
                    <w:jc w:val="center"/>
                    <w:textAlignment w:val="center"/>
                    <w:rPr>
                      <w:szCs w:val="21"/>
                    </w:rPr>
                  </w:pPr>
                  <w:r>
                    <w:rPr>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0" w:hRule="atLeast"/>
                <w:jc w:val="center"/>
              </w:trPr>
              <w:tc>
                <w:tcPr>
                  <w:tcW w:w="425" w:type="pct"/>
                  <w:tcBorders>
                    <w:top w:val="single" w:color="000000" w:sz="4" w:space="0"/>
                    <w:bottom w:val="single" w:color="000000" w:sz="12" w:space="0"/>
                    <w:right w:val="single" w:color="000000" w:sz="4" w:space="0"/>
                    <w:tl2br w:val="nil"/>
                    <w:tr2bl w:val="nil"/>
                  </w:tcBorders>
                  <w:vAlign w:val="center"/>
                </w:tcPr>
                <w:p>
                  <w:pPr>
                    <w:topLinePunct/>
                    <w:adjustRightInd w:val="0"/>
                    <w:snapToGrid w:val="0"/>
                    <w:jc w:val="center"/>
                    <w:textAlignment w:val="center"/>
                    <w:rPr>
                      <w:szCs w:val="21"/>
                    </w:rPr>
                  </w:pPr>
                  <w:r>
                    <w:rPr>
                      <w:szCs w:val="21"/>
                    </w:rPr>
                    <w:t>O</w:t>
                  </w:r>
                  <w:r>
                    <w:rPr>
                      <w:szCs w:val="21"/>
                      <w:vertAlign w:val="subscript"/>
                    </w:rPr>
                    <w:t>3</w:t>
                  </w:r>
                </w:p>
              </w:tc>
              <w:tc>
                <w:tcPr>
                  <w:tcW w:w="2067" w:type="pct"/>
                  <w:tcBorders>
                    <w:top w:val="single" w:color="000000" w:sz="4" w:space="0"/>
                    <w:left w:val="single" w:color="000000" w:sz="4" w:space="0"/>
                    <w:bottom w:val="single" w:color="000000" w:sz="12" w:space="0"/>
                    <w:right w:val="single" w:color="000000" w:sz="4" w:space="0"/>
                    <w:tl2br w:val="nil"/>
                    <w:tr2bl w:val="nil"/>
                  </w:tcBorders>
                  <w:vAlign w:val="center"/>
                </w:tcPr>
                <w:p>
                  <w:pPr>
                    <w:topLinePunct/>
                    <w:adjustRightInd w:val="0"/>
                    <w:snapToGrid w:val="0"/>
                    <w:jc w:val="center"/>
                    <w:textAlignment w:val="center"/>
                    <w:rPr>
                      <w:szCs w:val="21"/>
                    </w:rPr>
                  </w:pPr>
                  <w:r>
                    <w:rPr>
                      <w:szCs w:val="21"/>
                    </w:rPr>
                    <w:t>日最大8小时平均值第90百分位数</w:t>
                  </w:r>
                </w:p>
              </w:tc>
              <w:tc>
                <w:tcPr>
                  <w:tcW w:w="718" w:type="pct"/>
                  <w:tcBorders>
                    <w:top w:val="single" w:color="000000" w:sz="4" w:space="0"/>
                    <w:left w:val="single" w:color="000000" w:sz="4" w:space="0"/>
                    <w:bottom w:val="single" w:color="000000" w:sz="12" w:space="0"/>
                    <w:right w:val="single" w:color="000000" w:sz="4" w:space="0"/>
                    <w:tl2br w:val="nil"/>
                    <w:tr2bl w:val="nil"/>
                  </w:tcBorders>
                  <w:vAlign w:val="center"/>
                </w:tcPr>
                <w:p>
                  <w:pPr>
                    <w:topLinePunct/>
                    <w:adjustRightInd w:val="0"/>
                    <w:snapToGrid w:val="0"/>
                    <w:jc w:val="center"/>
                    <w:textAlignment w:val="center"/>
                    <w:rPr>
                      <w:szCs w:val="21"/>
                    </w:rPr>
                  </w:pPr>
                  <w:r>
                    <w:rPr>
                      <w:szCs w:val="21"/>
                    </w:rPr>
                    <w:t>128</w:t>
                  </w:r>
                </w:p>
              </w:tc>
              <w:tc>
                <w:tcPr>
                  <w:tcW w:w="718" w:type="pct"/>
                  <w:tcBorders>
                    <w:top w:val="single" w:color="000000" w:sz="4" w:space="0"/>
                    <w:left w:val="single" w:color="000000" w:sz="4" w:space="0"/>
                    <w:bottom w:val="single" w:color="000000" w:sz="12" w:space="0"/>
                    <w:right w:val="single" w:color="000000" w:sz="4" w:space="0"/>
                    <w:tl2br w:val="nil"/>
                    <w:tr2bl w:val="nil"/>
                  </w:tcBorders>
                  <w:vAlign w:val="center"/>
                </w:tcPr>
                <w:p>
                  <w:pPr>
                    <w:topLinePunct/>
                    <w:adjustRightInd w:val="0"/>
                    <w:snapToGrid w:val="0"/>
                    <w:jc w:val="center"/>
                    <w:textAlignment w:val="center"/>
                    <w:rPr>
                      <w:szCs w:val="21"/>
                    </w:rPr>
                  </w:pPr>
                  <w:r>
                    <w:rPr>
                      <w:szCs w:val="21"/>
                    </w:rPr>
                    <w:t>160</w:t>
                  </w:r>
                </w:p>
              </w:tc>
              <w:tc>
                <w:tcPr>
                  <w:tcW w:w="545" w:type="pct"/>
                  <w:tcBorders>
                    <w:top w:val="single" w:color="000000" w:sz="4" w:space="0"/>
                    <w:left w:val="single" w:color="000000" w:sz="4" w:space="0"/>
                    <w:bottom w:val="single" w:color="000000" w:sz="12" w:space="0"/>
                    <w:right w:val="single" w:color="000000" w:sz="4" w:space="0"/>
                    <w:tl2br w:val="nil"/>
                    <w:tr2bl w:val="nil"/>
                  </w:tcBorders>
                  <w:vAlign w:val="center"/>
                </w:tcPr>
                <w:p>
                  <w:pPr>
                    <w:topLinePunct/>
                    <w:adjustRightInd w:val="0"/>
                    <w:snapToGrid w:val="0"/>
                    <w:jc w:val="center"/>
                    <w:textAlignment w:val="center"/>
                    <w:rPr>
                      <w:szCs w:val="21"/>
                    </w:rPr>
                  </w:pPr>
                  <w:r>
                    <w:rPr>
                      <w:szCs w:val="21"/>
                    </w:rPr>
                    <w:t>80.00</w:t>
                  </w:r>
                </w:p>
              </w:tc>
              <w:tc>
                <w:tcPr>
                  <w:tcW w:w="527" w:type="pct"/>
                  <w:tcBorders>
                    <w:top w:val="single" w:color="000000" w:sz="4" w:space="0"/>
                    <w:left w:val="single" w:color="000000" w:sz="4" w:space="0"/>
                    <w:bottom w:val="single" w:color="000000" w:sz="12" w:space="0"/>
                    <w:tl2br w:val="nil"/>
                    <w:tr2bl w:val="nil"/>
                  </w:tcBorders>
                  <w:vAlign w:val="center"/>
                </w:tcPr>
                <w:p>
                  <w:pPr>
                    <w:topLinePunct/>
                    <w:adjustRightInd w:val="0"/>
                    <w:snapToGrid w:val="0"/>
                    <w:jc w:val="center"/>
                    <w:textAlignment w:val="center"/>
                    <w:rPr>
                      <w:szCs w:val="21"/>
                    </w:rPr>
                  </w:pPr>
                  <w:r>
                    <w:rPr>
                      <w:szCs w:val="21"/>
                    </w:rPr>
                    <w:t>达标</w:t>
                  </w:r>
                </w:p>
              </w:tc>
            </w:tr>
          </w:tbl>
          <w:p>
            <w:pPr>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注：按照《环境空气质量评价技术规范（试行）》（HJ663-2013），二氧化氮、二氧化硫X为98，PM</w:t>
            </w:r>
            <w:r>
              <w:rPr>
                <w:rFonts w:hint="default" w:ascii="Times New Roman" w:hAnsi="Times New Roman" w:eastAsia="宋体" w:cs="Times New Roman"/>
                <w:color w:val="auto"/>
                <w:szCs w:val="21"/>
                <w:vertAlign w:val="subscript"/>
              </w:rPr>
              <w:t>2.5</w:t>
            </w:r>
            <w:r>
              <w:rPr>
                <w:rFonts w:hint="default" w:ascii="Times New Roman" w:hAnsi="Times New Roman" w:eastAsia="宋体" w:cs="Times New Roman"/>
                <w:color w:val="auto"/>
                <w:szCs w:val="21"/>
              </w:rPr>
              <w:t>、PM</w:t>
            </w:r>
            <w:r>
              <w:rPr>
                <w:rFonts w:hint="default" w:ascii="Times New Roman" w:hAnsi="Times New Roman" w:eastAsia="宋体" w:cs="Times New Roman"/>
                <w:color w:val="auto"/>
                <w:szCs w:val="21"/>
                <w:vertAlign w:val="subscript"/>
              </w:rPr>
              <w:t>10</w:t>
            </w:r>
            <w:r>
              <w:rPr>
                <w:rFonts w:hint="default" w:ascii="Times New Roman" w:hAnsi="Times New Roman" w:eastAsia="宋体" w:cs="Times New Roman"/>
                <w:color w:val="auto"/>
                <w:szCs w:val="21"/>
              </w:rPr>
              <w:t>、一氧化碳X为95，臭氧日最大8小时平均X为90。</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由上表可知，除PM</w:t>
            </w:r>
            <w:r>
              <w:rPr>
                <w:rFonts w:hint="default" w:ascii="Times New Roman" w:hAnsi="Times New Roman" w:eastAsia="宋体" w:cs="Times New Roman"/>
                <w:color w:val="auto"/>
                <w:sz w:val="24"/>
                <w:vertAlign w:val="subscript"/>
              </w:rPr>
              <w:t>2.5</w:t>
            </w:r>
            <w:r>
              <w:rPr>
                <w:rFonts w:hint="default" w:ascii="Times New Roman" w:hAnsi="Times New Roman" w:eastAsia="宋体" w:cs="Times New Roman"/>
                <w:snapToGrid w:val="0"/>
                <w:color w:val="auto"/>
                <w:sz w:val="24"/>
              </w:rPr>
              <w:t>年平均质量浓度</w:t>
            </w:r>
            <w:r>
              <w:rPr>
                <w:rFonts w:hint="default" w:ascii="Times New Roman" w:hAnsi="Times New Roman" w:eastAsia="宋体" w:cs="Times New Roman"/>
                <w:color w:val="auto"/>
                <w:sz w:val="24"/>
              </w:rPr>
              <w:t>、</w:t>
            </w:r>
            <w:r>
              <w:rPr>
                <w:rFonts w:hint="default" w:ascii="Times New Roman" w:hAnsi="Times New Roman" w:eastAsia="宋体" w:cs="Times New Roman"/>
                <w:snapToGrid w:val="0"/>
                <w:color w:val="auto"/>
                <w:sz w:val="24"/>
              </w:rPr>
              <w:t>第95位百分位数24小时平均浓度值不能达到《环境空气质量标准》（GB3095-2012）二级浓度限值外，其他基本因子均能达到《环境空气质量标准》（GB3095-2012）及其修改单二级浓度限值要求，综上所述，</w:t>
            </w:r>
            <w:r>
              <w:rPr>
                <w:rFonts w:hint="default" w:ascii="Times New Roman" w:hAnsi="Times New Roman" w:eastAsia="宋体" w:cs="Times New Roman"/>
                <w:color w:val="auto"/>
                <w:sz w:val="24"/>
              </w:rPr>
              <w:t>本项目区域为环境空气质量不达标区。</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lang w:val="en-US" w:eastAsia="zh-CN"/>
              </w:rPr>
            </w:pPr>
            <w:r>
              <w:rPr>
                <w:rFonts w:hint="eastAsia" w:cs="Times New Roman"/>
                <w:color w:val="auto"/>
                <w:sz w:val="24"/>
                <w:lang w:eastAsia="zh-CN"/>
              </w:rPr>
              <w:t>（</w:t>
            </w:r>
            <w:r>
              <w:rPr>
                <w:rFonts w:hint="eastAsia" w:cs="Times New Roman"/>
                <w:color w:val="auto"/>
                <w:sz w:val="24"/>
                <w:lang w:val="en-US" w:eastAsia="zh-CN"/>
              </w:rPr>
              <w:t>2</w:t>
            </w:r>
            <w:r>
              <w:rPr>
                <w:rFonts w:hint="eastAsia" w:cs="Times New Roman"/>
                <w:color w:val="auto"/>
                <w:sz w:val="24"/>
                <w:lang w:eastAsia="zh-CN"/>
              </w:rPr>
              <w:t>）</w:t>
            </w:r>
            <w:r>
              <w:rPr>
                <w:rFonts w:hint="eastAsia" w:cs="Times New Roman"/>
                <w:color w:val="auto"/>
                <w:sz w:val="24"/>
                <w:lang w:val="en-US" w:eastAsia="zh-CN"/>
              </w:rPr>
              <w:t>其他污染物环境空气质量现状评价</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本项目的其他污染物为TSP、汞、硫酸雾，项目</w:t>
            </w:r>
            <w:r>
              <w:rPr>
                <w:rFonts w:hint="eastAsia" w:cs="Times New Roman"/>
                <w:color w:val="000000" w:themeColor="text1"/>
                <w:sz w:val="24"/>
                <w:lang w:val="en-US" w:eastAsia="zh-CN"/>
                <w14:textFill>
                  <w14:solidFill>
                    <w14:schemeClr w14:val="tx1"/>
                  </w14:solidFill>
                </w14:textFill>
              </w:rPr>
              <w:t>委托黑龙江环羽新晨检测有限公司于2023年2月3日~2月9日对项目所在区域进行监测。</w:t>
            </w:r>
            <w:r>
              <w:rPr>
                <w:color w:val="000000" w:themeColor="text1"/>
                <w:sz w:val="24"/>
                <w14:textFill>
                  <w14:solidFill>
                    <w14:schemeClr w14:val="tx1"/>
                  </w14:solidFill>
                </w14:textFill>
              </w:rPr>
              <w:t>本项目环境空气现状监测共布设2个监测点。具体监测点位及监测因</w:t>
            </w:r>
            <w:r>
              <w:rPr>
                <w:sz w:val="24"/>
              </w:rPr>
              <w:t>子见表3-2</w:t>
            </w:r>
            <w:r>
              <w:rPr>
                <w:rFonts w:hint="eastAsia"/>
                <w:sz w:val="24"/>
              </w:rPr>
              <w:t>、图3</w:t>
            </w:r>
            <w:r>
              <w:rPr>
                <w:sz w:val="24"/>
              </w:rPr>
              <w:t>-1</w:t>
            </w:r>
            <w:r>
              <w:rPr>
                <w:rFonts w:hint="eastAsia" w:cs="Times New Roman"/>
                <w:color w:val="auto"/>
                <w:sz w:val="24"/>
                <w:lang w:val="en-US" w:eastAsia="zh-CN"/>
              </w:rPr>
              <w:t>，评价结果见表3-3。</w:t>
            </w:r>
          </w:p>
          <w:p>
            <w:pPr>
              <w:wordWrap w:val="0"/>
              <w:jc w:val="center"/>
              <w:rPr>
                <w:b/>
                <w:color w:val="auto"/>
                <w:sz w:val="24"/>
              </w:rPr>
            </w:pPr>
            <w:r>
              <w:rPr>
                <w:rFonts w:hint="eastAsia"/>
                <w:b/>
                <w:color w:val="auto"/>
                <w:sz w:val="24"/>
              </w:rPr>
              <w:t>表</w:t>
            </w:r>
            <w:r>
              <w:rPr>
                <w:b/>
                <w:color w:val="auto"/>
                <w:sz w:val="24"/>
              </w:rPr>
              <w:t xml:space="preserve">3-2  </w:t>
            </w:r>
            <w:r>
              <w:rPr>
                <w:rFonts w:hint="eastAsia"/>
                <w:b/>
                <w:color w:val="auto"/>
                <w:sz w:val="24"/>
              </w:rPr>
              <w:t>补充监测点位基本信息</w:t>
            </w:r>
          </w:p>
          <w:tbl>
            <w:tblPr>
              <w:tblStyle w:val="18"/>
              <w:tblW w:w="79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470"/>
              <w:gridCol w:w="1365"/>
              <w:gridCol w:w="960"/>
              <w:gridCol w:w="885"/>
              <w:gridCol w:w="975"/>
              <w:gridCol w:w="10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52" w:type="dxa"/>
                  <w:vMerge w:val="restart"/>
                  <w:noWrap w:val="0"/>
                  <w:vAlign w:val="center"/>
                </w:tcPr>
                <w:p>
                  <w:pPr>
                    <w:widowControl/>
                    <w:jc w:val="center"/>
                    <w:rPr>
                      <w:color w:val="auto"/>
                      <w:kern w:val="0"/>
                      <w:sz w:val="21"/>
                      <w:szCs w:val="21"/>
                    </w:rPr>
                  </w:pPr>
                  <w:r>
                    <w:rPr>
                      <w:color w:val="auto"/>
                      <w:kern w:val="0"/>
                      <w:sz w:val="21"/>
                      <w:szCs w:val="21"/>
                    </w:rPr>
                    <w:t>监测点名称</w:t>
                  </w:r>
                </w:p>
              </w:tc>
              <w:tc>
                <w:tcPr>
                  <w:tcW w:w="2835" w:type="dxa"/>
                  <w:gridSpan w:val="2"/>
                  <w:noWrap w:val="0"/>
                  <w:vAlign w:val="center"/>
                </w:tcPr>
                <w:p>
                  <w:pPr>
                    <w:jc w:val="center"/>
                    <w:rPr>
                      <w:rFonts w:hint="eastAsia"/>
                      <w:color w:val="auto"/>
                      <w:kern w:val="0"/>
                      <w:sz w:val="21"/>
                      <w:szCs w:val="21"/>
                    </w:rPr>
                  </w:pPr>
                  <w:r>
                    <w:rPr>
                      <w:color w:val="auto"/>
                      <w:kern w:val="0"/>
                      <w:sz w:val="21"/>
                      <w:szCs w:val="21"/>
                    </w:rPr>
                    <w:t>监测点坐标/</w:t>
                  </w:r>
                  <w:r>
                    <w:rPr>
                      <w:rFonts w:hint="eastAsia"/>
                      <w:color w:val="auto"/>
                      <w:kern w:val="0"/>
                      <w:sz w:val="21"/>
                      <w:szCs w:val="21"/>
                    </w:rPr>
                    <w:t>°</w:t>
                  </w:r>
                </w:p>
              </w:tc>
              <w:tc>
                <w:tcPr>
                  <w:tcW w:w="960" w:type="dxa"/>
                  <w:vMerge w:val="restart"/>
                  <w:noWrap w:val="0"/>
                  <w:vAlign w:val="center"/>
                </w:tcPr>
                <w:p>
                  <w:pPr>
                    <w:widowControl/>
                    <w:jc w:val="center"/>
                    <w:rPr>
                      <w:color w:val="auto"/>
                      <w:kern w:val="0"/>
                      <w:sz w:val="21"/>
                      <w:szCs w:val="21"/>
                    </w:rPr>
                  </w:pPr>
                  <w:r>
                    <w:rPr>
                      <w:color w:val="auto"/>
                      <w:kern w:val="0"/>
                      <w:sz w:val="21"/>
                      <w:szCs w:val="21"/>
                    </w:rPr>
                    <w:t>监测因子</w:t>
                  </w:r>
                </w:p>
              </w:tc>
              <w:tc>
                <w:tcPr>
                  <w:tcW w:w="885" w:type="dxa"/>
                  <w:vMerge w:val="restart"/>
                  <w:noWrap w:val="0"/>
                  <w:vAlign w:val="center"/>
                </w:tcPr>
                <w:p>
                  <w:pPr>
                    <w:widowControl/>
                    <w:jc w:val="center"/>
                    <w:rPr>
                      <w:color w:val="auto"/>
                      <w:kern w:val="0"/>
                      <w:sz w:val="21"/>
                      <w:szCs w:val="21"/>
                    </w:rPr>
                  </w:pPr>
                  <w:r>
                    <w:rPr>
                      <w:color w:val="auto"/>
                      <w:kern w:val="0"/>
                      <w:sz w:val="21"/>
                      <w:szCs w:val="21"/>
                    </w:rPr>
                    <w:t>监测时段</w:t>
                  </w:r>
                </w:p>
              </w:tc>
              <w:tc>
                <w:tcPr>
                  <w:tcW w:w="975" w:type="dxa"/>
                  <w:vMerge w:val="restart"/>
                  <w:noWrap w:val="0"/>
                  <w:vAlign w:val="center"/>
                </w:tcPr>
                <w:p>
                  <w:pPr>
                    <w:widowControl/>
                    <w:jc w:val="center"/>
                    <w:rPr>
                      <w:color w:val="auto"/>
                      <w:kern w:val="0"/>
                      <w:sz w:val="21"/>
                      <w:szCs w:val="21"/>
                    </w:rPr>
                  </w:pPr>
                  <w:r>
                    <w:rPr>
                      <w:color w:val="auto"/>
                      <w:kern w:val="0"/>
                      <w:sz w:val="21"/>
                      <w:szCs w:val="21"/>
                    </w:rPr>
                    <w:t>相对厂址方位</w:t>
                  </w:r>
                </w:p>
              </w:tc>
              <w:tc>
                <w:tcPr>
                  <w:tcW w:w="1091" w:type="dxa"/>
                  <w:vMerge w:val="restart"/>
                  <w:noWrap w:val="0"/>
                  <w:vAlign w:val="center"/>
                </w:tcPr>
                <w:p>
                  <w:pPr>
                    <w:widowControl/>
                    <w:jc w:val="center"/>
                    <w:rPr>
                      <w:color w:val="auto"/>
                      <w:kern w:val="0"/>
                      <w:sz w:val="21"/>
                      <w:szCs w:val="21"/>
                    </w:rPr>
                  </w:pPr>
                  <w:r>
                    <w:rPr>
                      <w:color w:val="auto"/>
                      <w:kern w:val="0"/>
                      <w:sz w:val="21"/>
                      <w:szCs w:val="21"/>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52" w:type="dxa"/>
                  <w:vMerge w:val="continue"/>
                  <w:noWrap w:val="0"/>
                  <w:vAlign w:val="center"/>
                </w:tcPr>
                <w:p>
                  <w:pPr>
                    <w:widowControl/>
                    <w:jc w:val="center"/>
                    <w:rPr>
                      <w:color w:val="auto"/>
                      <w:kern w:val="0"/>
                      <w:sz w:val="21"/>
                      <w:szCs w:val="21"/>
                    </w:rPr>
                  </w:pPr>
                </w:p>
              </w:tc>
              <w:tc>
                <w:tcPr>
                  <w:tcW w:w="1470" w:type="dxa"/>
                  <w:noWrap w:val="0"/>
                  <w:vAlign w:val="center"/>
                </w:tcPr>
                <w:p>
                  <w:pPr>
                    <w:jc w:val="center"/>
                    <w:rPr>
                      <w:rFonts w:hint="eastAsia"/>
                      <w:color w:val="auto"/>
                      <w:kern w:val="0"/>
                      <w:sz w:val="21"/>
                      <w:szCs w:val="21"/>
                    </w:rPr>
                  </w:pPr>
                  <w:r>
                    <w:rPr>
                      <w:rFonts w:hint="eastAsia"/>
                      <w:color w:val="auto"/>
                      <w:kern w:val="0"/>
                      <w:sz w:val="21"/>
                      <w:szCs w:val="21"/>
                    </w:rPr>
                    <w:t>东经</w:t>
                  </w:r>
                </w:p>
              </w:tc>
              <w:tc>
                <w:tcPr>
                  <w:tcW w:w="1365" w:type="dxa"/>
                  <w:noWrap w:val="0"/>
                  <w:vAlign w:val="center"/>
                </w:tcPr>
                <w:p>
                  <w:pPr>
                    <w:jc w:val="center"/>
                    <w:rPr>
                      <w:rFonts w:hint="eastAsia"/>
                      <w:color w:val="auto"/>
                      <w:kern w:val="0"/>
                      <w:sz w:val="21"/>
                      <w:szCs w:val="21"/>
                    </w:rPr>
                  </w:pPr>
                  <w:r>
                    <w:rPr>
                      <w:rFonts w:hint="eastAsia"/>
                      <w:color w:val="auto"/>
                      <w:kern w:val="0"/>
                      <w:sz w:val="21"/>
                      <w:szCs w:val="21"/>
                    </w:rPr>
                    <w:t>北纬</w:t>
                  </w:r>
                </w:p>
              </w:tc>
              <w:tc>
                <w:tcPr>
                  <w:tcW w:w="960" w:type="dxa"/>
                  <w:vMerge w:val="continue"/>
                  <w:noWrap w:val="0"/>
                  <w:vAlign w:val="center"/>
                </w:tcPr>
                <w:p>
                  <w:pPr>
                    <w:jc w:val="center"/>
                    <w:rPr>
                      <w:color w:val="auto"/>
                      <w:kern w:val="0"/>
                      <w:sz w:val="21"/>
                      <w:szCs w:val="21"/>
                    </w:rPr>
                  </w:pPr>
                </w:p>
              </w:tc>
              <w:tc>
                <w:tcPr>
                  <w:tcW w:w="885" w:type="dxa"/>
                  <w:vMerge w:val="continue"/>
                  <w:noWrap w:val="0"/>
                  <w:vAlign w:val="center"/>
                </w:tcPr>
                <w:p>
                  <w:pPr>
                    <w:widowControl/>
                    <w:jc w:val="center"/>
                    <w:rPr>
                      <w:color w:val="auto"/>
                      <w:kern w:val="0"/>
                      <w:sz w:val="21"/>
                      <w:szCs w:val="21"/>
                    </w:rPr>
                  </w:pPr>
                </w:p>
              </w:tc>
              <w:tc>
                <w:tcPr>
                  <w:tcW w:w="975" w:type="dxa"/>
                  <w:vMerge w:val="continue"/>
                  <w:noWrap w:val="0"/>
                  <w:vAlign w:val="center"/>
                </w:tcPr>
                <w:p>
                  <w:pPr>
                    <w:widowControl/>
                    <w:jc w:val="center"/>
                    <w:rPr>
                      <w:color w:val="auto"/>
                      <w:kern w:val="0"/>
                      <w:sz w:val="21"/>
                      <w:szCs w:val="21"/>
                    </w:rPr>
                  </w:pPr>
                </w:p>
              </w:tc>
              <w:tc>
                <w:tcPr>
                  <w:tcW w:w="1091" w:type="dxa"/>
                  <w:vMerge w:val="continue"/>
                  <w:noWrap w:val="0"/>
                  <w:vAlign w:val="center"/>
                </w:tcPr>
                <w:p>
                  <w:pPr>
                    <w:widowControl/>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52" w:type="dxa"/>
                  <w:noWrap w:val="0"/>
                  <w:vAlign w:val="center"/>
                </w:tcPr>
                <w:p>
                  <w:pPr>
                    <w:widowControl/>
                    <w:jc w:val="center"/>
                    <w:rPr>
                      <w:rFonts w:hint="eastAsia" w:eastAsia="宋体"/>
                      <w:color w:val="auto"/>
                      <w:kern w:val="0"/>
                      <w:sz w:val="21"/>
                      <w:szCs w:val="21"/>
                      <w:lang w:eastAsia="zh-CN"/>
                    </w:rPr>
                  </w:pPr>
                  <w:r>
                    <w:rPr>
                      <w:rFonts w:hint="eastAsia"/>
                      <w:color w:val="auto"/>
                      <w:kern w:val="0"/>
                      <w:sz w:val="21"/>
                      <w:szCs w:val="21"/>
                      <w:lang w:val="en-US" w:eastAsia="zh-CN"/>
                    </w:rPr>
                    <w:t>1#厂址</w:t>
                  </w:r>
                </w:p>
              </w:tc>
              <w:tc>
                <w:tcPr>
                  <w:tcW w:w="1470" w:type="dxa"/>
                  <w:noWrap w:val="0"/>
                  <w:vAlign w:val="center"/>
                </w:tcPr>
                <w:p>
                  <w:pPr>
                    <w:widowControl/>
                    <w:jc w:val="center"/>
                    <w:rPr>
                      <w:rFonts w:hint="default" w:eastAsia="宋体"/>
                      <w:color w:val="auto"/>
                      <w:sz w:val="21"/>
                      <w:szCs w:val="21"/>
                      <w:lang w:val="en-US" w:eastAsia="zh-CN"/>
                    </w:rPr>
                  </w:pPr>
                  <w:r>
                    <w:rPr>
                      <w:rFonts w:hint="eastAsia"/>
                      <w:color w:val="auto"/>
                      <w:sz w:val="21"/>
                      <w:szCs w:val="21"/>
                    </w:rPr>
                    <w:t>126.48505926</w:t>
                  </w:r>
                </w:p>
              </w:tc>
              <w:tc>
                <w:tcPr>
                  <w:tcW w:w="1365" w:type="dxa"/>
                  <w:noWrap w:val="0"/>
                  <w:vAlign w:val="center"/>
                </w:tcPr>
                <w:p>
                  <w:pPr>
                    <w:widowControl/>
                    <w:jc w:val="center"/>
                    <w:rPr>
                      <w:rFonts w:hint="default" w:eastAsia="宋体"/>
                      <w:color w:val="auto"/>
                      <w:sz w:val="21"/>
                      <w:szCs w:val="21"/>
                      <w:lang w:val="en-US" w:eastAsia="zh-CN"/>
                    </w:rPr>
                  </w:pPr>
                  <w:r>
                    <w:rPr>
                      <w:rFonts w:hint="eastAsia"/>
                      <w:color w:val="auto"/>
                      <w:sz w:val="21"/>
                      <w:szCs w:val="21"/>
                      <w:lang w:val="en-US" w:eastAsia="zh-CN"/>
                    </w:rPr>
                    <w:t>45.35821435</w:t>
                  </w:r>
                </w:p>
              </w:tc>
              <w:tc>
                <w:tcPr>
                  <w:tcW w:w="960" w:type="dxa"/>
                  <w:noWrap w:val="0"/>
                  <w:vAlign w:val="center"/>
                </w:tcPr>
                <w:p>
                  <w:pPr>
                    <w:widowControl/>
                    <w:jc w:val="center"/>
                    <w:rPr>
                      <w:color w:val="auto"/>
                      <w:kern w:val="0"/>
                      <w:sz w:val="21"/>
                      <w:szCs w:val="21"/>
                    </w:rPr>
                  </w:pPr>
                  <w:r>
                    <w:rPr>
                      <w:rFonts w:hint="eastAsia"/>
                      <w:color w:val="auto"/>
                      <w:sz w:val="21"/>
                      <w:szCs w:val="21"/>
                    </w:rPr>
                    <w:t>TSP</w:t>
                  </w:r>
                  <w:r>
                    <w:rPr>
                      <w:rFonts w:hint="eastAsia" w:cs="Times New Roman"/>
                      <w:color w:val="auto"/>
                      <w:sz w:val="21"/>
                      <w:szCs w:val="21"/>
                      <w:lang w:val="en-US" w:eastAsia="zh-CN"/>
                    </w:rPr>
                    <w:t>、汞</w:t>
                  </w:r>
                </w:p>
              </w:tc>
              <w:tc>
                <w:tcPr>
                  <w:tcW w:w="885" w:type="dxa"/>
                  <w:noWrap w:val="0"/>
                  <w:vAlign w:val="center"/>
                </w:tcPr>
                <w:p>
                  <w:pPr>
                    <w:widowControl/>
                    <w:jc w:val="center"/>
                    <w:rPr>
                      <w:rFonts w:hint="eastAsia" w:eastAsia="宋体"/>
                      <w:color w:val="auto"/>
                      <w:kern w:val="0"/>
                      <w:sz w:val="21"/>
                      <w:szCs w:val="21"/>
                      <w:lang w:eastAsia="zh-CN"/>
                    </w:rPr>
                  </w:pPr>
                  <w:r>
                    <w:rPr>
                      <w:rFonts w:hint="eastAsia"/>
                      <w:color w:val="auto"/>
                      <w:kern w:val="0"/>
                      <w:sz w:val="21"/>
                      <w:szCs w:val="21"/>
                      <w:lang w:val="en-US" w:eastAsia="zh-CN"/>
                    </w:rPr>
                    <w:t>日均值</w:t>
                  </w:r>
                </w:p>
              </w:tc>
              <w:tc>
                <w:tcPr>
                  <w:tcW w:w="975" w:type="dxa"/>
                  <w:noWrap w:val="0"/>
                  <w:vAlign w:val="center"/>
                </w:tcPr>
                <w:p>
                  <w:pPr>
                    <w:widowControl/>
                    <w:jc w:val="center"/>
                    <w:rPr>
                      <w:rFonts w:hint="eastAsia" w:eastAsia="宋体"/>
                      <w:color w:val="auto"/>
                      <w:kern w:val="0"/>
                      <w:sz w:val="21"/>
                      <w:szCs w:val="21"/>
                      <w:lang w:eastAsia="zh-CN"/>
                    </w:rPr>
                  </w:pPr>
                  <w:r>
                    <w:rPr>
                      <w:rFonts w:hint="eastAsia"/>
                      <w:color w:val="auto"/>
                      <w:kern w:val="0"/>
                      <w:sz w:val="21"/>
                      <w:szCs w:val="21"/>
                      <w:lang w:val="en-US" w:eastAsia="zh-CN"/>
                    </w:rPr>
                    <w:t>/</w:t>
                  </w:r>
                </w:p>
              </w:tc>
              <w:tc>
                <w:tcPr>
                  <w:tcW w:w="1091" w:type="dxa"/>
                  <w:noWrap w:val="0"/>
                  <w:vAlign w:val="center"/>
                </w:tcPr>
                <w:p>
                  <w:pPr>
                    <w:widowControl/>
                    <w:jc w:val="center"/>
                    <w:rPr>
                      <w:rFonts w:hint="default" w:eastAsia="宋体"/>
                      <w:color w:val="auto"/>
                      <w:kern w:val="0"/>
                      <w:sz w:val="21"/>
                      <w:szCs w:val="21"/>
                      <w:lang w:val="en-US" w:eastAsia="zh-CN"/>
                    </w:rPr>
                  </w:pPr>
                  <w:r>
                    <w:rPr>
                      <w:rFonts w:hint="eastAsia"/>
                      <w:color w:val="auto"/>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52" w:type="dxa"/>
                  <w:noWrap w:val="0"/>
                  <w:vAlign w:val="center"/>
                </w:tcPr>
                <w:p>
                  <w:pPr>
                    <w:widowControl/>
                    <w:jc w:val="center"/>
                    <w:rPr>
                      <w:rFonts w:hint="default"/>
                      <w:color w:val="auto"/>
                      <w:kern w:val="0"/>
                      <w:sz w:val="21"/>
                      <w:szCs w:val="21"/>
                      <w:lang w:val="en-US" w:eastAsia="zh-CN"/>
                    </w:rPr>
                  </w:pPr>
                  <w:r>
                    <w:rPr>
                      <w:rFonts w:hint="eastAsia"/>
                      <w:color w:val="auto"/>
                      <w:kern w:val="0"/>
                      <w:sz w:val="21"/>
                      <w:szCs w:val="21"/>
                      <w:lang w:val="en-US" w:eastAsia="zh-CN"/>
                    </w:rPr>
                    <w:t>2#厂址下风向</w:t>
                  </w:r>
                </w:p>
              </w:tc>
              <w:tc>
                <w:tcPr>
                  <w:tcW w:w="1470" w:type="dxa"/>
                  <w:noWrap w:val="0"/>
                  <w:vAlign w:val="center"/>
                </w:tcPr>
                <w:p>
                  <w:pPr>
                    <w:widowControl/>
                    <w:jc w:val="center"/>
                    <w:rPr>
                      <w:rFonts w:hint="eastAsia"/>
                      <w:color w:val="auto"/>
                      <w:sz w:val="21"/>
                      <w:szCs w:val="21"/>
                    </w:rPr>
                  </w:pPr>
                  <w:r>
                    <w:rPr>
                      <w:rFonts w:hint="eastAsia"/>
                      <w:color w:val="auto"/>
                      <w:sz w:val="21"/>
                      <w:szCs w:val="21"/>
                    </w:rPr>
                    <w:t>126.48541868</w:t>
                  </w:r>
                </w:p>
              </w:tc>
              <w:tc>
                <w:tcPr>
                  <w:tcW w:w="1365" w:type="dxa"/>
                  <w:noWrap w:val="0"/>
                  <w:vAlign w:val="center"/>
                </w:tcPr>
                <w:p>
                  <w:pPr>
                    <w:widowControl/>
                    <w:jc w:val="center"/>
                    <w:rPr>
                      <w:rFonts w:hint="eastAsia"/>
                      <w:color w:val="auto"/>
                      <w:sz w:val="21"/>
                      <w:szCs w:val="21"/>
                      <w:lang w:val="en-US" w:eastAsia="zh-CN"/>
                    </w:rPr>
                  </w:pPr>
                  <w:r>
                    <w:rPr>
                      <w:rFonts w:hint="eastAsia"/>
                      <w:color w:val="auto"/>
                      <w:sz w:val="21"/>
                      <w:szCs w:val="21"/>
                      <w:lang w:val="en-US" w:eastAsia="zh-CN"/>
                    </w:rPr>
                    <w:t>45.35901723</w:t>
                  </w:r>
                </w:p>
              </w:tc>
              <w:tc>
                <w:tcPr>
                  <w:tcW w:w="960" w:type="dxa"/>
                  <w:noWrap w:val="0"/>
                  <w:vAlign w:val="center"/>
                </w:tcPr>
                <w:p>
                  <w:pPr>
                    <w:widowControl/>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硫酸雾</w:t>
                  </w:r>
                </w:p>
              </w:tc>
              <w:tc>
                <w:tcPr>
                  <w:tcW w:w="885" w:type="dxa"/>
                  <w:noWrap w:val="0"/>
                  <w:vAlign w:val="center"/>
                </w:tcPr>
                <w:p>
                  <w:pPr>
                    <w:widowControl/>
                    <w:jc w:val="center"/>
                    <w:rPr>
                      <w:rFonts w:hint="eastAsia"/>
                      <w:color w:val="auto"/>
                      <w:kern w:val="0"/>
                      <w:sz w:val="21"/>
                      <w:szCs w:val="21"/>
                      <w:lang w:val="en-US" w:eastAsia="zh-CN"/>
                    </w:rPr>
                  </w:pPr>
                  <w:r>
                    <w:rPr>
                      <w:rFonts w:hint="eastAsia"/>
                      <w:color w:val="auto"/>
                      <w:kern w:val="0"/>
                      <w:sz w:val="21"/>
                      <w:szCs w:val="21"/>
                      <w:lang w:val="en-US" w:eastAsia="zh-CN"/>
                    </w:rPr>
                    <w:t>小时值</w:t>
                  </w:r>
                </w:p>
              </w:tc>
              <w:tc>
                <w:tcPr>
                  <w:tcW w:w="975" w:type="dxa"/>
                  <w:noWrap w:val="0"/>
                  <w:vAlign w:val="center"/>
                </w:tcPr>
                <w:p>
                  <w:pPr>
                    <w:widowControl/>
                    <w:jc w:val="center"/>
                    <w:rPr>
                      <w:rFonts w:hint="default" w:eastAsia="宋体"/>
                      <w:color w:val="auto"/>
                      <w:kern w:val="0"/>
                      <w:sz w:val="21"/>
                      <w:szCs w:val="21"/>
                      <w:lang w:val="en-US" w:eastAsia="zh-CN"/>
                    </w:rPr>
                  </w:pPr>
                  <w:r>
                    <w:rPr>
                      <w:rFonts w:hint="eastAsia"/>
                      <w:color w:val="auto"/>
                      <w:kern w:val="0"/>
                      <w:sz w:val="21"/>
                      <w:szCs w:val="21"/>
                      <w:lang w:val="en-US" w:eastAsia="zh-CN"/>
                    </w:rPr>
                    <w:t>NE</w:t>
                  </w:r>
                </w:p>
              </w:tc>
              <w:tc>
                <w:tcPr>
                  <w:tcW w:w="1091" w:type="dxa"/>
                  <w:noWrap w:val="0"/>
                  <w:vAlign w:val="center"/>
                </w:tcPr>
                <w:p>
                  <w:pPr>
                    <w:widowControl/>
                    <w:jc w:val="center"/>
                    <w:rPr>
                      <w:rFonts w:hint="eastAsia" w:eastAsia="宋体"/>
                      <w:color w:val="auto"/>
                      <w:kern w:val="0"/>
                      <w:sz w:val="21"/>
                      <w:szCs w:val="21"/>
                      <w:lang w:val="en-US" w:eastAsia="zh-CN"/>
                    </w:rPr>
                  </w:pPr>
                  <w:r>
                    <w:rPr>
                      <w:rFonts w:hint="eastAsia"/>
                      <w:color w:val="auto"/>
                      <w:kern w:val="0"/>
                      <w:sz w:val="21"/>
                      <w:szCs w:val="21"/>
                      <w:lang w:val="en-US" w:eastAsia="zh-CN"/>
                    </w:rPr>
                    <w:t>6</w:t>
                  </w:r>
                </w:p>
              </w:tc>
            </w:tr>
          </w:tbl>
          <w:p>
            <w:pPr>
              <w:jc w:val="center"/>
              <w:rPr>
                <w:color w:val="auto"/>
                <w:kern w:val="0"/>
              </w:rPr>
            </w:pPr>
            <w:r>
              <w:drawing>
                <wp:inline distT="0" distB="0" distL="114300" distR="114300">
                  <wp:extent cx="5153660" cy="3786505"/>
                  <wp:effectExtent l="0" t="0" r="8890" b="444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2"/>
                          <a:stretch>
                            <a:fillRect/>
                          </a:stretch>
                        </pic:blipFill>
                        <pic:spPr>
                          <a:xfrm>
                            <a:off x="0" y="0"/>
                            <a:ext cx="5153660" cy="3786505"/>
                          </a:xfrm>
                          <a:prstGeom prst="rect">
                            <a:avLst/>
                          </a:prstGeom>
                          <a:noFill/>
                          <a:ln>
                            <a:noFill/>
                          </a:ln>
                        </pic:spPr>
                      </pic:pic>
                    </a:graphicData>
                  </a:graphic>
                </wp:inline>
              </w:drawing>
            </w:r>
          </w:p>
          <w:p>
            <w:pPr>
              <w:ind w:firstLine="482" w:firstLineChars="200"/>
              <w:jc w:val="center"/>
              <w:rPr>
                <w:b/>
                <w:color w:val="auto"/>
                <w:kern w:val="0"/>
                <w:sz w:val="24"/>
              </w:rPr>
            </w:pPr>
            <w:r>
              <w:rPr>
                <w:rFonts w:hint="eastAsia"/>
                <w:b/>
                <w:color w:val="auto"/>
                <w:kern w:val="0"/>
                <w:sz w:val="24"/>
              </w:rPr>
              <w:t>图</w:t>
            </w:r>
            <w:r>
              <w:rPr>
                <w:b/>
                <w:color w:val="auto"/>
                <w:kern w:val="0"/>
                <w:sz w:val="24"/>
              </w:rPr>
              <w:t xml:space="preserve">3-1  </w:t>
            </w:r>
            <w:r>
              <w:rPr>
                <w:rFonts w:hint="eastAsia"/>
                <w:b/>
                <w:color w:val="auto"/>
                <w:kern w:val="0"/>
                <w:sz w:val="24"/>
              </w:rPr>
              <w:t>大气监测点位图</w:t>
            </w:r>
          </w:p>
          <w:p>
            <w:pPr>
              <w:pStyle w:val="10"/>
              <w:jc w:val="center"/>
              <w:rPr>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表3-3</w:t>
            </w:r>
            <w:r>
              <w:rPr>
                <w:b/>
                <w:bCs/>
                <w:color w:val="000000" w:themeColor="text1"/>
                <w:sz w:val="24"/>
                <w:szCs w:val="24"/>
                <w:lang w:val="en-US" w:eastAsia="zh-CN"/>
                <w14:textFill>
                  <w14:solidFill>
                    <w14:schemeClr w14:val="tx1"/>
                  </w14:solidFill>
                </w14:textFill>
              </w:rPr>
              <w:t xml:space="preserve">  </w:t>
            </w:r>
            <w:r>
              <w:rPr>
                <w:rFonts w:hint="eastAsia"/>
                <w:b/>
                <w:bCs/>
                <w:color w:val="000000" w:themeColor="text1"/>
                <w:sz w:val="24"/>
                <w:szCs w:val="24"/>
                <w:lang w:val="en-US" w:eastAsia="zh-CN"/>
                <w14:textFill>
                  <w14:solidFill>
                    <w14:schemeClr w14:val="tx1"/>
                  </w14:solidFill>
                </w14:textFill>
              </w:rPr>
              <w:t>其他污染物环境质量现状监测结果表</w:t>
            </w:r>
          </w:p>
          <w:tbl>
            <w:tblPr>
              <w:tblStyle w:val="18"/>
              <w:tblW w:w="80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1"/>
              <w:gridCol w:w="795"/>
              <w:gridCol w:w="795"/>
              <w:gridCol w:w="855"/>
              <w:gridCol w:w="660"/>
              <w:gridCol w:w="740"/>
              <w:gridCol w:w="1020"/>
              <w:gridCol w:w="910"/>
              <w:gridCol w:w="720"/>
              <w:gridCol w:w="6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911" w:type="dxa"/>
                  <w:vMerge w:val="restart"/>
                  <w:tcBorders>
                    <w:tl2br w:val="nil"/>
                    <w:tr2bl w:val="nil"/>
                  </w:tcBorders>
                  <w:noWrap w:val="0"/>
                  <w:vAlign w:val="center"/>
                </w:tcPr>
                <w:p>
                  <w:pPr>
                    <w:pStyle w:val="10"/>
                    <w:jc w:val="center"/>
                    <w:rPr>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监测点位</w:t>
                  </w:r>
                </w:p>
              </w:tc>
              <w:tc>
                <w:tcPr>
                  <w:tcW w:w="1590" w:type="dxa"/>
                  <w:gridSpan w:val="2"/>
                  <w:tcBorders>
                    <w:tl2br w:val="nil"/>
                    <w:tr2bl w:val="nil"/>
                  </w:tcBorders>
                  <w:noWrap w:val="0"/>
                  <w:vAlign w:val="center"/>
                </w:tcPr>
                <w:p>
                  <w:pPr>
                    <w:pStyle w:val="10"/>
                    <w:jc w:val="center"/>
                    <w:rPr>
                      <w:rFonts w:hint="eastAsia"/>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监测点坐标/</w:t>
                  </w:r>
                  <w:r>
                    <w:rPr>
                      <w:rFonts w:hint="eastAsia"/>
                      <w:color w:val="000000" w:themeColor="text1"/>
                      <w:sz w:val="21"/>
                      <w:szCs w:val="21"/>
                      <w:lang w:val="en-US" w:eastAsia="zh-CN"/>
                      <w14:textFill>
                        <w14:solidFill>
                          <w14:schemeClr w14:val="tx1"/>
                        </w14:solidFill>
                      </w14:textFill>
                    </w:rPr>
                    <w:t>°</w:t>
                  </w:r>
                </w:p>
              </w:tc>
              <w:tc>
                <w:tcPr>
                  <w:tcW w:w="855" w:type="dxa"/>
                  <w:vMerge w:val="restart"/>
                  <w:tcBorders>
                    <w:tl2br w:val="nil"/>
                    <w:tr2bl w:val="nil"/>
                  </w:tcBorders>
                  <w:noWrap w:val="0"/>
                  <w:vAlign w:val="center"/>
                </w:tcPr>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污染物</w:t>
                  </w:r>
                </w:p>
              </w:tc>
              <w:tc>
                <w:tcPr>
                  <w:tcW w:w="660" w:type="dxa"/>
                  <w:vMerge w:val="restart"/>
                  <w:tcBorders>
                    <w:tl2br w:val="nil"/>
                    <w:tr2bl w:val="nil"/>
                  </w:tcBorders>
                  <w:noWrap w:val="0"/>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平均时间</w:t>
                  </w:r>
                </w:p>
              </w:tc>
              <w:tc>
                <w:tcPr>
                  <w:tcW w:w="740" w:type="dxa"/>
                  <w:vMerge w:val="restart"/>
                  <w:tcBorders>
                    <w:tl2br w:val="nil"/>
                    <w:tr2bl w:val="nil"/>
                  </w:tcBorders>
                  <w:noWrap w:val="0"/>
                  <w:vAlign w:val="center"/>
                </w:tcPr>
                <w:p>
                  <w:pPr>
                    <w:widowControl/>
                    <w:jc w:val="center"/>
                    <w:rPr>
                      <w:color w:val="000000" w:themeColor="text1"/>
                      <w:spacing w:val="0"/>
                      <w:kern w:val="0"/>
                      <w:sz w:val="21"/>
                      <w:szCs w:val="21"/>
                      <w14:textFill>
                        <w14:solidFill>
                          <w14:schemeClr w14:val="tx1"/>
                        </w14:solidFill>
                      </w14:textFill>
                    </w:rPr>
                  </w:pPr>
                  <w:r>
                    <w:rPr>
                      <w:rFonts w:hint="eastAsia"/>
                      <w:color w:val="000000" w:themeColor="text1"/>
                      <w:spacing w:val="0"/>
                      <w:kern w:val="0"/>
                      <w:sz w:val="21"/>
                      <w:szCs w:val="21"/>
                      <w14:textFill>
                        <w14:solidFill>
                          <w14:schemeClr w14:val="tx1"/>
                        </w14:solidFill>
                      </w14:textFill>
                    </w:rPr>
                    <w:t>评价标准</w:t>
                  </w:r>
                  <w:r>
                    <w:rPr>
                      <w:color w:val="000000" w:themeColor="text1"/>
                      <w:spacing w:val="-6"/>
                      <w:kern w:val="0"/>
                      <w:sz w:val="21"/>
                      <w:szCs w:val="21"/>
                      <w14:textFill>
                        <w14:solidFill>
                          <w14:schemeClr w14:val="tx1"/>
                        </w14:solidFill>
                      </w14:textFill>
                    </w:rPr>
                    <w:t>(</w:t>
                  </w:r>
                  <w:r>
                    <w:rPr>
                      <w:rFonts w:hint="eastAsia"/>
                      <w:color w:val="000000" w:themeColor="text1"/>
                      <w:spacing w:val="-6"/>
                      <w:kern w:val="0"/>
                      <w:sz w:val="21"/>
                      <w:szCs w:val="21"/>
                      <w:lang w:val="en-US" w:eastAsia="zh-CN"/>
                      <w14:textFill>
                        <w14:solidFill>
                          <w14:schemeClr w14:val="tx1"/>
                        </w14:solidFill>
                      </w14:textFill>
                    </w:rPr>
                    <w:t>m</w:t>
                  </w:r>
                  <w:r>
                    <w:rPr>
                      <w:color w:val="000000" w:themeColor="text1"/>
                      <w:spacing w:val="-6"/>
                      <w:kern w:val="0"/>
                      <w:sz w:val="21"/>
                      <w:szCs w:val="21"/>
                      <w14:textFill>
                        <w14:solidFill>
                          <w14:schemeClr w14:val="tx1"/>
                        </w14:solidFill>
                      </w14:textFill>
                    </w:rPr>
                    <w:t>g/m</w:t>
                  </w:r>
                  <w:r>
                    <w:rPr>
                      <w:color w:val="000000" w:themeColor="text1"/>
                      <w:spacing w:val="-6"/>
                      <w:kern w:val="0"/>
                      <w:sz w:val="21"/>
                      <w:szCs w:val="21"/>
                      <w:vertAlign w:val="superscript"/>
                      <w14:textFill>
                        <w14:solidFill>
                          <w14:schemeClr w14:val="tx1"/>
                        </w14:solidFill>
                      </w14:textFill>
                    </w:rPr>
                    <w:t>3</w:t>
                  </w:r>
                  <w:r>
                    <w:rPr>
                      <w:color w:val="000000" w:themeColor="text1"/>
                      <w:spacing w:val="-6"/>
                      <w:kern w:val="0"/>
                      <w:sz w:val="21"/>
                      <w:szCs w:val="21"/>
                      <w14:textFill>
                        <w14:solidFill>
                          <w14:schemeClr w14:val="tx1"/>
                        </w14:solidFill>
                      </w14:textFill>
                    </w:rPr>
                    <w:t>)</w:t>
                  </w:r>
                </w:p>
              </w:tc>
              <w:tc>
                <w:tcPr>
                  <w:tcW w:w="1020" w:type="dxa"/>
                  <w:vMerge w:val="restart"/>
                  <w:tcBorders>
                    <w:tl2br w:val="nil"/>
                    <w:tr2bl w:val="nil"/>
                  </w:tcBorders>
                  <w:noWrap w:val="0"/>
                  <w:vAlign w:val="center"/>
                </w:tcPr>
                <w:p>
                  <w:pPr>
                    <w:widowControl/>
                    <w:jc w:val="center"/>
                    <w:rPr>
                      <w:color w:val="000000" w:themeColor="text1"/>
                      <w:spacing w:val="0"/>
                      <w:kern w:val="0"/>
                      <w:sz w:val="21"/>
                      <w:szCs w:val="21"/>
                      <w14:textFill>
                        <w14:solidFill>
                          <w14:schemeClr w14:val="tx1"/>
                        </w14:solidFill>
                      </w14:textFill>
                    </w:rPr>
                  </w:pPr>
                  <w:r>
                    <w:rPr>
                      <w:rFonts w:hint="eastAsia"/>
                      <w:color w:val="000000" w:themeColor="text1"/>
                      <w:spacing w:val="0"/>
                      <w:kern w:val="0"/>
                      <w:sz w:val="21"/>
                      <w:szCs w:val="21"/>
                      <w14:textFill>
                        <w14:solidFill>
                          <w14:schemeClr w14:val="tx1"/>
                        </w14:solidFill>
                      </w14:textFill>
                    </w:rPr>
                    <w:t>监测</w:t>
                  </w:r>
                  <w:r>
                    <w:rPr>
                      <w:color w:val="000000" w:themeColor="text1"/>
                      <w:spacing w:val="0"/>
                      <w:kern w:val="0"/>
                      <w:sz w:val="21"/>
                      <w:szCs w:val="21"/>
                      <w14:textFill>
                        <w14:solidFill>
                          <w14:schemeClr w14:val="tx1"/>
                        </w14:solidFill>
                      </w14:textFill>
                    </w:rPr>
                    <w:t>浓度范围</w:t>
                  </w:r>
                  <w:r>
                    <w:rPr>
                      <w:rFonts w:hint="eastAsia"/>
                      <w:color w:val="000000" w:themeColor="text1"/>
                      <w:spacing w:val="-6"/>
                      <w:kern w:val="0"/>
                      <w:sz w:val="21"/>
                      <w:szCs w:val="21"/>
                      <w14:textFill>
                        <w14:solidFill>
                          <w14:schemeClr w14:val="tx1"/>
                        </w14:solidFill>
                      </w14:textFill>
                    </w:rPr>
                    <w:t>（</w:t>
                  </w:r>
                  <w:r>
                    <w:rPr>
                      <w:rFonts w:hint="eastAsia"/>
                      <w:color w:val="000000" w:themeColor="text1"/>
                      <w:spacing w:val="-6"/>
                      <w:kern w:val="0"/>
                      <w:sz w:val="21"/>
                      <w:szCs w:val="21"/>
                      <w:lang w:val="en-US" w:eastAsia="zh-CN"/>
                      <w14:textFill>
                        <w14:solidFill>
                          <w14:schemeClr w14:val="tx1"/>
                        </w14:solidFill>
                      </w14:textFill>
                    </w:rPr>
                    <w:t>m</w:t>
                  </w:r>
                  <w:r>
                    <w:rPr>
                      <w:color w:val="000000" w:themeColor="text1"/>
                      <w:spacing w:val="-6"/>
                      <w:kern w:val="0"/>
                      <w:sz w:val="21"/>
                      <w:szCs w:val="21"/>
                      <w14:textFill>
                        <w14:solidFill>
                          <w14:schemeClr w14:val="tx1"/>
                        </w14:solidFill>
                      </w14:textFill>
                    </w:rPr>
                    <w:t>g/m</w:t>
                  </w:r>
                  <w:r>
                    <w:rPr>
                      <w:color w:val="000000" w:themeColor="text1"/>
                      <w:spacing w:val="-6"/>
                      <w:kern w:val="0"/>
                      <w:sz w:val="21"/>
                      <w:szCs w:val="21"/>
                      <w:vertAlign w:val="superscript"/>
                      <w14:textFill>
                        <w14:solidFill>
                          <w14:schemeClr w14:val="tx1"/>
                        </w14:solidFill>
                      </w14:textFill>
                    </w:rPr>
                    <w:t>3</w:t>
                  </w:r>
                  <w:r>
                    <w:rPr>
                      <w:color w:val="000000" w:themeColor="text1"/>
                      <w:spacing w:val="-6"/>
                      <w:kern w:val="0"/>
                      <w:sz w:val="21"/>
                      <w:szCs w:val="21"/>
                      <w14:textFill>
                        <w14:solidFill>
                          <w14:schemeClr w14:val="tx1"/>
                        </w14:solidFill>
                      </w14:textFill>
                    </w:rPr>
                    <w:t>)</w:t>
                  </w:r>
                </w:p>
              </w:tc>
              <w:tc>
                <w:tcPr>
                  <w:tcW w:w="910" w:type="dxa"/>
                  <w:vMerge w:val="restart"/>
                  <w:tcBorders>
                    <w:tl2br w:val="nil"/>
                    <w:tr2bl w:val="nil"/>
                  </w:tcBorders>
                  <w:noWrap w:val="0"/>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最大浓度占标</w:t>
                  </w:r>
                  <w:r>
                    <w:rPr>
                      <w:rFonts w:hint="eastAsia"/>
                      <w:color w:val="000000" w:themeColor="text1"/>
                      <w:kern w:val="0"/>
                      <w:szCs w:val="21"/>
                      <w14:textFill>
                        <w14:solidFill>
                          <w14:schemeClr w14:val="tx1"/>
                        </w14:solidFill>
                      </w14:textFill>
                    </w:rPr>
                    <w:t>率</w:t>
                  </w:r>
                  <w:r>
                    <w:rPr>
                      <w:color w:val="000000" w:themeColor="text1"/>
                      <w:kern w:val="0"/>
                      <w:szCs w:val="21"/>
                      <w14:textFill>
                        <w14:solidFill>
                          <w14:schemeClr w14:val="tx1"/>
                        </w14:solidFill>
                      </w14:textFill>
                    </w:rPr>
                    <w:t>（%）</w:t>
                  </w:r>
                </w:p>
              </w:tc>
              <w:tc>
                <w:tcPr>
                  <w:tcW w:w="720" w:type="dxa"/>
                  <w:vMerge w:val="restart"/>
                  <w:tcBorders>
                    <w:tl2br w:val="nil"/>
                    <w:tr2bl w:val="nil"/>
                  </w:tcBorders>
                  <w:noWrap w:val="0"/>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超标率（%）</w:t>
                  </w:r>
                </w:p>
              </w:tc>
              <w:tc>
                <w:tcPr>
                  <w:tcW w:w="670" w:type="dxa"/>
                  <w:vMerge w:val="restart"/>
                  <w:tcBorders>
                    <w:tl2br w:val="nil"/>
                    <w:tr2bl w:val="nil"/>
                  </w:tcBorders>
                  <w:noWrap w:val="0"/>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911" w:type="dxa"/>
                  <w:vMerge w:val="continue"/>
                  <w:tcBorders>
                    <w:tl2br w:val="nil"/>
                    <w:tr2bl w:val="nil"/>
                  </w:tcBorders>
                  <w:noWrap w:val="0"/>
                  <w:vAlign w:val="center"/>
                </w:tcPr>
                <w:p>
                  <w:pPr>
                    <w:widowControl/>
                    <w:jc w:val="center"/>
                    <w:rPr>
                      <w:color w:val="000000" w:themeColor="text1"/>
                      <w:kern w:val="0"/>
                      <w:szCs w:val="21"/>
                      <w14:textFill>
                        <w14:solidFill>
                          <w14:schemeClr w14:val="tx1"/>
                        </w14:solidFill>
                      </w14:textFill>
                    </w:rPr>
                  </w:pPr>
                </w:p>
              </w:tc>
              <w:tc>
                <w:tcPr>
                  <w:tcW w:w="795" w:type="dxa"/>
                  <w:tcBorders>
                    <w:tl2br w:val="nil"/>
                    <w:tr2bl w:val="nil"/>
                  </w:tcBorders>
                  <w:noWrap w:val="0"/>
                  <w:vAlign w:val="center"/>
                </w:tcPr>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东经</w:t>
                  </w:r>
                </w:p>
              </w:tc>
              <w:tc>
                <w:tcPr>
                  <w:tcW w:w="795" w:type="dxa"/>
                  <w:tcBorders>
                    <w:tl2br w:val="nil"/>
                    <w:tr2bl w:val="nil"/>
                  </w:tcBorders>
                  <w:noWrap w:val="0"/>
                  <w:vAlign w:val="center"/>
                </w:tcPr>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北纬</w:t>
                  </w:r>
                </w:p>
              </w:tc>
              <w:tc>
                <w:tcPr>
                  <w:tcW w:w="855" w:type="dxa"/>
                  <w:vMerge w:val="continue"/>
                  <w:tcBorders>
                    <w:tl2br w:val="nil"/>
                    <w:tr2bl w:val="nil"/>
                  </w:tcBorders>
                  <w:noWrap w:val="0"/>
                  <w:vAlign w:val="center"/>
                </w:tcPr>
                <w:p>
                  <w:pPr>
                    <w:jc w:val="center"/>
                    <w:rPr>
                      <w:color w:val="000000" w:themeColor="text1"/>
                      <w:kern w:val="0"/>
                      <w:szCs w:val="21"/>
                      <w14:textFill>
                        <w14:solidFill>
                          <w14:schemeClr w14:val="tx1"/>
                        </w14:solidFill>
                      </w14:textFill>
                    </w:rPr>
                  </w:pPr>
                </w:p>
              </w:tc>
              <w:tc>
                <w:tcPr>
                  <w:tcW w:w="660" w:type="dxa"/>
                  <w:vMerge w:val="continue"/>
                  <w:tcBorders>
                    <w:tl2br w:val="nil"/>
                    <w:tr2bl w:val="nil"/>
                  </w:tcBorders>
                  <w:noWrap w:val="0"/>
                  <w:vAlign w:val="center"/>
                </w:tcPr>
                <w:p>
                  <w:pPr>
                    <w:widowControl/>
                    <w:jc w:val="center"/>
                    <w:rPr>
                      <w:color w:val="000000" w:themeColor="text1"/>
                      <w:kern w:val="0"/>
                      <w:szCs w:val="21"/>
                      <w14:textFill>
                        <w14:solidFill>
                          <w14:schemeClr w14:val="tx1"/>
                        </w14:solidFill>
                      </w14:textFill>
                    </w:rPr>
                  </w:pPr>
                </w:p>
              </w:tc>
              <w:tc>
                <w:tcPr>
                  <w:tcW w:w="740" w:type="dxa"/>
                  <w:vMerge w:val="continue"/>
                  <w:tcBorders>
                    <w:tl2br w:val="nil"/>
                    <w:tr2bl w:val="nil"/>
                  </w:tcBorders>
                  <w:noWrap w:val="0"/>
                  <w:vAlign w:val="center"/>
                </w:tcPr>
                <w:p>
                  <w:pPr>
                    <w:widowControl/>
                    <w:jc w:val="center"/>
                    <w:rPr>
                      <w:color w:val="000000" w:themeColor="text1"/>
                      <w:kern w:val="0"/>
                      <w:szCs w:val="21"/>
                      <w14:textFill>
                        <w14:solidFill>
                          <w14:schemeClr w14:val="tx1"/>
                        </w14:solidFill>
                      </w14:textFill>
                    </w:rPr>
                  </w:pPr>
                </w:p>
              </w:tc>
              <w:tc>
                <w:tcPr>
                  <w:tcW w:w="1020" w:type="dxa"/>
                  <w:vMerge w:val="continue"/>
                  <w:tcBorders>
                    <w:tl2br w:val="nil"/>
                    <w:tr2bl w:val="nil"/>
                  </w:tcBorders>
                  <w:noWrap w:val="0"/>
                  <w:vAlign w:val="center"/>
                </w:tcPr>
                <w:p>
                  <w:pPr>
                    <w:widowControl/>
                    <w:jc w:val="center"/>
                    <w:rPr>
                      <w:color w:val="000000" w:themeColor="text1"/>
                      <w:kern w:val="0"/>
                      <w:szCs w:val="21"/>
                      <w14:textFill>
                        <w14:solidFill>
                          <w14:schemeClr w14:val="tx1"/>
                        </w14:solidFill>
                      </w14:textFill>
                    </w:rPr>
                  </w:pPr>
                </w:p>
              </w:tc>
              <w:tc>
                <w:tcPr>
                  <w:tcW w:w="910" w:type="dxa"/>
                  <w:vMerge w:val="continue"/>
                  <w:tcBorders>
                    <w:tl2br w:val="nil"/>
                    <w:tr2bl w:val="nil"/>
                  </w:tcBorders>
                  <w:noWrap w:val="0"/>
                  <w:vAlign w:val="center"/>
                </w:tcPr>
                <w:p>
                  <w:pPr>
                    <w:widowControl/>
                    <w:jc w:val="center"/>
                    <w:rPr>
                      <w:color w:val="000000" w:themeColor="text1"/>
                      <w:kern w:val="0"/>
                      <w:szCs w:val="21"/>
                      <w14:textFill>
                        <w14:solidFill>
                          <w14:schemeClr w14:val="tx1"/>
                        </w14:solidFill>
                      </w14:textFill>
                    </w:rPr>
                  </w:pPr>
                </w:p>
              </w:tc>
              <w:tc>
                <w:tcPr>
                  <w:tcW w:w="720" w:type="dxa"/>
                  <w:vMerge w:val="continue"/>
                  <w:tcBorders>
                    <w:tl2br w:val="nil"/>
                    <w:tr2bl w:val="nil"/>
                  </w:tcBorders>
                  <w:noWrap w:val="0"/>
                  <w:vAlign w:val="center"/>
                </w:tcPr>
                <w:p>
                  <w:pPr>
                    <w:widowControl/>
                    <w:jc w:val="center"/>
                    <w:rPr>
                      <w:color w:val="000000" w:themeColor="text1"/>
                      <w:kern w:val="0"/>
                      <w:szCs w:val="21"/>
                      <w14:textFill>
                        <w14:solidFill>
                          <w14:schemeClr w14:val="tx1"/>
                        </w14:solidFill>
                      </w14:textFill>
                    </w:rPr>
                  </w:pPr>
                </w:p>
              </w:tc>
              <w:tc>
                <w:tcPr>
                  <w:tcW w:w="670" w:type="dxa"/>
                  <w:vMerge w:val="continue"/>
                  <w:tcBorders>
                    <w:tl2br w:val="nil"/>
                    <w:tr2bl w:val="nil"/>
                  </w:tcBorders>
                  <w:noWrap w:val="0"/>
                  <w:vAlign w:val="center"/>
                </w:tcPr>
                <w:p>
                  <w:pPr>
                    <w:widowControl/>
                    <w:jc w:val="center"/>
                    <w:rPr>
                      <w:color w:val="000000" w:themeColor="text1"/>
                      <w:kern w:val="0"/>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911" w:type="dxa"/>
                  <w:vMerge w:val="restart"/>
                  <w:tcBorders>
                    <w:tl2br w:val="nil"/>
                    <w:tr2bl w:val="nil"/>
                  </w:tcBorders>
                  <w:noWrap w:val="0"/>
                  <w:vAlign w:val="center"/>
                </w:tcPr>
                <w:p>
                  <w:pPr>
                    <w:widowControl/>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1#厂址</w:t>
                  </w:r>
                </w:p>
              </w:tc>
              <w:tc>
                <w:tcPr>
                  <w:tcW w:w="795" w:type="dxa"/>
                  <w:vMerge w:val="restart"/>
                  <w:tcBorders>
                    <w:tl2br w:val="nil"/>
                    <w:tr2bl w:val="nil"/>
                  </w:tcBorders>
                  <w:noWrap w:val="0"/>
                  <w:vAlign w:val="center"/>
                </w:tcPr>
                <w:p>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126.48505926</w:t>
                  </w:r>
                </w:p>
              </w:tc>
              <w:tc>
                <w:tcPr>
                  <w:tcW w:w="795" w:type="dxa"/>
                  <w:vMerge w:val="restart"/>
                  <w:tcBorders>
                    <w:tl2br w:val="nil"/>
                    <w:tr2bl w:val="nil"/>
                  </w:tcBorders>
                  <w:noWrap w:val="0"/>
                  <w:vAlign w:val="center"/>
                </w:tcPr>
                <w:p>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45.35821435</w:t>
                  </w:r>
                </w:p>
              </w:tc>
              <w:tc>
                <w:tcPr>
                  <w:tcW w:w="855" w:type="dxa"/>
                  <w:tcBorders>
                    <w:tl2br w:val="nil"/>
                    <w:tr2bl w:val="nil"/>
                  </w:tcBorders>
                  <w:noWrap w:val="0"/>
                  <w:vAlign w:val="center"/>
                </w:tcPr>
                <w:p>
                  <w:pPr>
                    <w:widowControl/>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TSP</w:t>
                  </w:r>
                </w:p>
              </w:tc>
              <w:tc>
                <w:tcPr>
                  <w:tcW w:w="660" w:type="dxa"/>
                  <w:tcBorders>
                    <w:tl2br w:val="nil"/>
                    <w:tr2bl w:val="nil"/>
                  </w:tcBorders>
                  <w:noWrap w:val="0"/>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24h</w:t>
                  </w:r>
                </w:p>
              </w:tc>
              <w:tc>
                <w:tcPr>
                  <w:tcW w:w="740" w:type="dxa"/>
                  <w:tcBorders>
                    <w:tl2br w:val="nil"/>
                    <w:tr2bl w:val="nil"/>
                  </w:tcBorders>
                  <w:noWrap w:val="0"/>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0.3</w:t>
                  </w:r>
                </w:p>
              </w:tc>
              <w:tc>
                <w:tcPr>
                  <w:tcW w:w="1020" w:type="dxa"/>
                  <w:tcBorders>
                    <w:tl2br w:val="nil"/>
                    <w:tr2bl w:val="nil"/>
                  </w:tcBorders>
                  <w:noWrap w:val="0"/>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0.082~0.093</w:t>
                  </w:r>
                </w:p>
              </w:tc>
              <w:tc>
                <w:tcPr>
                  <w:tcW w:w="910" w:type="dxa"/>
                  <w:tcBorders>
                    <w:tl2br w:val="nil"/>
                    <w:tr2bl w:val="nil"/>
                  </w:tcBorders>
                  <w:noWrap w:val="0"/>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31.00</w:t>
                  </w:r>
                </w:p>
              </w:tc>
              <w:tc>
                <w:tcPr>
                  <w:tcW w:w="720" w:type="dxa"/>
                  <w:tcBorders>
                    <w:tl2br w:val="nil"/>
                    <w:tr2bl w:val="nil"/>
                  </w:tcBorders>
                  <w:noWrap w:val="0"/>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70" w:type="dxa"/>
                  <w:tcBorders>
                    <w:tl2br w:val="nil"/>
                    <w:tr2bl w:val="nil"/>
                  </w:tcBorders>
                  <w:noWrap w:val="0"/>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1" w:type="dxa"/>
                  <w:vMerge w:val="continue"/>
                  <w:tcBorders>
                    <w:tl2br w:val="nil"/>
                    <w:tr2bl w:val="nil"/>
                  </w:tcBorders>
                  <w:noWrap w:val="0"/>
                  <w:vAlign w:val="center"/>
                </w:tcPr>
                <w:p>
                  <w:pPr>
                    <w:widowControl/>
                    <w:jc w:val="center"/>
                    <w:rPr>
                      <w:color w:val="000000" w:themeColor="text1"/>
                      <w:kern w:val="0"/>
                      <w:szCs w:val="21"/>
                      <w14:textFill>
                        <w14:solidFill>
                          <w14:schemeClr w14:val="tx1"/>
                        </w14:solidFill>
                      </w14:textFill>
                    </w:rPr>
                  </w:pPr>
                </w:p>
              </w:tc>
              <w:tc>
                <w:tcPr>
                  <w:tcW w:w="795" w:type="dxa"/>
                  <w:vMerge w:val="continue"/>
                  <w:tcBorders>
                    <w:tl2br w:val="nil"/>
                    <w:tr2bl w:val="nil"/>
                  </w:tcBorders>
                  <w:noWrap w:val="0"/>
                  <w:vAlign w:val="center"/>
                </w:tcPr>
                <w:p>
                  <w:pPr>
                    <w:widowControl/>
                    <w:jc w:val="center"/>
                    <w:rPr>
                      <w:rFonts w:hint="eastAsia"/>
                      <w:color w:val="000000" w:themeColor="text1"/>
                      <w:szCs w:val="21"/>
                      <w14:textFill>
                        <w14:solidFill>
                          <w14:schemeClr w14:val="tx1"/>
                        </w14:solidFill>
                      </w14:textFill>
                    </w:rPr>
                  </w:pPr>
                </w:p>
              </w:tc>
              <w:tc>
                <w:tcPr>
                  <w:tcW w:w="795" w:type="dxa"/>
                  <w:vMerge w:val="continue"/>
                  <w:tcBorders>
                    <w:tl2br w:val="nil"/>
                    <w:tr2bl w:val="nil"/>
                  </w:tcBorders>
                  <w:noWrap w:val="0"/>
                  <w:vAlign w:val="center"/>
                </w:tcPr>
                <w:p>
                  <w:pPr>
                    <w:widowControl/>
                    <w:jc w:val="center"/>
                    <w:rPr>
                      <w:rFonts w:hint="eastAsia"/>
                      <w:color w:val="000000" w:themeColor="text1"/>
                      <w:szCs w:val="21"/>
                      <w14:textFill>
                        <w14:solidFill>
                          <w14:schemeClr w14:val="tx1"/>
                        </w14:solidFill>
                      </w14:textFill>
                    </w:rPr>
                  </w:pPr>
                </w:p>
              </w:tc>
              <w:tc>
                <w:tcPr>
                  <w:tcW w:w="855" w:type="dxa"/>
                  <w:tcBorders>
                    <w:tl2br w:val="nil"/>
                    <w:tr2bl w:val="nil"/>
                  </w:tcBorders>
                  <w:noWrap w:val="0"/>
                  <w:vAlign w:val="center"/>
                </w:tcPr>
                <w:p>
                  <w:pPr>
                    <w:widowControl/>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汞</w:t>
                  </w:r>
                </w:p>
              </w:tc>
              <w:tc>
                <w:tcPr>
                  <w:tcW w:w="660" w:type="dxa"/>
                  <w:tcBorders>
                    <w:tl2br w:val="nil"/>
                    <w:tr2bl w:val="nil"/>
                  </w:tcBorders>
                  <w:noWrap w:val="0"/>
                  <w:vAlign w:val="center"/>
                </w:tcPr>
                <w:p>
                  <w:pPr>
                    <w:widowControl/>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24h</w:t>
                  </w:r>
                </w:p>
              </w:tc>
              <w:tc>
                <w:tcPr>
                  <w:tcW w:w="740" w:type="dxa"/>
                  <w:tcBorders>
                    <w:tl2br w:val="nil"/>
                    <w:tr2bl w:val="nil"/>
                  </w:tcBorders>
                  <w:noWrap w:val="0"/>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0.05</w:t>
                  </w:r>
                </w:p>
              </w:tc>
              <w:tc>
                <w:tcPr>
                  <w:tcW w:w="1020" w:type="dxa"/>
                  <w:tcBorders>
                    <w:tl2br w:val="nil"/>
                    <w:tr2bl w:val="nil"/>
                  </w:tcBorders>
                  <w:noWrap w:val="0"/>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未检出</w:t>
                  </w:r>
                </w:p>
              </w:tc>
              <w:tc>
                <w:tcPr>
                  <w:tcW w:w="910" w:type="dxa"/>
                  <w:tcBorders>
                    <w:tl2br w:val="nil"/>
                    <w:tr2bl w:val="nil"/>
                  </w:tcBorders>
                  <w:noWrap w:val="0"/>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c>
                <w:tcPr>
                  <w:tcW w:w="720" w:type="dxa"/>
                  <w:tcBorders>
                    <w:tl2br w:val="nil"/>
                    <w:tr2bl w:val="nil"/>
                  </w:tcBorders>
                  <w:noWrap w:val="0"/>
                  <w:vAlign w:val="center"/>
                </w:tcPr>
                <w:p>
                  <w:pPr>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c>
                <w:tcPr>
                  <w:tcW w:w="670" w:type="dxa"/>
                  <w:tcBorders>
                    <w:tl2br w:val="nil"/>
                    <w:tr2bl w:val="nil"/>
                  </w:tcBorders>
                  <w:noWrap w:val="0"/>
                  <w:vAlign w:val="center"/>
                </w:tcPr>
                <w:p>
                  <w:pPr>
                    <w:widowControl/>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1" w:type="dxa"/>
                  <w:vMerge w:val="continue"/>
                  <w:tcBorders>
                    <w:tl2br w:val="nil"/>
                    <w:tr2bl w:val="nil"/>
                  </w:tcBorders>
                  <w:noWrap w:val="0"/>
                  <w:vAlign w:val="center"/>
                </w:tcPr>
                <w:p>
                  <w:pPr>
                    <w:widowControl/>
                    <w:jc w:val="center"/>
                    <w:rPr>
                      <w:color w:val="000000" w:themeColor="text1"/>
                      <w:kern w:val="0"/>
                      <w:szCs w:val="21"/>
                      <w14:textFill>
                        <w14:solidFill>
                          <w14:schemeClr w14:val="tx1"/>
                        </w14:solidFill>
                      </w14:textFill>
                    </w:rPr>
                  </w:pPr>
                </w:p>
              </w:tc>
              <w:tc>
                <w:tcPr>
                  <w:tcW w:w="795" w:type="dxa"/>
                  <w:vMerge w:val="continue"/>
                  <w:tcBorders>
                    <w:tl2br w:val="nil"/>
                    <w:tr2bl w:val="nil"/>
                  </w:tcBorders>
                  <w:noWrap w:val="0"/>
                  <w:vAlign w:val="center"/>
                </w:tcPr>
                <w:p>
                  <w:pPr>
                    <w:widowControl/>
                    <w:jc w:val="center"/>
                    <w:rPr>
                      <w:rFonts w:hint="eastAsia"/>
                      <w:color w:val="000000" w:themeColor="text1"/>
                      <w:szCs w:val="21"/>
                      <w14:textFill>
                        <w14:solidFill>
                          <w14:schemeClr w14:val="tx1"/>
                        </w14:solidFill>
                      </w14:textFill>
                    </w:rPr>
                  </w:pPr>
                </w:p>
              </w:tc>
              <w:tc>
                <w:tcPr>
                  <w:tcW w:w="795" w:type="dxa"/>
                  <w:vMerge w:val="continue"/>
                  <w:tcBorders>
                    <w:tl2br w:val="nil"/>
                    <w:tr2bl w:val="nil"/>
                  </w:tcBorders>
                  <w:noWrap w:val="0"/>
                  <w:vAlign w:val="center"/>
                </w:tcPr>
                <w:p>
                  <w:pPr>
                    <w:widowControl/>
                    <w:jc w:val="center"/>
                    <w:rPr>
                      <w:rFonts w:hint="eastAsia"/>
                      <w:color w:val="000000" w:themeColor="text1"/>
                      <w:szCs w:val="21"/>
                      <w14:textFill>
                        <w14:solidFill>
                          <w14:schemeClr w14:val="tx1"/>
                        </w14:solidFill>
                      </w14:textFill>
                    </w:rPr>
                  </w:pPr>
                </w:p>
              </w:tc>
              <w:tc>
                <w:tcPr>
                  <w:tcW w:w="855" w:type="dxa"/>
                  <w:tcBorders>
                    <w:tl2br w:val="nil"/>
                    <w:tr2bl w:val="nil"/>
                  </w:tcBorders>
                  <w:noWrap w:val="0"/>
                  <w:vAlign w:val="center"/>
                </w:tcPr>
                <w:p>
                  <w:pPr>
                    <w:widowControl/>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硫酸雾</w:t>
                  </w:r>
                </w:p>
              </w:tc>
              <w:tc>
                <w:tcPr>
                  <w:tcW w:w="660" w:type="dxa"/>
                  <w:tcBorders>
                    <w:tl2br w:val="nil"/>
                    <w:tr2bl w:val="nil"/>
                  </w:tcBorders>
                  <w:noWrap w:val="0"/>
                  <w:vAlign w:val="center"/>
                </w:tcPr>
                <w:p>
                  <w:pPr>
                    <w:widowControl/>
                    <w:jc w:val="center"/>
                    <w:rPr>
                      <w:rFonts w:hint="eastAsia"/>
                      <w:color w:val="000000" w:themeColor="text1"/>
                      <w:kern w:val="0"/>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1h</w:t>
                  </w:r>
                </w:p>
              </w:tc>
              <w:tc>
                <w:tcPr>
                  <w:tcW w:w="740" w:type="dxa"/>
                  <w:tcBorders>
                    <w:tl2br w:val="nil"/>
                    <w:tr2bl w:val="nil"/>
                  </w:tcBorders>
                  <w:noWrap w:val="0"/>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0.3</w:t>
                  </w:r>
                </w:p>
              </w:tc>
              <w:tc>
                <w:tcPr>
                  <w:tcW w:w="1020" w:type="dxa"/>
                  <w:tcBorders>
                    <w:tl2br w:val="nil"/>
                    <w:tr2bl w:val="nil"/>
                  </w:tcBorders>
                  <w:noWrap w:val="0"/>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10~18</w:t>
                  </w:r>
                </w:p>
              </w:tc>
              <w:tc>
                <w:tcPr>
                  <w:tcW w:w="910" w:type="dxa"/>
                  <w:tcBorders>
                    <w:tl2br w:val="nil"/>
                    <w:tr2bl w:val="nil"/>
                  </w:tcBorders>
                  <w:noWrap w:val="0"/>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6.00</w:t>
                  </w:r>
                </w:p>
              </w:tc>
              <w:tc>
                <w:tcPr>
                  <w:tcW w:w="720" w:type="dxa"/>
                  <w:tcBorders>
                    <w:tl2br w:val="nil"/>
                    <w:tr2bl w:val="nil"/>
                  </w:tcBorders>
                  <w:noWrap w:val="0"/>
                  <w:vAlign w:val="center"/>
                </w:tcPr>
                <w:p>
                  <w:pPr>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c>
                <w:tcPr>
                  <w:tcW w:w="670" w:type="dxa"/>
                  <w:tcBorders>
                    <w:tl2br w:val="nil"/>
                    <w:tr2bl w:val="nil"/>
                  </w:tcBorders>
                  <w:noWrap w:val="0"/>
                  <w:vAlign w:val="center"/>
                </w:tcPr>
                <w:p>
                  <w:pPr>
                    <w:widowControl/>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1" w:type="dxa"/>
                  <w:vMerge w:val="restart"/>
                  <w:tcBorders>
                    <w:tl2br w:val="nil"/>
                    <w:tr2bl w:val="nil"/>
                  </w:tcBorders>
                  <w:noWrap w:val="0"/>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2#厂址下风向</w:t>
                  </w:r>
                </w:p>
              </w:tc>
              <w:tc>
                <w:tcPr>
                  <w:tcW w:w="795" w:type="dxa"/>
                  <w:vMerge w:val="restart"/>
                  <w:tcBorders>
                    <w:tl2br w:val="nil"/>
                    <w:tr2bl w:val="nil"/>
                  </w:tcBorders>
                  <w:noWrap w:val="0"/>
                  <w:vAlign w:val="center"/>
                </w:tcPr>
                <w:p>
                  <w:pPr>
                    <w:widowControl/>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126.48541868</w:t>
                  </w:r>
                </w:p>
              </w:tc>
              <w:tc>
                <w:tcPr>
                  <w:tcW w:w="795" w:type="dxa"/>
                  <w:vMerge w:val="restart"/>
                  <w:tcBorders>
                    <w:tl2br w:val="nil"/>
                    <w:tr2bl w:val="nil"/>
                  </w:tcBorders>
                  <w:noWrap w:val="0"/>
                  <w:vAlign w:val="center"/>
                </w:tcPr>
                <w:p>
                  <w:pPr>
                    <w:widowControl/>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45.35901723</w:t>
                  </w:r>
                </w:p>
              </w:tc>
              <w:tc>
                <w:tcPr>
                  <w:tcW w:w="855" w:type="dxa"/>
                  <w:tcBorders>
                    <w:tl2br w:val="nil"/>
                    <w:tr2bl w:val="nil"/>
                  </w:tcBorders>
                  <w:noWrap w:val="0"/>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TSP</w:t>
                  </w:r>
                </w:p>
              </w:tc>
              <w:tc>
                <w:tcPr>
                  <w:tcW w:w="660" w:type="dxa"/>
                  <w:tcBorders>
                    <w:tl2br w:val="nil"/>
                    <w:tr2bl w:val="nil"/>
                  </w:tcBorders>
                  <w:noWrap w:val="0"/>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14:textFill>
                        <w14:solidFill>
                          <w14:schemeClr w14:val="tx1"/>
                        </w14:solidFill>
                      </w14:textFill>
                    </w:rPr>
                    <w:t>24h</w:t>
                  </w:r>
                </w:p>
              </w:tc>
              <w:tc>
                <w:tcPr>
                  <w:tcW w:w="740" w:type="dxa"/>
                  <w:tcBorders>
                    <w:tl2br w:val="nil"/>
                    <w:tr2bl w:val="nil"/>
                  </w:tcBorders>
                  <w:noWrap w:val="0"/>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0.3</w:t>
                  </w:r>
                </w:p>
              </w:tc>
              <w:tc>
                <w:tcPr>
                  <w:tcW w:w="1020" w:type="dxa"/>
                  <w:tcBorders>
                    <w:tl2br w:val="nil"/>
                    <w:tr2bl w:val="nil"/>
                  </w:tcBorders>
                  <w:noWrap w:val="0"/>
                  <w:vAlign w:val="center"/>
                </w:tcPr>
                <w:p>
                  <w:pPr>
                    <w:widowControl/>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0.094~0.101</w:t>
                  </w:r>
                </w:p>
              </w:tc>
              <w:tc>
                <w:tcPr>
                  <w:tcW w:w="910" w:type="dxa"/>
                  <w:tcBorders>
                    <w:tl2br w:val="nil"/>
                    <w:tr2bl w:val="nil"/>
                  </w:tcBorders>
                  <w:noWrap w:val="0"/>
                  <w:vAlign w:val="center"/>
                </w:tcPr>
                <w:p>
                  <w:pPr>
                    <w:widowControl/>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33.67</w:t>
                  </w:r>
                </w:p>
              </w:tc>
              <w:tc>
                <w:tcPr>
                  <w:tcW w:w="720" w:type="dxa"/>
                  <w:tcBorders>
                    <w:tl2br w:val="nil"/>
                    <w:tr2bl w:val="nil"/>
                  </w:tcBorders>
                  <w:noWrap w:val="0"/>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70" w:type="dxa"/>
                  <w:tcBorders>
                    <w:tl2br w:val="nil"/>
                    <w:tr2bl w:val="nil"/>
                  </w:tcBorders>
                  <w:noWrap w:val="0"/>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1" w:type="dxa"/>
                  <w:vMerge w:val="continue"/>
                </w:tcPr>
                <w:p>
                  <w:pPr>
                    <w:widowControl/>
                    <w:jc w:val="center"/>
                    <w:rPr>
                      <w:color w:val="000000" w:themeColor="text1"/>
                      <w:kern w:val="0"/>
                      <w:szCs w:val="21"/>
                      <w14:textFill>
                        <w14:solidFill>
                          <w14:schemeClr w14:val="tx1"/>
                        </w14:solidFill>
                      </w14:textFill>
                    </w:rPr>
                  </w:pPr>
                </w:p>
              </w:tc>
              <w:tc>
                <w:tcPr>
                  <w:tcW w:w="795" w:type="dxa"/>
                  <w:vMerge w:val="continue"/>
                </w:tcPr>
                <w:p>
                  <w:pPr>
                    <w:widowControl/>
                    <w:jc w:val="center"/>
                    <w:rPr>
                      <w:rFonts w:hint="eastAsia"/>
                      <w:color w:val="000000" w:themeColor="text1"/>
                      <w:szCs w:val="21"/>
                      <w14:textFill>
                        <w14:solidFill>
                          <w14:schemeClr w14:val="tx1"/>
                        </w14:solidFill>
                      </w14:textFill>
                    </w:rPr>
                  </w:pPr>
                </w:p>
              </w:tc>
              <w:tc>
                <w:tcPr>
                  <w:tcW w:w="795" w:type="dxa"/>
                  <w:vMerge w:val="continue"/>
                </w:tcPr>
                <w:p>
                  <w:pPr>
                    <w:widowControl/>
                    <w:jc w:val="center"/>
                    <w:rPr>
                      <w:rFonts w:hint="eastAsia"/>
                      <w:color w:val="000000" w:themeColor="text1"/>
                      <w:szCs w:val="21"/>
                      <w14:textFill>
                        <w14:solidFill>
                          <w14:schemeClr w14:val="tx1"/>
                        </w14:solidFill>
                      </w14:textFill>
                    </w:rPr>
                  </w:pPr>
                </w:p>
              </w:tc>
              <w:tc>
                <w:tcPr>
                  <w:tcW w:w="855" w:type="dxa"/>
                  <w:vAlign w:val="center"/>
                </w:tcPr>
                <w:p>
                  <w:pPr>
                    <w:widowControl/>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汞</w:t>
                  </w:r>
                </w:p>
              </w:tc>
              <w:tc>
                <w:tcPr>
                  <w:tcW w:w="660" w:type="dxa"/>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14:textFill>
                        <w14:solidFill>
                          <w14:schemeClr w14:val="tx1"/>
                        </w14:solidFill>
                      </w14:textFill>
                    </w:rPr>
                    <w:t>24h</w:t>
                  </w:r>
                </w:p>
              </w:tc>
              <w:tc>
                <w:tcPr>
                  <w:tcW w:w="740" w:type="dxa"/>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0.05</w:t>
                  </w:r>
                </w:p>
              </w:tc>
              <w:tc>
                <w:tcPr>
                  <w:tcW w:w="1020" w:type="dxa"/>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未检出</w:t>
                  </w:r>
                </w:p>
              </w:tc>
              <w:tc>
                <w:tcPr>
                  <w:tcW w:w="910" w:type="dxa"/>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c>
                <w:tcPr>
                  <w:tcW w:w="720" w:type="dxa"/>
                  <w:vAlign w:val="center"/>
                </w:tcPr>
                <w:p>
                  <w:pPr>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c>
                <w:tcPr>
                  <w:tcW w:w="670" w:type="dxa"/>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1" w:type="dxa"/>
                  <w:vMerge w:val="continue"/>
                </w:tcPr>
                <w:p>
                  <w:pPr>
                    <w:widowControl/>
                    <w:jc w:val="center"/>
                    <w:rPr>
                      <w:color w:val="000000" w:themeColor="text1"/>
                      <w:kern w:val="0"/>
                      <w:szCs w:val="21"/>
                      <w14:textFill>
                        <w14:solidFill>
                          <w14:schemeClr w14:val="tx1"/>
                        </w14:solidFill>
                      </w14:textFill>
                    </w:rPr>
                  </w:pPr>
                </w:p>
              </w:tc>
              <w:tc>
                <w:tcPr>
                  <w:tcW w:w="795" w:type="dxa"/>
                  <w:vMerge w:val="continue"/>
                </w:tcPr>
                <w:p>
                  <w:pPr>
                    <w:widowControl/>
                    <w:jc w:val="center"/>
                    <w:rPr>
                      <w:rFonts w:hint="eastAsia"/>
                      <w:color w:val="000000" w:themeColor="text1"/>
                      <w:szCs w:val="21"/>
                      <w14:textFill>
                        <w14:solidFill>
                          <w14:schemeClr w14:val="tx1"/>
                        </w14:solidFill>
                      </w14:textFill>
                    </w:rPr>
                  </w:pPr>
                </w:p>
              </w:tc>
              <w:tc>
                <w:tcPr>
                  <w:tcW w:w="795" w:type="dxa"/>
                  <w:vMerge w:val="continue"/>
                </w:tcPr>
                <w:p>
                  <w:pPr>
                    <w:widowControl/>
                    <w:jc w:val="center"/>
                    <w:rPr>
                      <w:rFonts w:hint="eastAsia"/>
                      <w:color w:val="000000" w:themeColor="text1"/>
                      <w:szCs w:val="21"/>
                      <w14:textFill>
                        <w14:solidFill>
                          <w14:schemeClr w14:val="tx1"/>
                        </w14:solidFill>
                      </w14:textFill>
                    </w:rPr>
                  </w:pPr>
                </w:p>
              </w:tc>
              <w:tc>
                <w:tcPr>
                  <w:tcW w:w="855" w:type="dxa"/>
                  <w:vAlign w:val="center"/>
                </w:tcPr>
                <w:p>
                  <w:pPr>
                    <w:widowControl/>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硫酸雾</w:t>
                  </w:r>
                </w:p>
              </w:tc>
              <w:tc>
                <w:tcPr>
                  <w:tcW w:w="660" w:type="dxa"/>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1h</w:t>
                  </w:r>
                </w:p>
              </w:tc>
              <w:tc>
                <w:tcPr>
                  <w:tcW w:w="740" w:type="dxa"/>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0.3</w:t>
                  </w:r>
                </w:p>
              </w:tc>
              <w:tc>
                <w:tcPr>
                  <w:tcW w:w="1020" w:type="dxa"/>
                  <w:vAlign w:val="center"/>
                </w:tcPr>
                <w:p>
                  <w:pPr>
                    <w:widowControl/>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10~17</w:t>
                  </w:r>
                </w:p>
              </w:tc>
              <w:tc>
                <w:tcPr>
                  <w:tcW w:w="910" w:type="dxa"/>
                  <w:vAlign w:val="center"/>
                </w:tcPr>
                <w:p>
                  <w:pPr>
                    <w:widowControl/>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5.67</w:t>
                  </w:r>
                </w:p>
              </w:tc>
              <w:tc>
                <w:tcPr>
                  <w:tcW w:w="720" w:type="dxa"/>
                  <w:vAlign w:val="center"/>
                </w:tcPr>
                <w:p>
                  <w:pPr>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c>
                <w:tcPr>
                  <w:tcW w:w="670" w:type="dxa"/>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Cs w:val="21"/>
                      <w14:textFill>
                        <w14:solidFill>
                          <w14:schemeClr w14:val="tx1"/>
                        </w14:solidFill>
                      </w14:textFill>
                    </w:rPr>
                    <w:t>达标</w:t>
                  </w:r>
                </w:p>
              </w:tc>
            </w:tr>
          </w:tbl>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color w:val="000000" w:themeColor="text1"/>
                <w:sz w:val="24"/>
                <w14:textFill>
                  <w14:solidFill>
                    <w14:schemeClr w14:val="tx1"/>
                  </w14:solidFill>
                </w14:textFill>
              </w:rPr>
              <w:t>由上表可以看出，本项目所</w:t>
            </w:r>
            <w:r>
              <w:rPr>
                <w:rFonts w:hint="eastAsia"/>
                <w:color w:val="000000" w:themeColor="text1"/>
                <w:sz w:val="24"/>
                <w:lang w:val="en-US" w:eastAsia="zh-CN"/>
                <w14:textFill>
                  <w14:solidFill>
                    <w14:schemeClr w14:val="tx1"/>
                  </w14:solidFill>
                </w14:textFill>
              </w:rPr>
              <w:t xml:space="preserve"> </w:t>
            </w:r>
            <w:r>
              <w:rPr>
                <w:rFonts w:hint="eastAsia"/>
                <w:color w:val="000000" w:themeColor="text1"/>
                <w:sz w:val="24"/>
                <w14:textFill>
                  <w14:solidFill>
                    <w14:schemeClr w14:val="tx1"/>
                  </w14:solidFill>
                </w14:textFill>
              </w:rPr>
              <w:t>在地TSP</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汞</w:t>
            </w:r>
            <w:r>
              <w:rPr>
                <w:rFonts w:hint="eastAsia"/>
                <w:color w:val="000000" w:themeColor="text1"/>
                <w:sz w:val="24"/>
                <w14:textFill>
                  <w14:solidFill>
                    <w14:schemeClr w14:val="tx1"/>
                  </w14:solidFill>
                </w14:textFill>
              </w:rPr>
              <w:t>日均值可满足《环境空气质量标准》（GB3095-2012）二级标准要求</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硫酸雾小时值可满足《环境影响评价技术导则 大气环境》（HJ2.2-2018）附录D其他污染物空气环境质量浓度参考限值要求</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pPr>
              <w:pStyle w:val="23"/>
              <w:rPr>
                <w:rFonts w:hint="default"/>
              </w:rPr>
            </w:pPr>
          </w:p>
          <w:p>
            <w:pPr>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二、地表水环境质量现状</w:t>
            </w:r>
          </w:p>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本项目不向外环境排放水污染物，根据《环境影响评价技术导则地表水环境》（HJ2.3-2018），可不开展污染源调查，水环境质量现状调查优先采用生态环境保护主管部门统一发布的水环境状况信息。</w:t>
            </w:r>
            <w:r>
              <w:rPr>
                <w:rFonts w:hint="eastAsia"/>
                <w:sz w:val="24"/>
              </w:rPr>
              <w:t>本项目附近水体为拉林河，距拉林河最近距离为8km。</w:t>
            </w:r>
            <w:bookmarkStart w:id="44" w:name="_Hlk114662934"/>
            <w:r>
              <w:rPr>
                <w:sz w:val="24"/>
              </w:rPr>
              <w:t>根据《2021年哈尔滨市生态环境质量报告书》，</w:t>
            </w:r>
            <w:bookmarkStart w:id="45" w:name="_Hlk114662987"/>
            <w:r>
              <w:rPr>
                <w:sz w:val="24"/>
              </w:rPr>
              <w:t>拉林河沿程</w:t>
            </w:r>
            <w:bookmarkEnd w:id="45"/>
            <w:r>
              <w:rPr>
                <w:sz w:val="24"/>
              </w:rPr>
              <w:t>4个点位（</w:t>
            </w:r>
            <w:r>
              <w:rPr>
                <w:rFonts w:hint="eastAsia"/>
                <w:sz w:val="24"/>
              </w:rPr>
              <w:t>长胜橡胶坝</w:t>
            </w:r>
            <w:r>
              <w:rPr>
                <w:sz w:val="24"/>
              </w:rPr>
              <w:t>、兴盛乡、</w:t>
            </w:r>
            <w:r>
              <w:rPr>
                <w:rFonts w:hint="eastAsia"/>
                <w:sz w:val="24"/>
              </w:rPr>
              <w:t>蔡家沟</w:t>
            </w:r>
            <w:r>
              <w:rPr>
                <w:sz w:val="24"/>
              </w:rPr>
              <w:t>、苗家）</w:t>
            </w:r>
            <w:bookmarkEnd w:id="44"/>
            <w:r>
              <w:rPr>
                <w:sz w:val="24"/>
              </w:rPr>
              <w:t>，水质稳定为Ⅲ类。2021年哈尔滨市国考点位拉林河兴盛乡和苗家两个监测断面</w:t>
            </w:r>
            <w:bookmarkStart w:id="46" w:name="_Hlk114663007"/>
            <w:r>
              <w:rPr>
                <w:sz w:val="24"/>
              </w:rPr>
              <w:t>水质均达到《地表水环境质量标准》（GB3838-2002）Ⅲ类标准，</w:t>
            </w:r>
            <w:bookmarkEnd w:id="46"/>
            <w:r>
              <w:rPr>
                <w:sz w:val="24"/>
              </w:rPr>
              <w:t>达到考核目标要求。</w:t>
            </w:r>
          </w:p>
          <w:p>
            <w:pPr>
              <w:bidi w:val="0"/>
              <w:spacing w:beforeAutospacing="0" w:afterAutospacing="0" w:line="360" w:lineRule="auto"/>
              <w:ind w:left="0" w:leftChars="0" w:right="0" w:rightChars="0" w:firstLine="482" w:firstLineChars="200"/>
              <w:rPr>
                <w:rFonts w:hint="default" w:ascii="Times New Roman" w:hAnsi="Times New Roman" w:eastAsia="宋体" w:cs="Times New Roman"/>
                <w:b/>
                <w:color w:val="auto"/>
                <w:kern w:val="0"/>
                <w:sz w:val="24"/>
              </w:rPr>
            </w:pPr>
            <w:r>
              <w:rPr>
                <w:rFonts w:hint="default" w:ascii="Times New Roman" w:hAnsi="Times New Roman" w:eastAsia="宋体" w:cs="Times New Roman"/>
                <w:b/>
                <w:bCs/>
                <w:color w:val="auto"/>
                <w:sz w:val="24"/>
              </w:rPr>
              <w:t>三、</w:t>
            </w:r>
            <w:r>
              <w:rPr>
                <w:rFonts w:hint="default" w:ascii="Times New Roman" w:hAnsi="Times New Roman" w:eastAsia="宋体" w:cs="Times New Roman"/>
                <w:b/>
                <w:color w:val="auto"/>
                <w:kern w:val="0"/>
                <w:sz w:val="24"/>
              </w:rPr>
              <w:t>声环境质量现状</w:t>
            </w:r>
          </w:p>
          <w:p>
            <w:pPr>
              <w:pStyle w:val="10"/>
              <w:bidi w:val="0"/>
              <w:spacing w:beforeAutospacing="0" w:afterAutospacing="0" w:line="360" w:lineRule="auto"/>
              <w:ind w:left="0" w:leftChars="0" w:right="0" w:rightChars="0" w:firstLine="480" w:firstLineChars="200"/>
              <w:jc w:val="both"/>
              <w:rPr>
                <w:rFonts w:hint="eastAsia"/>
                <w:sz w:val="24"/>
                <w:lang w:eastAsia="zh-CN"/>
              </w:rPr>
            </w:pPr>
            <w:r>
              <w:rPr>
                <w:sz w:val="24"/>
              </w:rPr>
              <w:t>根据《2021年哈尔滨市生态环境质量报告书》，202</w:t>
            </w:r>
            <w:r>
              <w:rPr>
                <w:rFonts w:hint="eastAsia"/>
                <w:sz w:val="24"/>
              </w:rPr>
              <w:t>1</w:t>
            </w:r>
            <w:r>
              <w:rPr>
                <w:sz w:val="24"/>
              </w:rPr>
              <w:t>双城区声环境等效声级面积加权平均值为54.9分贝，质量等级为</w:t>
            </w:r>
            <w:r>
              <w:rPr>
                <w:rFonts w:hint="eastAsia"/>
                <w:sz w:val="24"/>
              </w:rPr>
              <w:t>二</w:t>
            </w:r>
            <w:r>
              <w:rPr>
                <w:sz w:val="24"/>
              </w:rPr>
              <w:t>级，评价等级为</w:t>
            </w:r>
            <w:r>
              <w:rPr>
                <w:rFonts w:hint="eastAsia"/>
                <w:sz w:val="24"/>
              </w:rPr>
              <w:t>良好</w:t>
            </w:r>
            <w:r>
              <w:rPr>
                <w:sz w:val="24"/>
              </w:rPr>
              <w:t>。根据现状监测数据，项目厂界及敏感目标处噪声监测值满足《声环境质量标准》（GB3096-2008）中2类标准</w:t>
            </w:r>
            <w:r>
              <w:rPr>
                <w:rFonts w:hint="eastAsia"/>
                <w:sz w:val="24"/>
                <w:lang w:eastAsia="zh-CN"/>
              </w:rPr>
              <w:t>。</w:t>
            </w:r>
          </w:p>
          <w:p>
            <w:pPr>
              <w:pStyle w:val="10"/>
              <w:bidi w:val="0"/>
              <w:spacing w:beforeAutospacing="0" w:afterAutospacing="0" w:line="360" w:lineRule="auto"/>
              <w:ind w:left="0" w:leftChars="0" w:right="0" w:rightChars="0" w:firstLine="480" w:firstLineChars="200"/>
              <w:jc w:val="both"/>
              <w:rPr>
                <w:rFonts w:hint="eastAsia" w:cs="Times New Roman"/>
                <w:color w:val="auto"/>
                <w:sz w:val="24"/>
                <w:lang w:val="en-US" w:eastAsia="zh-CN"/>
              </w:rPr>
            </w:pPr>
            <w:r>
              <w:rPr>
                <w:rFonts w:hint="eastAsia" w:cs="Times New Roman"/>
                <w:snapToGrid w:val="0"/>
                <w:color w:val="auto"/>
                <w:sz w:val="24"/>
                <w:lang w:val="en-US" w:eastAsia="zh-CN"/>
              </w:rPr>
              <w:t>本项目厂界四周声环境质量现</w:t>
            </w:r>
            <w:r>
              <w:rPr>
                <w:rFonts w:hint="eastAsia" w:cs="Times New Roman"/>
                <w:snapToGrid w:val="0"/>
                <w:color w:val="000000" w:themeColor="text1"/>
                <w:sz w:val="24"/>
                <w:lang w:val="en-US" w:eastAsia="zh-CN"/>
                <w14:textFill>
                  <w14:solidFill>
                    <w14:schemeClr w14:val="tx1"/>
                  </w14:solidFill>
                </w14:textFill>
              </w:rPr>
              <w:t>状委托</w:t>
            </w:r>
            <w:r>
              <w:rPr>
                <w:rFonts w:hint="eastAsia" w:cs="Times New Roman"/>
                <w:color w:val="000000" w:themeColor="text1"/>
                <w:sz w:val="24"/>
                <w:lang w:val="en-US" w:eastAsia="zh-CN"/>
                <w14:textFill>
                  <w14:solidFill>
                    <w14:schemeClr w14:val="tx1"/>
                  </w14:solidFill>
                </w14:textFill>
              </w:rPr>
              <w:t>黑龙江环羽新晨检测有限公司于2023年2月3日~2月4日</w:t>
            </w:r>
            <w:r>
              <w:rPr>
                <w:rFonts w:hint="eastAsia" w:cs="Times New Roman"/>
                <w:snapToGrid w:val="0"/>
                <w:color w:val="000000" w:themeColor="text1"/>
                <w:sz w:val="24"/>
                <w:lang w:val="en-US" w:eastAsia="zh-CN"/>
                <w14:textFill>
                  <w14:solidFill>
                    <w14:schemeClr w14:val="tx1"/>
                  </w14:solidFill>
                </w14:textFill>
              </w:rPr>
              <w:t>对项目所在区域</w:t>
            </w:r>
            <w:r>
              <w:rPr>
                <w:rFonts w:hint="eastAsia" w:cs="Times New Roman"/>
                <w:snapToGrid w:val="0"/>
                <w:color w:val="auto"/>
                <w:sz w:val="24"/>
                <w:lang w:val="en-US" w:eastAsia="zh-CN"/>
              </w:rPr>
              <w:t>进行监测。</w:t>
            </w:r>
            <w:r>
              <w:rPr>
                <w:rFonts w:hint="eastAsia" w:cs="Times New Roman"/>
                <w:color w:val="auto"/>
                <w:sz w:val="24"/>
                <w:lang w:val="en-US" w:eastAsia="zh-CN"/>
              </w:rPr>
              <w:t>在本项目厂界四周布设4个检测点位，周围敏感点布设三个点位。监测点基本信息见表3-4，监测点位见图3-2，评价结果见表3-5。</w:t>
            </w:r>
          </w:p>
          <w:p>
            <w:pPr>
              <w:pStyle w:val="13"/>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sz w:val="24"/>
                <w:szCs w:val="24"/>
                <w:lang w:val="en-US" w:eastAsia="zh-CN"/>
              </w:rPr>
              <w:t>表3-</w:t>
            </w:r>
            <w:r>
              <w:rPr>
                <w:rFonts w:hint="eastAsia"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eastAsia="宋体" w:cs="Times New Roman"/>
                <w:b/>
                <w:bCs/>
                <w:color w:val="auto"/>
                <w:sz w:val="24"/>
                <w:szCs w:val="24"/>
                <w:lang w:val="en-US" w:eastAsia="zh-CN"/>
              </w:rPr>
              <w:t>声环境监测布点位置</w:t>
            </w:r>
          </w:p>
          <w:tbl>
            <w:tblPr>
              <w:tblStyle w:val="18"/>
              <w:tblW w:w="79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602"/>
              <w:gridCol w:w="3649"/>
              <w:gridCol w:w="1627"/>
              <w:gridCol w:w="10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602"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监测点位</w:t>
                  </w:r>
                </w:p>
              </w:tc>
              <w:tc>
                <w:tcPr>
                  <w:tcW w:w="3649"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点位位置</w:t>
                  </w:r>
                </w:p>
              </w:tc>
              <w:tc>
                <w:tcPr>
                  <w:tcW w:w="1627" w:type="dxa"/>
                  <w:tcBorders>
                    <w:tl2br w:val="nil"/>
                    <w:tr2bl w:val="nil"/>
                  </w:tcBorders>
                  <w:noWrap/>
                  <w:vAlign w:val="center"/>
                </w:tcPr>
                <w:p>
                  <w:pPr>
                    <w:pStyle w:val="39"/>
                    <w:tabs>
                      <w:tab w:val="left" w:pos="1120"/>
                    </w:tabs>
                    <w:adjustRightInd/>
                    <w:spacing w:beforeLines="0" w:afterLines="0" w:line="264" w:lineRule="auto"/>
                    <w:rPr>
                      <w:rFonts w:ascii="Times New Roman"/>
                      <w:bCs/>
                      <w:szCs w:val="21"/>
                    </w:rPr>
                  </w:pPr>
                  <w:r>
                    <w:rPr>
                      <w:rFonts w:ascii="Times New Roman"/>
                      <w:szCs w:val="21"/>
                    </w:rPr>
                    <w:t>监测项目</w:t>
                  </w:r>
                </w:p>
              </w:tc>
              <w:tc>
                <w:tcPr>
                  <w:tcW w:w="1065"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环境功能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602"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1#</w:t>
                  </w:r>
                </w:p>
              </w:tc>
              <w:tc>
                <w:tcPr>
                  <w:tcW w:w="3649" w:type="dxa"/>
                  <w:tcBorders>
                    <w:tl2br w:val="nil"/>
                    <w:tr2bl w:val="nil"/>
                  </w:tcBorders>
                  <w:noWrap/>
                  <w:vAlign w:val="center"/>
                </w:tcPr>
                <w:p>
                  <w:pPr>
                    <w:spacing w:line="264" w:lineRule="auto"/>
                    <w:jc w:val="center"/>
                    <w:rPr>
                      <w:szCs w:val="21"/>
                    </w:rPr>
                  </w:pPr>
                  <w:r>
                    <w:rPr>
                      <w:szCs w:val="21"/>
                    </w:rPr>
                    <w:t>厂界</w:t>
                  </w:r>
                  <w:r>
                    <w:rPr>
                      <w:rFonts w:hint="eastAsia"/>
                      <w:szCs w:val="21"/>
                      <w:lang w:val="en-US" w:eastAsia="zh-CN"/>
                    </w:rPr>
                    <w:t>东</w:t>
                  </w:r>
                  <w:r>
                    <w:rPr>
                      <w:szCs w:val="21"/>
                    </w:rPr>
                    <w:t>外1m</w:t>
                  </w:r>
                </w:p>
              </w:tc>
              <w:tc>
                <w:tcPr>
                  <w:tcW w:w="1627"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昼/夜Leq</w:t>
                  </w:r>
                </w:p>
              </w:tc>
              <w:tc>
                <w:tcPr>
                  <w:tcW w:w="1065"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602"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2#</w:t>
                  </w:r>
                </w:p>
              </w:tc>
              <w:tc>
                <w:tcPr>
                  <w:tcW w:w="3649" w:type="dxa"/>
                  <w:tcBorders>
                    <w:tl2br w:val="nil"/>
                    <w:tr2bl w:val="nil"/>
                  </w:tcBorders>
                  <w:noWrap/>
                  <w:vAlign w:val="center"/>
                </w:tcPr>
                <w:p>
                  <w:pPr>
                    <w:spacing w:line="264" w:lineRule="auto"/>
                    <w:jc w:val="center"/>
                    <w:rPr>
                      <w:szCs w:val="21"/>
                    </w:rPr>
                  </w:pPr>
                  <w:r>
                    <w:rPr>
                      <w:szCs w:val="21"/>
                    </w:rPr>
                    <w:t>厂界</w:t>
                  </w:r>
                  <w:r>
                    <w:rPr>
                      <w:rFonts w:hint="eastAsia"/>
                      <w:szCs w:val="21"/>
                      <w:lang w:val="en-US" w:eastAsia="zh-CN"/>
                    </w:rPr>
                    <w:t>南</w:t>
                  </w:r>
                  <w:r>
                    <w:rPr>
                      <w:szCs w:val="21"/>
                    </w:rPr>
                    <w:t>外1m</w:t>
                  </w:r>
                </w:p>
              </w:tc>
              <w:tc>
                <w:tcPr>
                  <w:tcW w:w="1627" w:type="dxa"/>
                  <w:tcBorders>
                    <w:tl2br w:val="nil"/>
                    <w:tr2bl w:val="nil"/>
                  </w:tcBorders>
                  <w:noWrap/>
                  <w:vAlign w:val="center"/>
                </w:tcPr>
                <w:p>
                  <w:pPr>
                    <w:spacing w:line="264" w:lineRule="auto"/>
                    <w:jc w:val="center"/>
                    <w:rPr>
                      <w:szCs w:val="21"/>
                    </w:rPr>
                  </w:pPr>
                  <w:r>
                    <w:rPr>
                      <w:szCs w:val="21"/>
                    </w:rPr>
                    <w:t>昼/夜Leq</w:t>
                  </w:r>
                </w:p>
              </w:tc>
              <w:tc>
                <w:tcPr>
                  <w:tcW w:w="1065"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602"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3#</w:t>
                  </w:r>
                </w:p>
              </w:tc>
              <w:tc>
                <w:tcPr>
                  <w:tcW w:w="3649" w:type="dxa"/>
                  <w:tcBorders>
                    <w:tl2br w:val="nil"/>
                    <w:tr2bl w:val="nil"/>
                  </w:tcBorders>
                  <w:noWrap/>
                  <w:vAlign w:val="center"/>
                </w:tcPr>
                <w:p>
                  <w:pPr>
                    <w:spacing w:line="264" w:lineRule="auto"/>
                    <w:jc w:val="center"/>
                    <w:rPr>
                      <w:szCs w:val="21"/>
                    </w:rPr>
                  </w:pPr>
                  <w:r>
                    <w:rPr>
                      <w:szCs w:val="21"/>
                    </w:rPr>
                    <w:t>厂界</w:t>
                  </w:r>
                  <w:r>
                    <w:rPr>
                      <w:rFonts w:hint="eastAsia"/>
                      <w:szCs w:val="21"/>
                      <w:lang w:val="en-US" w:eastAsia="zh-CN"/>
                    </w:rPr>
                    <w:t>西</w:t>
                  </w:r>
                  <w:r>
                    <w:rPr>
                      <w:szCs w:val="21"/>
                    </w:rPr>
                    <w:t>外1m</w:t>
                  </w:r>
                </w:p>
              </w:tc>
              <w:tc>
                <w:tcPr>
                  <w:tcW w:w="1627" w:type="dxa"/>
                  <w:tcBorders>
                    <w:tl2br w:val="nil"/>
                    <w:tr2bl w:val="nil"/>
                  </w:tcBorders>
                  <w:noWrap/>
                  <w:vAlign w:val="center"/>
                </w:tcPr>
                <w:p>
                  <w:pPr>
                    <w:spacing w:line="264" w:lineRule="auto"/>
                    <w:jc w:val="center"/>
                    <w:rPr>
                      <w:szCs w:val="21"/>
                    </w:rPr>
                  </w:pPr>
                  <w:r>
                    <w:rPr>
                      <w:szCs w:val="21"/>
                    </w:rPr>
                    <w:t>昼/夜Leq</w:t>
                  </w:r>
                </w:p>
              </w:tc>
              <w:tc>
                <w:tcPr>
                  <w:tcW w:w="1065"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602"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4#</w:t>
                  </w:r>
                </w:p>
              </w:tc>
              <w:tc>
                <w:tcPr>
                  <w:tcW w:w="3649" w:type="dxa"/>
                  <w:tcBorders>
                    <w:tl2br w:val="nil"/>
                    <w:tr2bl w:val="nil"/>
                  </w:tcBorders>
                  <w:noWrap/>
                  <w:vAlign w:val="center"/>
                </w:tcPr>
                <w:p>
                  <w:pPr>
                    <w:spacing w:line="264" w:lineRule="auto"/>
                    <w:jc w:val="center"/>
                    <w:rPr>
                      <w:szCs w:val="21"/>
                    </w:rPr>
                  </w:pPr>
                  <w:r>
                    <w:rPr>
                      <w:szCs w:val="21"/>
                    </w:rPr>
                    <w:t>厂界</w:t>
                  </w:r>
                  <w:r>
                    <w:rPr>
                      <w:rFonts w:hint="eastAsia"/>
                      <w:szCs w:val="21"/>
                      <w:lang w:val="en-US" w:eastAsia="zh-CN"/>
                    </w:rPr>
                    <w:t>北</w:t>
                  </w:r>
                  <w:r>
                    <w:rPr>
                      <w:szCs w:val="21"/>
                    </w:rPr>
                    <w:t>外1m</w:t>
                  </w:r>
                </w:p>
              </w:tc>
              <w:tc>
                <w:tcPr>
                  <w:tcW w:w="1627" w:type="dxa"/>
                  <w:tcBorders>
                    <w:tl2br w:val="nil"/>
                    <w:tr2bl w:val="nil"/>
                  </w:tcBorders>
                  <w:noWrap/>
                  <w:vAlign w:val="center"/>
                </w:tcPr>
                <w:p>
                  <w:pPr>
                    <w:spacing w:line="264" w:lineRule="auto"/>
                    <w:jc w:val="center"/>
                    <w:rPr>
                      <w:szCs w:val="21"/>
                    </w:rPr>
                  </w:pPr>
                  <w:r>
                    <w:rPr>
                      <w:szCs w:val="21"/>
                    </w:rPr>
                    <w:t>昼/夜Leq</w:t>
                  </w:r>
                </w:p>
              </w:tc>
              <w:tc>
                <w:tcPr>
                  <w:tcW w:w="1065"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602"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5#</w:t>
                  </w:r>
                </w:p>
              </w:tc>
              <w:tc>
                <w:tcPr>
                  <w:tcW w:w="3649" w:type="dxa"/>
                  <w:tcBorders>
                    <w:tl2br w:val="nil"/>
                    <w:tr2bl w:val="nil"/>
                  </w:tcBorders>
                  <w:noWrap/>
                  <w:vAlign w:val="center"/>
                </w:tcPr>
                <w:p>
                  <w:pPr>
                    <w:spacing w:line="264" w:lineRule="auto"/>
                    <w:jc w:val="center"/>
                    <w:rPr>
                      <w:szCs w:val="21"/>
                    </w:rPr>
                  </w:pPr>
                  <w:r>
                    <w:rPr>
                      <w:szCs w:val="21"/>
                    </w:rPr>
                    <w:t>厂界</w:t>
                  </w:r>
                  <w:r>
                    <w:rPr>
                      <w:rFonts w:hint="eastAsia"/>
                      <w:szCs w:val="21"/>
                    </w:rPr>
                    <w:t>东</w:t>
                  </w:r>
                  <w:r>
                    <w:rPr>
                      <w:rFonts w:hint="eastAsia"/>
                      <w:szCs w:val="21"/>
                      <w:lang w:val="en-US" w:eastAsia="zh-CN"/>
                    </w:rPr>
                    <w:t>北</w:t>
                  </w:r>
                  <w:r>
                    <w:rPr>
                      <w:szCs w:val="21"/>
                    </w:rPr>
                    <w:t>角民房旁</w:t>
                  </w:r>
                </w:p>
              </w:tc>
              <w:tc>
                <w:tcPr>
                  <w:tcW w:w="1627" w:type="dxa"/>
                  <w:tcBorders>
                    <w:tl2br w:val="nil"/>
                    <w:tr2bl w:val="nil"/>
                  </w:tcBorders>
                  <w:noWrap/>
                  <w:vAlign w:val="center"/>
                </w:tcPr>
                <w:p>
                  <w:pPr>
                    <w:spacing w:line="264" w:lineRule="auto"/>
                    <w:jc w:val="center"/>
                    <w:rPr>
                      <w:kern w:val="0"/>
                      <w:szCs w:val="21"/>
                    </w:rPr>
                  </w:pPr>
                  <w:r>
                    <w:rPr>
                      <w:szCs w:val="21"/>
                    </w:rPr>
                    <w:t>昼/夜Leq</w:t>
                  </w:r>
                </w:p>
              </w:tc>
              <w:tc>
                <w:tcPr>
                  <w:tcW w:w="1065"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602"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6#</w:t>
                  </w:r>
                </w:p>
              </w:tc>
              <w:tc>
                <w:tcPr>
                  <w:tcW w:w="3649" w:type="dxa"/>
                  <w:tcBorders>
                    <w:tl2br w:val="nil"/>
                    <w:tr2bl w:val="nil"/>
                  </w:tcBorders>
                  <w:noWrap/>
                  <w:vAlign w:val="center"/>
                </w:tcPr>
                <w:p>
                  <w:pPr>
                    <w:spacing w:line="264" w:lineRule="auto"/>
                    <w:jc w:val="center"/>
                    <w:rPr>
                      <w:szCs w:val="21"/>
                    </w:rPr>
                  </w:pPr>
                  <w:r>
                    <w:rPr>
                      <w:szCs w:val="21"/>
                    </w:rPr>
                    <w:t>厂界</w:t>
                  </w:r>
                  <w:r>
                    <w:rPr>
                      <w:rFonts w:hint="eastAsia"/>
                      <w:szCs w:val="21"/>
                      <w:lang w:val="en-US" w:eastAsia="zh-CN"/>
                    </w:rPr>
                    <w:t>东</w:t>
                  </w:r>
                  <w:r>
                    <w:rPr>
                      <w:szCs w:val="21"/>
                    </w:rPr>
                    <w:t>民房旁</w:t>
                  </w:r>
                </w:p>
              </w:tc>
              <w:tc>
                <w:tcPr>
                  <w:tcW w:w="1627" w:type="dxa"/>
                  <w:tcBorders>
                    <w:tl2br w:val="nil"/>
                    <w:tr2bl w:val="nil"/>
                  </w:tcBorders>
                  <w:noWrap/>
                  <w:vAlign w:val="center"/>
                </w:tcPr>
                <w:p>
                  <w:pPr>
                    <w:spacing w:line="264" w:lineRule="auto"/>
                    <w:jc w:val="center"/>
                    <w:rPr>
                      <w:szCs w:val="21"/>
                    </w:rPr>
                  </w:pPr>
                  <w:r>
                    <w:rPr>
                      <w:szCs w:val="21"/>
                    </w:rPr>
                    <w:t>昼/夜Leq</w:t>
                  </w:r>
                </w:p>
              </w:tc>
              <w:tc>
                <w:tcPr>
                  <w:tcW w:w="1065"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602" w:type="dxa"/>
                  <w:tcBorders>
                    <w:tl2br w:val="nil"/>
                    <w:tr2bl w:val="nil"/>
                  </w:tcBorders>
                  <w:noWrap/>
                  <w:vAlign w:val="center"/>
                </w:tcPr>
                <w:p>
                  <w:pPr>
                    <w:pStyle w:val="39"/>
                    <w:tabs>
                      <w:tab w:val="left" w:pos="1120"/>
                    </w:tabs>
                    <w:adjustRightInd/>
                    <w:spacing w:beforeLines="0" w:afterLines="0" w:line="264" w:lineRule="auto"/>
                    <w:rPr>
                      <w:rFonts w:hint="default" w:ascii="Times New Roman" w:eastAsia="宋体"/>
                      <w:szCs w:val="21"/>
                      <w:lang w:val="en-US" w:eastAsia="zh-CN"/>
                    </w:rPr>
                  </w:pPr>
                  <w:r>
                    <w:rPr>
                      <w:rFonts w:hint="eastAsia" w:ascii="Times New Roman"/>
                      <w:szCs w:val="21"/>
                      <w:lang w:val="en-US" w:eastAsia="zh-CN"/>
                    </w:rPr>
                    <w:t>7#</w:t>
                  </w:r>
                </w:p>
              </w:tc>
              <w:tc>
                <w:tcPr>
                  <w:tcW w:w="3649" w:type="dxa"/>
                  <w:tcBorders>
                    <w:tl2br w:val="nil"/>
                    <w:tr2bl w:val="nil"/>
                  </w:tcBorders>
                  <w:noWrap/>
                  <w:vAlign w:val="center"/>
                </w:tcPr>
                <w:p>
                  <w:pPr>
                    <w:spacing w:line="264" w:lineRule="auto"/>
                    <w:jc w:val="center"/>
                    <w:rPr>
                      <w:rFonts w:hint="default" w:eastAsia="宋体"/>
                      <w:szCs w:val="21"/>
                      <w:lang w:val="en-US" w:eastAsia="zh-CN"/>
                    </w:rPr>
                  </w:pPr>
                  <w:r>
                    <w:rPr>
                      <w:rFonts w:hint="eastAsia"/>
                      <w:szCs w:val="21"/>
                      <w:lang w:val="en-US" w:eastAsia="zh-CN"/>
                    </w:rPr>
                    <w:t>厂界东南角民房旁</w:t>
                  </w:r>
                </w:p>
              </w:tc>
              <w:tc>
                <w:tcPr>
                  <w:tcW w:w="1627" w:type="dxa"/>
                  <w:tcBorders>
                    <w:tl2br w:val="nil"/>
                    <w:tr2bl w:val="nil"/>
                  </w:tcBorders>
                  <w:noWrap/>
                  <w:vAlign w:val="center"/>
                </w:tcPr>
                <w:p>
                  <w:pPr>
                    <w:spacing w:line="264" w:lineRule="auto"/>
                    <w:jc w:val="center"/>
                    <w:rPr>
                      <w:szCs w:val="21"/>
                    </w:rPr>
                  </w:pPr>
                  <w:r>
                    <w:rPr>
                      <w:szCs w:val="21"/>
                    </w:rPr>
                    <w:t>昼/夜Leq</w:t>
                  </w:r>
                </w:p>
              </w:tc>
              <w:tc>
                <w:tcPr>
                  <w:tcW w:w="1065" w:type="dxa"/>
                  <w:tcBorders>
                    <w:tl2br w:val="nil"/>
                    <w:tr2bl w:val="nil"/>
                  </w:tcBorders>
                  <w:noWrap/>
                  <w:vAlign w:val="center"/>
                </w:tcPr>
                <w:p>
                  <w:pPr>
                    <w:pStyle w:val="39"/>
                    <w:tabs>
                      <w:tab w:val="left" w:pos="1120"/>
                    </w:tabs>
                    <w:adjustRightInd/>
                    <w:spacing w:beforeLines="0" w:afterLines="0" w:line="264" w:lineRule="auto"/>
                    <w:rPr>
                      <w:rFonts w:ascii="Times New Roman"/>
                      <w:szCs w:val="21"/>
                    </w:rPr>
                  </w:pPr>
                  <w:r>
                    <w:rPr>
                      <w:rFonts w:ascii="Times New Roman"/>
                      <w:szCs w:val="21"/>
                    </w:rPr>
                    <w:t>2类</w:t>
                  </w:r>
                </w:p>
              </w:tc>
            </w:tr>
          </w:tbl>
          <w:p>
            <w:pPr>
              <w:rPr>
                <w:rFonts w:hint="eastAsia"/>
                <w:lang w:val="en-US" w:eastAsia="zh-CN"/>
              </w:rPr>
            </w:pPr>
          </w:p>
          <w:p>
            <w:pPr>
              <w:pStyle w:val="17"/>
              <w:rPr>
                <w:rFonts w:hint="eastAsia"/>
                <w:lang w:val="en-US" w:eastAsia="zh-CN"/>
              </w:rPr>
            </w:pPr>
          </w:p>
          <w:p>
            <w:pPr>
              <w:rPr>
                <w:rFonts w:hint="eastAsia"/>
                <w:lang w:val="en-US" w:eastAsia="zh-CN"/>
              </w:rPr>
            </w:pPr>
          </w:p>
          <w:p>
            <w:pPr>
              <w:pStyle w:val="17"/>
              <w:rPr>
                <w:rFonts w:hint="eastAsia"/>
                <w:lang w:val="en-US" w:eastAsia="zh-CN"/>
              </w:rPr>
            </w:pPr>
          </w:p>
          <w:p>
            <w:pPr>
              <w:rPr>
                <w:rFonts w:hint="eastAsia"/>
                <w:lang w:val="en-US" w:eastAsia="zh-CN"/>
              </w:rPr>
            </w:pPr>
          </w:p>
          <w:p>
            <w:pPr>
              <w:pStyle w:val="17"/>
              <w:rPr>
                <w:rFonts w:hint="eastAsia"/>
                <w:lang w:val="en-US" w:eastAsia="zh-CN"/>
              </w:rPr>
            </w:pPr>
          </w:p>
          <w:p>
            <w:pPr>
              <w:rPr>
                <w:rFonts w:hint="eastAsia"/>
                <w:lang w:val="en-US" w:eastAsia="zh-CN"/>
              </w:rPr>
            </w:pPr>
          </w:p>
          <w:p>
            <w:pPr>
              <w:pStyle w:val="10"/>
              <w:bidi w:val="0"/>
              <w:spacing w:beforeAutospacing="0" w:afterAutospacing="0" w:line="240" w:lineRule="auto"/>
              <w:ind w:right="0" w:rightChars="0"/>
              <w:jc w:val="center"/>
              <w:rPr>
                <w:rFonts w:hint="eastAsia" w:cs="Times New Roman"/>
                <w:snapToGrid w:val="0"/>
                <w:color w:val="auto"/>
                <w:sz w:val="24"/>
                <w:lang w:val="en-US" w:eastAsia="zh-CN"/>
              </w:rPr>
            </w:pPr>
            <w:r>
              <w:drawing>
                <wp:inline distT="0" distB="0" distL="114300" distR="114300">
                  <wp:extent cx="5153660" cy="3786505"/>
                  <wp:effectExtent l="0" t="0" r="8890" b="444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2"/>
                          <a:stretch>
                            <a:fillRect/>
                          </a:stretch>
                        </pic:blipFill>
                        <pic:spPr>
                          <a:xfrm>
                            <a:off x="0" y="0"/>
                            <a:ext cx="5153660" cy="3786505"/>
                          </a:xfrm>
                          <a:prstGeom prst="rect">
                            <a:avLst/>
                          </a:prstGeom>
                          <a:noFill/>
                          <a:ln>
                            <a:noFill/>
                          </a:ln>
                        </pic:spPr>
                      </pic:pic>
                    </a:graphicData>
                  </a:graphic>
                </wp:inline>
              </w:drawing>
            </w:r>
          </w:p>
          <w:p>
            <w:pPr>
              <w:pStyle w:val="10"/>
              <w:bidi w:val="0"/>
              <w:spacing w:beforeAutospacing="0" w:afterAutospacing="0" w:line="240" w:lineRule="auto"/>
              <w:ind w:right="0" w:rightChars="0"/>
              <w:jc w:val="center"/>
              <w:rPr>
                <w:rFonts w:hint="eastAsia" w:cs="Times New Roman"/>
                <w:snapToGrid w:val="0"/>
                <w:color w:val="auto"/>
                <w:sz w:val="24"/>
                <w:lang w:val="en-US" w:eastAsia="zh-CN"/>
              </w:rPr>
            </w:pPr>
            <w:r>
              <w:rPr>
                <w:rFonts w:hint="eastAsia"/>
                <w:b/>
                <w:color w:val="auto"/>
                <w:kern w:val="0"/>
                <w:sz w:val="24"/>
              </w:rPr>
              <w:t>图</w:t>
            </w:r>
            <w:r>
              <w:rPr>
                <w:b/>
                <w:color w:val="auto"/>
                <w:kern w:val="0"/>
                <w:sz w:val="24"/>
              </w:rPr>
              <w:t>3-</w:t>
            </w:r>
            <w:r>
              <w:rPr>
                <w:rFonts w:hint="eastAsia"/>
                <w:b/>
                <w:color w:val="auto"/>
                <w:kern w:val="0"/>
                <w:sz w:val="24"/>
                <w:lang w:val="en-US" w:eastAsia="zh-CN"/>
              </w:rPr>
              <w:t>2</w:t>
            </w:r>
            <w:r>
              <w:rPr>
                <w:b/>
                <w:color w:val="auto"/>
                <w:kern w:val="0"/>
                <w:sz w:val="24"/>
              </w:rPr>
              <w:t xml:space="preserve"> </w:t>
            </w:r>
            <w:r>
              <w:rPr>
                <w:rFonts w:hint="eastAsia"/>
                <w:b/>
                <w:color w:val="auto"/>
                <w:kern w:val="0"/>
                <w:sz w:val="24"/>
                <w:lang w:val="en-US" w:eastAsia="zh-CN"/>
              </w:rPr>
              <w:t xml:space="preserve"> 声环境质量</w:t>
            </w:r>
            <w:r>
              <w:rPr>
                <w:rFonts w:hint="eastAsia"/>
                <w:b/>
                <w:color w:val="auto"/>
                <w:kern w:val="0"/>
                <w:sz w:val="24"/>
              </w:rPr>
              <w:t>监测点位图</w:t>
            </w:r>
          </w:p>
          <w:p>
            <w:pPr>
              <w:spacing w:line="240" w:lineRule="auto"/>
              <w:jc w:val="center"/>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表3-</w:t>
            </w: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 xml:space="preserve"> 声环境监测结果</w:t>
            </w:r>
          </w:p>
          <w:tbl>
            <w:tblPr>
              <w:tblStyle w:val="18"/>
              <w:tblW w:w="795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67"/>
              <w:gridCol w:w="1975"/>
              <w:gridCol w:w="1080"/>
              <w:gridCol w:w="1080"/>
              <w:gridCol w:w="1080"/>
              <w:gridCol w:w="1080"/>
              <w:gridCol w:w="99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667" w:type="dxa"/>
                  <w:vMerge w:val="restart"/>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序号</w:t>
                  </w:r>
                </w:p>
              </w:tc>
              <w:tc>
                <w:tcPr>
                  <w:tcW w:w="1975" w:type="dxa"/>
                  <w:vMerge w:val="restart"/>
                  <w:tcBorders>
                    <w:top w:val="single" w:color="auto" w:sz="12"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检测点位</w:t>
                  </w:r>
                </w:p>
              </w:tc>
              <w:tc>
                <w:tcPr>
                  <w:tcW w:w="2160" w:type="dxa"/>
                  <w:gridSpan w:val="2"/>
                  <w:tcBorders>
                    <w:top w:val="single" w:color="auto" w:sz="12" w:space="0"/>
                    <w:bottom w:val="single" w:color="auto" w:sz="4" w:space="0"/>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202</w:t>
                  </w:r>
                  <w:r>
                    <w:rPr>
                      <w:rFonts w:hint="eastAsia" w:cs="Times New Roman"/>
                      <w:color w:val="000000" w:themeColor="text1"/>
                      <w:sz w:val="21"/>
                      <w:szCs w:val="21"/>
                      <w:lang w:val="en-US" w:eastAsia="zh-CN"/>
                      <w14:textFill>
                        <w14:solidFill>
                          <w14:schemeClr w14:val="tx1"/>
                        </w14:solidFill>
                      </w14:textFill>
                    </w:rPr>
                    <w:t>3.02.03</w:t>
                  </w:r>
                </w:p>
              </w:tc>
              <w:tc>
                <w:tcPr>
                  <w:tcW w:w="2160" w:type="dxa"/>
                  <w:gridSpan w:val="2"/>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2023.02.04</w:t>
                  </w:r>
                </w:p>
              </w:tc>
              <w:tc>
                <w:tcPr>
                  <w:tcW w:w="995" w:type="dxa"/>
                  <w:vMerge w:val="restart"/>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单位</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57" w:hRule="atLeast"/>
                <w:jc w:val="center"/>
              </w:trPr>
              <w:tc>
                <w:tcPr>
                  <w:tcW w:w="667" w:type="dxa"/>
                  <w:vMerge w:val="continue"/>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right="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975" w:type="dxa"/>
                  <w:vMerge w:val="continue"/>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right="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昼间</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夜间</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昼间</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夜间</w:t>
                  </w:r>
                </w:p>
              </w:tc>
              <w:tc>
                <w:tcPr>
                  <w:tcW w:w="995" w:type="dxa"/>
                  <w:vMerge w:val="continue"/>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667" w:type="dxa"/>
                  <w:tcBorders>
                    <w:tl2br w:val="nil"/>
                    <w:tr2bl w:val="nil"/>
                  </w:tcBorders>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lang w:val="en-US" w:eastAsia="zh-CN" w:bidi="ar-SA"/>
                      <w14:textFill>
                        <w14:solidFill>
                          <w14:schemeClr w14:val="tx1"/>
                        </w14:solidFill>
                      </w14:textFill>
                    </w:rPr>
                    <w:t>1</w:t>
                  </w:r>
                </w:p>
              </w:tc>
              <w:tc>
                <w:tcPr>
                  <w:tcW w:w="1975" w:type="dxa"/>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Calibri" w:hAnsi="Calibri" w:eastAsia="宋体" w:cs="Times New Roman"/>
                      <w:snapToGrid w:val="0"/>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厂界</w:t>
                  </w:r>
                  <w:r>
                    <w:rPr>
                      <w:rFonts w:hint="eastAsia"/>
                      <w:color w:val="000000" w:themeColor="text1"/>
                      <w:lang w:val="en-US" w:eastAsia="zh-CN"/>
                      <w14:textFill>
                        <w14:solidFill>
                          <w14:schemeClr w14:val="tx1"/>
                        </w14:solidFill>
                      </w14:textFill>
                    </w:rPr>
                    <w:t>东侧</w:t>
                  </w:r>
                  <w:r>
                    <w:rPr>
                      <w:rFonts w:hint="eastAsia"/>
                      <w:color w:val="000000" w:themeColor="text1"/>
                      <w14:textFill>
                        <w14:solidFill>
                          <w14:schemeClr w14:val="tx1"/>
                        </w14:solidFill>
                      </w14:textFill>
                    </w:rPr>
                    <w:t>外1m</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53.3</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43.1</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52.4</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43.1</w:t>
                  </w:r>
                </w:p>
              </w:tc>
              <w:tc>
                <w:tcPr>
                  <w:tcW w:w="995" w:type="dxa"/>
                  <w:vMerge w:val="restart"/>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667" w:type="dxa"/>
                  <w:tcBorders>
                    <w:tl2br w:val="nil"/>
                    <w:tr2bl w:val="nil"/>
                  </w:tcBorders>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2</w:t>
                  </w:r>
                </w:p>
              </w:tc>
              <w:tc>
                <w:tcPr>
                  <w:tcW w:w="1975" w:type="dxa"/>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Calibri" w:hAnsi="Calibri" w:eastAsia="宋体" w:cs="Times New Roman"/>
                      <w:snapToGrid w:val="0"/>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厂界</w:t>
                  </w:r>
                  <w:r>
                    <w:rPr>
                      <w:rFonts w:hint="eastAsia"/>
                      <w:color w:val="000000" w:themeColor="text1"/>
                      <w:lang w:val="en-US" w:eastAsia="zh-CN"/>
                      <w14:textFill>
                        <w14:solidFill>
                          <w14:schemeClr w14:val="tx1"/>
                        </w14:solidFill>
                      </w14:textFill>
                    </w:rPr>
                    <w:t>南侧</w:t>
                  </w:r>
                  <w:r>
                    <w:rPr>
                      <w:rFonts w:hint="eastAsia"/>
                      <w:color w:val="000000" w:themeColor="text1"/>
                      <w14:textFill>
                        <w14:solidFill>
                          <w14:schemeClr w14:val="tx1"/>
                        </w14:solidFill>
                      </w14:textFill>
                    </w:rPr>
                    <w:t>外1m</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53.2</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42.8</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53.2</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42.7</w:t>
                  </w:r>
                </w:p>
              </w:tc>
              <w:tc>
                <w:tcPr>
                  <w:tcW w:w="995" w:type="dxa"/>
                  <w:vMerge w:val="continue"/>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667" w:type="dxa"/>
                  <w:tcBorders>
                    <w:tl2br w:val="nil"/>
                    <w:tr2bl w:val="nil"/>
                  </w:tcBorders>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3</w:t>
                  </w:r>
                </w:p>
              </w:tc>
              <w:tc>
                <w:tcPr>
                  <w:tcW w:w="1975" w:type="dxa"/>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Calibri" w:hAnsi="Calibri" w:eastAsia="宋体" w:cs="Times New Roman"/>
                      <w:snapToGrid w:val="0"/>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厂界</w:t>
                  </w:r>
                  <w:r>
                    <w:rPr>
                      <w:rFonts w:hint="eastAsia"/>
                      <w:color w:val="000000" w:themeColor="text1"/>
                      <w:lang w:val="en-US" w:eastAsia="zh-CN"/>
                      <w14:textFill>
                        <w14:solidFill>
                          <w14:schemeClr w14:val="tx1"/>
                        </w14:solidFill>
                      </w14:textFill>
                    </w:rPr>
                    <w:t>西侧</w:t>
                  </w:r>
                  <w:r>
                    <w:rPr>
                      <w:rFonts w:hint="eastAsia"/>
                      <w:color w:val="000000" w:themeColor="text1"/>
                      <w14:textFill>
                        <w14:solidFill>
                          <w14:schemeClr w14:val="tx1"/>
                        </w14:solidFill>
                      </w14:textFill>
                    </w:rPr>
                    <w:t>外1m</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53.7</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42.5</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53.3</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42.7</w:t>
                  </w:r>
                </w:p>
              </w:tc>
              <w:tc>
                <w:tcPr>
                  <w:tcW w:w="995" w:type="dxa"/>
                  <w:vMerge w:val="continue"/>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667" w:type="dxa"/>
                  <w:tcBorders>
                    <w:tl2br w:val="nil"/>
                    <w:tr2bl w:val="nil"/>
                  </w:tcBorders>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4</w:t>
                  </w:r>
                </w:p>
              </w:tc>
              <w:tc>
                <w:tcPr>
                  <w:tcW w:w="1975" w:type="dxa"/>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Calibri" w:hAnsi="Calibri" w:eastAsia="宋体" w:cs="Times New Roman"/>
                      <w:snapToGrid w:val="0"/>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厂界</w:t>
                  </w:r>
                  <w:r>
                    <w:rPr>
                      <w:rFonts w:hint="eastAsia"/>
                      <w:color w:val="000000" w:themeColor="text1"/>
                      <w:lang w:val="en-US" w:eastAsia="zh-CN"/>
                      <w14:textFill>
                        <w14:solidFill>
                          <w14:schemeClr w14:val="tx1"/>
                        </w14:solidFill>
                      </w14:textFill>
                    </w:rPr>
                    <w:t>北侧</w:t>
                  </w:r>
                  <w:r>
                    <w:rPr>
                      <w:rFonts w:hint="eastAsia"/>
                      <w:color w:val="000000" w:themeColor="text1"/>
                      <w14:textFill>
                        <w14:solidFill>
                          <w14:schemeClr w14:val="tx1"/>
                        </w14:solidFill>
                      </w14:textFill>
                    </w:rPr>
                    <w:t>外1m</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53.4</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43.3</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53.6</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43.4</w:t>
                  </w:r>
                </w:p>
              </w:tc>
              <w:tc>
                <w:tcPr>
                  <w:tcW w:w="995" w:type="dxa"/>
                  <w:vMerge w:val="continue"/>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667" w:type="dxa"/>
                  <w:tcBorders>
                    <w:tl2br w:val="nil"/>
                    <w:tr2bl w:val="nil"/>
                  </w:tcBorders>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s="Times New Roman"/>
                      <w:bCs/>
                      <w:color w:val="000000" w:themeColor="text1"/>
                      <w:kern w:val="2"/>
                      <w:sz w:val="21"/>
                      <w:szCs w:val="21"/>
                      <w:lang w:val="en-US" w:eastAsia="zh-CN" w:bidi="ar-SA"/>
                      <w14:textFill>
                        <w14:solidFill>
                          <w14:schemeClr w14:val="tx1"/>
                        </w14:solidFill>
                      </w14:textFill>
                    </w:rPr>
                    <w:t>5</w:t>
                  </w:r>
                </w:p>
              </w:tc>
              <w:tc>
                <w:tcPr>
                  <w:tcW w:w="1975" w:type="dxa"/>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5#厂界东北角民房</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52.2</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41.3</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51.5</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41.2</w:t>
                  </w:r>
                </w:p>
              </w:tc>
              <w:tc>
                <w:tcPr>
                  <w:tcW w:w="995" w:type="dxa"/>
                  <w:vMerge w:val="continue"/>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667" w:type="dxa"/>
                  <w:tcBorders>
                    <w:tl2br w:val="nil"/>
                    <w:tr2bl w:val="nil"/>
                  </w:tcBorders>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s="Times New Roman"/>
                      <w:bCs/>
                      <w:color w:val="000000" w:themeColor="text1"/>
                      <w:kern w:val="2"/>
                      <w:sz w:val="21"/>
                      <w:szCs w:val="21"/>
                      <w:lang w:val="en-US" w:eastAsia="zh-CN" w:bidi="ar-SA"/>
                      <w14:textFill>
                        <w14:solidFill>
                          <w14:schemeClr w14:val="tx1"/>
                        </w14:solidFill>
                      </w14:textFill>
                    </w:rPr>
                    <w:t>6</w:t>
                  </w:r>
                </w:p>
              </w:tc>
              <w:tc>
                <w:tcPr>
                  <w:tcW w:w="1975" w:type="dxa"/>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6#厂界东侧民房</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52.0</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41.7</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52.4</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42.1</w:t>
                  </w:r>
                </w:p>
              </w:tc>
              <w:tc>
                <w:tcPr>
                  <w:tcW w:w="995" w:type="dxa"/>
                  <w:vMerge w:val="continue"/>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667" w:type="dxa"/>
                  <w:tcBorders>
                    <w:tl2br w:val="nil"/>
                    <w:tr2bl w:val="nil"/>
                  </w:tcBorders>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s="Times New Roman"/>
                      <w:bCs/>
                      <w:color w:val="000000" w:themeColor="text1"/>
                      <w:kern w:val="2"/>
                      <w:sz w:val="21"/>
                      <w:szCs w:val="21"/>
                      <w:lang w:val="en-US" w:eastAsia="zh-CN" w:bidi="ar-SA"/>
                      <w14:textFill>
                        <w14:solidFill>
                          <w14:schemeClr w14:val="tx1"/>
                        </w14:solidFill>
                      </w14:textFill>
                    </w:rPr>
                    <w:t>7</w:t>
                  </w:r>
                </w:p>
              </w:tc>
              <w:tc>
                <w:tcPr>
                  <w:tcW w:w="1975" w:type="dxa"/>
                  <w:noWrap w:val="0"/>
                  <w:vAlign w:val="center"/>
                </w:tcPr>
                <w:p>
                  <w:pPr>
                    <w:keepNext w:val="0"/>
                    <w:keepLines w:val="0"/>
                    <w:pageBreakBefore w:val="0"/>
                    <w:kinsoku/>
                    <w:wordWrap/>
                    <w:overflowPunct/>
                    <w:topLinePunct w:val="0"/>
                    <w:autoSpaceDE/>
                    <w:autoSpaceDN/>
                    <w:bidi w:val="0"/>
                    <w:adjustRightInd/>
                    <w:spacing w:line="240" w:lineRule="auto"/>
                    <w:ind w:right="0"/>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7#厂界东南角民房</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52.1</w:t>
                  </w:r>
                </w:p>
              </w:tc>
              <w:tc>
                <w:tcPr>
                  <w:tcW w:w="1080" w:type="dxa"/>
                  <w:tcBorders>
                    <w:right w:val="single" w:color="auto" w:sz="4" w:space="0"/>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41.3</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52.6</w:t>
                  </w:r>
                </w:p>
              </w:tc>
              <w:tc>
                <w:tcPr>
                  <w:tcW w:w="1080" w:type="dxa"/>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41.5</w:t>
                  </w:r>
                </w:p>
              </w:tc>
              <w:tc>
                <w:tcPr>
                  <w:tcW w:w="995" w:type="dxa"/>
                  <w:vMerge w:val="continue"/>
                  <w:tcBorders>
                    <w:tl2br w:val="nil"/>
                    <w:tr2bl w:val="nil"/>
                  </w:tcBorders>
                  <w:noWrap w:val="0"/>
                  <w:vAlign w:val="center"/>
                </w:tcPr>
                <w:p>
                  <w:pPr>
                    <w:pStyle w:val="5"/>
                    <w:keepNext w:val="0"/>
                    <w:keepLines w:val="0"/>
                    <w:pageBreakBefore w:val="0"/>
                    <w:numPr>
                      <w:ilvl w:val="0"/>
                      <w:numId w:val="0"/>
                    </w:numPr>
                    <w:kinsoku/>
                    <w:wordWrap/>
                    <w:overflowPunct/>
                    <w:topLinePunct w:val="0"/>
                    <w:autoSpaceDE/>
                    <w:autoSpaceDN/>
                    <w:bidi w:val="0"/>
                    <w:adjustRightInd/>
                    <w:spacing w:before="0" w:after="0" w:line="240" w:lineRule="auto"/>
                    <w:ind w:left="0" w:leftChars="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p>
              </w:tc>
            </w:tr>
          </w:tbl>
          <w:p>
            <w:pPr>
              <w:pStyle w:val="10"/>
              <w:bidi w:val="0"/>
              <w:spacing w:beforeAutospacing="0" w:afterAutospacing="0" w:line="360" w:lineRule="auto"/>
              <w:ind w:right="0" w:rightChars="0" w:firstLine="480" w:firstLineChars="200"/>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sz w:val="24"/>
                <w:szCs w:val="24"/>
                <w:highlight w:val="none"/>
                <w:lang w:val="en-US" w:eastAsia="zh-CN"/>
              </w:rPr>
              <w:t>本项目评价标准</w:t>
            </w:r>
            <w:r>
              <w:rPr>
                <w:rFonts w:hint="eastAsia" w:ascii="Times New Roman" w:hAnsi="Times New Roman" w:eastAsia="宋体" w:cs="Times New Roman"/>
                <w:color w:val="auto"/>
                <w:sz w:val="24"/>
                <w:szCs w:val="24"/>
                <w:highlight w:val="none"/>
                <w:lang w:eastAsia="zh-CN"/>
              </w:rPr>
              <w:t>采用《声环境质量标准》（GB3096-2008）进行评价，本项目厂界声环境执行2类标准，即昼间60dB(A)，夜间50dB(A)；由监测结果与评价标准相比可见，</w:t>
            </w:r>
            <w:r>
              <w:rPr>
                <w:rFonts w:hint="eastAsia" w:ascii="Times New Roman" w:hAnsi="Times New Roman" w:eastAsia="宋体" w:cs="Times New Roman"/>
                <w:color w:val="auto"/>
                <w:sz w:val="24"/>
                <w:szCs w:val="24"/>
                <w:highlight w:val="none"/>
                <w:lang w:val="en-US" w:eastAsia="zh-CN"/>
              </w:rPr>
              <w:t>厂界四周</w:t>
            </w:r>
            <w:r>
              <w:rPr>
                <w:rFonts w:hint="eastAsia" w:ascii="Times New Roman" w:hAnsi="Times New Roman" w:eastAsia="宋体" w:cs="Times New Roman"/>
                <w:color w:val="auto"/>
                <w:sz w:val="24"/>
                <w:szCs w:val="24"/>
                <w:highlight w:val="none"/>
                <w:lang w:eastAsia="zh-CN"/>
              </w:rPr>
              <w:t>监测值</w:t>
            </w:r>
            <w:r>
              <w:rPr>
                <w:rFonts w:hint="eastAsia" w:ascii="Times New Roman" w:hAnsi="Times New Roman" w:eastAsia="宋体" w:cs="Times New Roman"/>
                <w:color w:val="auto"/>
                <w:sz w:val="24"/>
                <w:szCs w:val="24"/>
                <w:highlight w:val="none"/>
                <w:lang w:val="en-US" w:eastAsia="zh-CN"/>
              </w:rPr>
              <w:t>均</w:t>
            </w:r>
            <w:r>
              <w:rPr>
                <w:rFonts w:hint="eastAsia" w:ascii="Times New Roman" w:hAnsi="Times New Roman" w:eastAsia="宋体" w:cs="Times New Roman"/>
                <w:color w:val="auto"/>
                <w:sz w:val="24"/>
                <w:szCs w:val="24"/>
                <w:highlight w:val="none"/>
                <w:lang w:eastAsia="zh-CN"/>
              </w:rPr>
              <w:t>可满足《声环境质量标准》（GB3096-2008）中2类标准。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0" w:hRule="atLeast"/>
          <w:jc w:val="center"/>
        </w:trPr>
        <w:tc>
          <w:tcPr>
            <w:tcW w:w="800"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保护</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rPr>
              <w:t>目标</w:t>
            </w:r>
          </w:p>
        </w:tc>
        <w:tc>
          <w:tcPr>
            <w:tcW w:w="8190" w:type="dxa"/>
            <w:noWrap w:val="0"/>
            <w:vAlign w:val="center"/>
          </w:tcPr>
          <w:p>
            <w:pPr>
              <w:pStyle w:val="35"/>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本项目评价范围内无国家、省、市级自然保护区及饮用水水源保护区、世界文化和自然遗产地等保护对象。</w:t>
            </w:r>
          </w:p>
          <w:p>
            <w:pPr>
              <w:pStyle w:val="35"/>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1、大气环境</w:t>
            </w:r>
          </w:p>
          <w:p>
            <w:pPr>
              <w:pStyle w:val="35"/>
              <w:bidi w:val="0"/>
              <w:spacing w:beforeAutospacing="0" w:afterAutospacing="0" w:line="360" w:lineRule="auto"/>
              <w:ind w:left="0" w:leftChars="0" w:right="0" w:rightChars="0" w:firstLine="480" w:firstLineChars="200"/>
              <w:rPr>
                <w:rFonts w:hint="eastAsia" w:eastAsia="宋体"/>
                <w:sz w:val="24"/>
                <w:lang w:eastAsia="zh-CN"/>
              </w:rPr>
            </w:pPr>
            <w:r>
              <w:rPr>
                <w:rFonts w:eastAsia="宋体"/>
                <w:sz w:val="24"/>
              </w:rPr>
              <w:t>根据《建设项目环境影响报告表编制技术指南》（污染影响类 试行），本项目应设置大气专项评价。根据大气预测结果，本项目大气环境评价为二级评价项目，大气环境影响评价范围为以本项目厂址为中心，边长5km的矩形区域。本项目评价范围内无自然保护区、风景名胜区等保护目标，根据项目特点及周边环境状况，确定大气环境保护目标，详见表3-6</w:t>
            </w:r>
            <w:r>
              <w:rPr>
                <w:rFonts w:hint="eastAsia" w:eastAsia="宋体"/>
                <w:sz w:val="24"/>
              </w:rPr>
              <w:t>，图3</w:t>
            </w:r>
            <w:r>
              <w:rPr>
                <w:rFonts w:eastAsia="宋体"/>
                <w:sz w:val="24"/>
              </w:rPr>
              <w:t>-3</w:t>
            </w:r>
            <w:r>
              <w:rPr>
                <w:rFonts w:hint="eastAsia" w:eastAsia="宋体"/>
                <w:sz w:val="24"/>
                <w:lang w:eastAsia="zh-CN"/>
              </w:rPr>
              <w:t>。</w:t>
            </w:r>
          </w:p>
          <w:p>
            <w:pPr>
              <w:pStyle w:val="33"/>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表3-6   大气环境保护目标一览表</w:t>
            </w:r>
          </w:p>
          <w:tbl>
            <w:tblPr>
              <w:tblStyle w:val="1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25"/>
              <w:gridCol w:w="1122"/>
              <w:gridCol w:w="1326"/>
              <w:gridCol w:w="1353"/>
              <w:gridCol w:w="724"/>
              <w:gridCol w:w="823"/>
              <w:gridCol w:w="823"/>
              <w:gridCol w:w="552"/>
              <w:gridCol w:w="6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25" w:type="dxa"/>
                  <w:vMerge w:val="restart"/>
                  <w:tcBorders>
                    <w:tl2br w:val="nil"/>
                    <w:tr2bl w:val="nil"/>
                  </w:tcBorders>
                  <w:vAlign w:val="center"/>
                </w:tcPr>
                <w:p>
                  <w:pPr>
                    <w:widowControl/>
                    <w:adjustRightInd w:val="0"/>
                    <w:snapToGrid w:val="0"/>
                    <w:jc w:val="center"/>
                    <w:rPr>
                      <w:color w:val="000000"/>
                      <w:szCs w:val="21"/>
                    </w:rPr>
                  </w:pPr>
                  <w:bookmarkStart w:id="47" w:name="_Hlk113374862"/>
                  <w:r>
                    <w:rPr>
                      <w:color w:val="000000"/>
                      <w:szCs w:val="21"/>
                    </w:rPr>
                    <w:t>环境</w:t>
                  </w:r>
                </w:p>
                <w:p>
                  <w:pPr>
                    <w:widowControl/>
                    <w:adjustRightInd w:val="0"/>
                    <w:snapToGrid w:val="0"/>
                    <w:jc w:val="center"/>
                    <w:rPr>
                      <w:color w:val="000000"/>
                      <w:szCs w:val="21"/>
                    </w:rPr>
                  </w:pPr>
                  <w:r>
                    <w:rPr>
                      <w:color w:val="000000"/>
                      <w:szCs w:val="21"/>
                    </w:rPr>
                    <w:t>要素</w:t>
                  </w:r>
                </w:p>
              </w:tc>
              <w:tc>
                <w:tcPr>
                  <w:tcW w:w="1122" w:type="dxa"/>
                  <w:vMerge w:val="restart"/>
                  <w:tcBorders>
                    <w:tl2br w:val="nil"/>
                    <w:tr2bl w:val="nil"/>
                  </w:tcBorders>
                  <w:vAlign w:val="center"/>
                </w:tcPr>
                <w:p>
                  <w:pPr>
                    <w:widowControl/>
                    <w:adjustRightInd w:val="0"/>
                    <w:snapToGrid w:val="0"/>
                    <w:jc w:val="center"/>
                    <w:rPr>
                      <w:color w:val="000000"/>
                      <w:szCs w:val="21"/>
                    </w:rPr>
                  </w:pPr>
                  <w:r>
                    <w:rPr>
                      <w:color w:val="000000"/>
                      <w:szCs w:val="21"/>
                    </w:rPr>
                    <w:t>名称</w:t>
                  </w:r>
                </w:p>
              </w:tc>
              <w:tc>
                <w:tcPr>
                  <w:tcW w:w="2679" w:type="dxa"/>
                  <w:gridSpan w:val="2"/>
                  <w:tcBorders>
                    <w:tl2br w:val="nil"/>
                    <w:tr2bl w:val="nil"/>
                  </w:tcBorders>
                  <w:vAlign w:val="center"/>
                </w:tcPr>
                <w:p>
                  <w:pPr>
                    <w:widowControl/>
                    <w:adjustRightInd w:val="0"/>
                    <w:snapToGrid w:val="0"/>
                    <w:jc w:val="center"/>
                    <w:rPr>
                      <w:color w:val="000000"/>
                      <w:szCs w:val="21"/>
                    </w:rPr>
                  </w:pPr>
                  <w:r>
                    <w:rPr>
                      <w:color w:val="000000"/>
                      <w:szCs w:val="21"/>
                    </w:rPr>
                    <w:t>坐标</w:t>
                  </w:r>
                </w:p>
              </w:tc>
              <w:tc>
                <w:tcPr>
                  <w:tcW w:w="724" w:type="dxa"/>
                  <w:vMerge w:val="restart"/>
                  <w:tcBorders>
                    <w:tl2br w:val="nil"/>
                    <w:tr2bl w:val="nil"/>
                  </w:tcBorders>
                  <w:vAlign w:val="center"/>
                </w:tcPr>
                <w:p>
                  <w:pPr>
                    <w:widowControl/>
                    <w:adjustRightInd w:val="0"/>
                    <w:snapToGrid w:val="0"/>
                    <w:jc w:val="center"/>
                    <w:rPr>
                      <w:color w:val="000000"/>
                      <w:szCs w:val="21"/>
                    </w:rPr>
                  </w:pPr>
                  <w:r>
                    <w:rPr>
                      <w:color w:val="000000"/>
                      <w:szCs w:val="21"/>
                    </w:rPr>
                    <w:t>保护对象</w:t>
                  </w:r>
                </w:p>
              </w:tc>
              <w:tc>
                <w:tcPr>
                  <w:tcW w:w="823" w:type="dxa"/>
                  <w:vMerge w:val="restart"/>
                  <w:tcBorders>
                    <w:tl2br w:val="nil"/>
                    <w:tr2bl w:val="nil"/>
                  </w:tcBorders>
                  <w:vAlign w:val="center"/>
                </w:tcPr>
                <w:p>
                  <w:pPr>
                    <w:widowControl/>
                    <w:adjustRightInd w:val="0"/>
                    <w:snapToGrid w:val="0"/>
                    <w:jc w:val="center"/>
                    <w:rPr>
                      <w:color w:val="000000"/>
                      <w:szCs w:val="21"/>
                    </w:rPr>
                  </w:pPr>
                  <w:r>
                    <w:rPr>
                      <w:color w:val="000000"/>
                      <w:szCs w:val="21"/>
                    </w:rPr>
                    <w:t>相对厂址方位</w:t>
                  </w:r>
                </w:p>
              </w:tc>
              <w:tc>
                <w:tcPr>
                  <w:tcW w:w="823" w:type="dxa"/>
                  <w:vMerge w:val="restart"/>
                  <w:tcBorders>
                    <w:tl2br w:val="nil"/>
                    <w:tr2bl w:val="nil"/>
                  </w:tcBorders>
                  <w:vAlign w:val="center"/>
                </w:tcPr>
                <w:p>
                  <w:pPr>
                    <w:widowControl/>
                    <w:adjustRightInd w:val="0"/>
                    <w:snapToGrid w:val="0"/>
                    <w:jc w:val="center"/>
                    <w:rPr>
                      <w:color w:val="000000"/>
                      <w:szCs w:val="21"/>
                    </w:rPr>
                  </w:pPr>
                  <w:r>
                    <w:rPr>
                      <w:color w:val="000000"/>
                      <w:szCs w:val="21"/>
                    </w:rPr>
                    <w:t>相对厂界距离（m）</w:t>
                  </w:r>
                </w:p>
              </w:tc>
              <w:tc>
                <w:tcPr>
                  <w:tcW w:w="552" w:type="dxa"/>
                  <w:vMerge w:val="restart"/>
                  <w:tcBorders>
                    <w:tl2br w:val="nil"/>
                    <w:tr2bl w:val="nil"/>
                  </w:tcBorders>
                  <w:vAlign w:val="center"/>
                </w:tcPr>
                <w:p>
                  <w:pPr>
                    <w:widowControl/>
                    <w:adjustRightInd w:val="0"/>
                    <w:snapToGrid w:val="0"/>
                    <w:jc w:val="center"/>
                    <w:rPr>
                      <w:color w:val="000000"/>
                      <w:szCs w:val="21"/>
                    </w:rPr>
                  </w:pPr>
                  <w:r>
                    <w:rPr>
                      <w:color w:val="000000"/>
                      <w:szCs w:val="21"/>
                    </w:rPr>
                    <w:t>保护内容</w:t>
                  </w:r>
                </w:p>
              </w:tc>
              <w:tc>
                <w:tcPr>
                  <w:tcW w:w="623" w:type="dxa"/>
                  <w:vMerge w:val="restart"/>
                  <w:tcBorders>
                    <w:tl2br w:val="nil"/>
                    <w:tr2bl w:val="nil"/>
                  </w:tcBorders>
                  <w:vAlign w:val="center"/>
                </w:tcPr>
                <w:p>
                  <w:pPr>
                    <w:widowControl/>
                    <w:adjustRightInd w:val="0"/>
                    <w:snapToGrid w:val="0"/>
                    <w:jc w:val="center"/>
                    <w:rPr>
                      <w:color w:val="000000"/>
                      <w:szCs w:val="21"/>
                    </w:rPr>
                  </w:pPr>
                  <w:r>
                    <w:rPr>
                      <w:color w:val="000000"/>
                      <w:szCs w:val="21"/>
                    </w:rPr>
                    <w:t>环境功能区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25" w:type="dxa"/>
                  <w:vMerge w:val="continue"/>
                  <w:tcBorders>
                    <w:tl2br w:val="nil"/>
                    <w:tr2bl w:val="nil"/>
                  </w:tcBorders>
                  <w:vAlign w:val="center"/>
                </w:tcPr>
                <w:p>
                  <w:pPr>
                    <w:widowControl/>
                    <w:adjustRightInd w:val="0"/>
                    <w:snapToGrid w:val="0"/>
                    <w:jc w:val="center"/>
                    <w:rPr>
                      <w:color w:val="000000"/>
                      <w:szCs w:val="21"/>
                    </w:rPr>
                  </w:pPr>
                </w:p>
              </w:tc>
              <w:tc>
                <w:tcPr>
                  <w:tcW w:w="1122" w:type="dxa"/>
                  <w:vMerge w:val="continue"/>
                  <w:tcBorders>
                    <w:tl2br w:val="nil"/>
                    <w:tr2bl w:val="nil"/>
                  </w:tcBorders>
                  <w:vAlign w:val="center"/>
                </w:tcPr>
                <w:p>
                  <w:pPr>
                    <w:widowControl/>
                    <w:adjustRightInd w:val="0"/>
                    <w:snapToGrid w:val="0"/>
                    <w:jc w:val="center"/>
                    <w:rPr>
                      <w:color w:val="000000"/>
                      <w:szCs w:val="21"/>
                    </w:rPr>
                  </w:pPr>
                </w:p>
              </w:tc>
              <w:tc>
                <w:tcPr>
                  <w:tcW w:w="1326" w:type="dxa"/>
                  <w:tcBorders>
                    <w:tl2br w:val="nil"/>
                    <w:tr2bl w:val="nil"/>
                  </w:tcBorders>
                  <w:vAlign w:val="center"/>
                </w:tcPr>
                <w:p>
                  <w:pPr>
                    <w:widowControl/>
                    <w:adjustRightInd w:val="0"/>
                    <w:snapToGrid w:val="0"/>
                    <w:jc w:val="center"/>
                    <w:rPr>
                      <w:color w:val="000000"/>
                      <w:szCs w:val="21"/>
                    </w:rPr>
                  </w:pPr>
                  <w:r>
                    <w:rPr>
                      <w:color w:val="000000"/>
                      <w:szCs w:val="21"/>
                    </w:rPr>
                    <w:t>东经</w:t>
                  </w:r>
                </w:p>
              </w:tc>
              <w:tc>
                <w:tcPr>
                  <w:tcW w:w="1353" w:type="dxa"/>
                  <w:tcBorders>
                    <w:tl2br w:val="nil"/>
                    <w:tr2bl w:val="nil"/>
                  </w:tcBorders>
                  <w:vAlign w:val="center"/>
                </w:tcPr>
                <w:p>
                  <w:pPr>
                    <w:widowControl/>
                    <w:adjustRightInd w:val="0"/>
                    <w:snapToGrid w:val="0"/>
                    <w:jc w:val="center"/>
                    <w:rPr>
                      <w:color w:val="000000"/>
                      <w:szCs w:val="21"/>
                    </w:rPr>
                  </w:pPr>
                  <w:r>
                    <w:rPr>
                      <w:color w:val="000000"/>
                      <w:szCs w:val="21"/>
                    </w:rPr>
                    <w:t>北纬</w:t>
                  </w:r>
                </w:p>
              </w:tc>
              <w:tc>
                <w:tcPr>
                  <w:tcW w:w="724" w:type="dxa"/>
                  <w:vMerge w:val="continue"/>
                  <w:tcBorders>
                    <w:tl2br w:val="nil"/>
                    <w:tr2bl w:val="nil"/>
                  </w:tcBorders>
                  <w:vAlign w:val="center"/>
                </w:tcPr>
                <w:p>
                  <w:pPr>
                    <w:widowControl/>
                    <w:adjustRightInd w:val="0"/>
                    <w:snapToGrid w:val="0"/>
                    <w:jc w:val="center"/>
                    <w:rPr>
                      <w:color w:val="000000"/>
                      <w:szCs w:val="21"/>
                    </w:rPr>
                  </w:pPr>
                </w:p>
              </w:tc>
              <w:tc>
                <w:tcPr>
                  <w:tcW w:w="823" w:type="dxa"/>
                  <w:vMerge w:val="continue"/>
                  <w:tcBorders>
                    <w:tl2br w:val="nil"/>
                    <w:tr2bl w:val="nil"/>
                  </w:tcBorders>
                  <w:vAlign w:val="center"/>
                </w:tcPr>
                <w:p>
                  <w:pPr>
                    <w:widowControl/>
                    <w:adjustRightInd w:val="0"/>
                    <w:snapToGrid w:val="0"/>
                    <w:jc w:val="center"/>
                    <w:rPr>
                      <w:color w:val="000000"/>
                      <w:szCs w:val="21"/>
                    </w:rPr>
                  </w:pPr>
                </w:p>
              </w:tc>
              <w:tc>
                <w:tcPr>
                  <w:tcW w:w="823" w:type="dxa"/>
                  <w:vMerge w:val="continue"/>
                  <w:tcBorders>
                    <w:tl2br w:val="nil"/>
                    <w:tr2bl w:val="nil"/>
                  </w:tcBorders>
                  <w:vAlign w:val="center"/>
                </w:tcPr>
                <w:p>
                  <w:pPr>
                    <w:widowControl/>
                    <w:adjustRightInd w:val="0"/>
                    <w:snapToGrid w:val="0"/>
                    <w:jc w:val="center"/>
                    <w:rPr>
                      <w:color w:val="000000"/>
                      <w:szCs w:val="21"/>
                    </w:rPr>
                  </w:pPr>
                </w:p>
              </w:tc>
              <w:tc>
                <w:tcPr>
                  <w:tcW w:w="552" w:type="dxa"/>
                  <w:vMerge w:val="continue"/>
                  <w:tcBorders>
                    <w:tl2br w:val="nil"/>
                    <w:tr2bl w:val="nil"/>
                  </w:tcBorders>
                  <w:vAlign w:val="center"/>
                </w:tcPr>
                <w:p>
                  <w:pPr>
                    <w:widowControl/>
                    <w:adjustRightInd w:val="0"/>
                    <w:snapToGrid w:val="0"/>
                    <w:jc w:val="center"/>
                    <w:rPr>
                      <w:color w:val="000000"/>
                      <w:szCs w:val="21"/>
                    </w:rPr>
                  </w:pPr>
                </w:p>
              </w:tc>
              <w:tc>
                <w:tcPr>
                  <w:tcW w:w="623" w:type="dxa"/>
                  <w:vMerge w:val="continue"/>
                  <w:tcBorders>
                    <w:tl2br w:val="nil"/>
                    <w:tr2bl w:val="nil"/>
                  </w:tcBorders>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25" w:type="dxa"/>
                  <w:vMerge w:val="continue"/>
                  <w:tcBorders>
                    <w:tl2br w:val="nil"/>
                    <w:tr2bl w:val="nil"/>
                  </w:tcBorders>
                  <w:vAlign w:val="center"/>
                </w:tcPr>
                <w:p>
                  <w:pPr>
                    <w:adjustRightInd w:val="0"/>
                    <w:snapToGrid w:val="0"/>
                    <w:jc w:val="center"/>
                    <w:rPr>
                      <w:color w:val="000000"/>
                      <w:szCs w:val="21"/>
                    </w:rPr>
                  </w:pPr>
                </w:p>
              </w:tc>
              <w:tc>
                <w:tcPr>
                  <w:tcW w:w="1122" w:type="dxa"/>
                  <w:tcBorders>
                    <w:tl2br w:val="nil"/>
                    <w:tr2bl w:val="nil"/>
                  </w:tcBorders>
                  <w:vAlign w:val="center"/>
                </w:tcPr>
                <w:p>
                  <w:pPr>
                    <w:widowControl/>
                    <w:adjustRightInd w:val="0"/>
                    <w:snapToGrid w:val="0"/>
                    <w:jc w:val="center"/>
                    <w:rPr>
                      <w:color w:val="000000"/>
                      <w:szCs w:val="21"/>
                    </w:rPr>
                  </w:pPr>
                  <w:r>
                    <w:rPr>
                      <w:rFonts w:hint="eastAsia"/>
                      <w:color w:val="000000"/>
                      <w:szCs w:val="21"/>
                      <w:lang w:val="en-US" w:eastAsia="zh-CN"/>
                    </w:rPr>
                    <w:t>兴功</w:t>
                  </w:r>
                  <w:r>
                    <w:rPr>
                      <w:rFonts w:hint="eastAsia"/>
                      <w:color w:val="000000"/>
                      <w:szCs w:val="21"/>
                    </w:rPr>
                    <w:t>村</w:t>
                  </w:r>
                </w:p>
              </w:tc>
              <w:tc>
                <w:tcPr>
                  <w:tcW w:w="1326" w:type="dxa"/>
                  <w:tcBorders>
                    <w:tl2br w:val="nil"/>
                    <w:tr2bl w:val="nil"/>
                  </w:tcBorders>
                  <w:vAlign w:val="center"/>
                </w:tcPr>
                <w:p>
                  <w:pPr>
                    <w:widowControl/>
                    <w:adjustRightInd w:val="0"/>
                    <w:snapToGrid w:val="0"/>
                    <w:jc w:val="center"/>
                    <w:rPr>
                      <w:color w:val="000000"/>
                      <w:szCs w:val="21"/>
                    </w:rPr>
                  </w:pPr>
                  <w:r>
                    <w:rPr>
                      <w:rFonts w:hint="eastAsia"/>
                    </w:rPr>
                    <w:t>126.48765564</w:t>
                  </w:r>
                </w:p>
              </w:tc>
              <w:tc>
                <w:tcPr>
                  <w:tcW w:w="1353" w:type="dxa"/>
                  <w:tcBorders>
                    <w:tl2br w:val="nil"/>
                    <w:tr2bl w:val="nil"/>
                  </w:tcBorders>
                  <w:vAlign w:val="center"/>
                </w:tcPr>
                <w:p>
                  <w:pPr>
                    <w:widowControl/>
                    <w:adjustRightInd w:val="0"/>
                    <w:snapToGrid w:val="0"/>
                    <w:jc w:val="center"/>
                    <w:rPr>
                      <w:color w:val="000000"/>
                      <w:szCs w:val="21"/>
                    </w:rPr>
                  </w:pPr>
                  <w:r>
                    <w:rPr>
                      <w:rFonts w:hint="eastAsia"/>
                    </w:rPr>
                    <w:t>45.35805603</w:t>
                  </w:r>
                </w:p>
              </w:tc>
              <w:tc>
                <w:tcPr>
                  <w:tcW w:w="724" w:type="dxa"/>
                  <w:vMerge w:val="restart"/>
                  <w:tcBorders>
                    <w:tl2br w:val="nil"/>
                    <w:tr2bl w:val="nil"/>
                  </w:tcBorders>
                  <w:vAlign w:val="center"/>
                </w:tcPr>
                <w:p>
                  <w:pPr>
                    <w:adjustRightInd w:val="0"/>
                    <w:snapToGrid w:val="0"/>
                    <w:jc w:val="center"/>
                    <w:rPr>
                      <w:color w:val="000000"/>
                      <w:szCs w:val="21"/>
                    </w:rPr>
                  </w:pPr>
                  <w:r>
                    <w:rPr>
                      <w:rFonts w:hint="eastAsia"/>
                      <w:color w:val="000000"/>
                      <w:szCs w:val="21"/>
                    </w:rPr>
                    <w:t>农村地区中人群较集中区</w:t>
                  </w: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E</w:t>
                  </w:r>
                </w:p>
              </w:tc>
              <w:tc>
                <w:tcPr>
                  <w:tcW w:w="823" w:type="dxa"/>
                  <w:tcBorders>
                    <w:tl2br w:val="nil"/>
                    <w:tr2bl w:val="nil"/>
                  </w:tcBorders>
                  <w:vAlign w:val="center"/>
                </w:tcPr>
                <w:p>
                  <w:pPr>
                    <w:widowControl/>
                    <w:adjustRightInd w:val="0"/>
                    <w:snapToGrid w:val="0"/>
                    <w:jc w:val="center"/>
                    <w:rPr>
                      <w:rFonts w:hint="eastAsia" w:eastAsia="宋体"/>
                      <w:color w:val="000000"/>
                      <w:szCs w:val="21"/>
                      <w:lang w:eastAsia="zh-CN"/>
                    </w:rPr>
                  </w:pPr>
                  <w:r>
                    <w:rPr>
                      <w:color w:val="000000"/>
                      <w:szCs w:val="21"/>
                    </w:rPr>
                    <w:t>1</w:t>
                  </w:r>
                  <w:r>
                    <w:rPr>
                      <w:rFonts w:hint="eastAsia"/>
                      <w:color w:val="000000"/>
                      <w:szCs w:val="21"/>
                      <w:lang w:val="en-US" w:eastAsia="zh-CN"/>
                    </w:rPr>
                    <w:t>6</w:t>
                  </w:r>
                </w:p>
              </w:tc>
              <w:tc>
                <w:tcPr>
                  <w:tcW w:w="552" w:type="dxa"/>
                  <w:vMerge w:val="restart"/>
                  <w:tcBorders>
                    <w:tl2br w:val="nil"/>
                    <w:tr2bl w:val="nil"/>
                  </w:tcBorders>
                  <w:vAlign w:val="center"/>
                </w:tcPr>
                <w:p>
                  <w:pPr>
                    <w:adjustRightInd w:val="0"/>
                    <w:snapToGrid w:val="0"/>
                    <w:jc w:val="center"/>
                    <w:rPr>
                      <w:color w:val="000000"/>
                      <w:szCs w:val="21"/>
                    </w:rPr>
                  </w:pPr>
                  <w:r>
                    <w:rPr>
                      <w:rFonts w:hint="eastAsia"/>
                      <w:color w:val="000000"/>
                      <w:szCs w:val="21"/>
                    </w:rPr>
                    <w:t>人群</w:t>
                  </w:r>
                </w:p>
              </w:tc>
              <w:tc>
                <w:tcPr>
                  <w:tcW w:w="623" w:type="dxa"/>
                  <w:vMerge w:val="restart"/>
                  <w:tcBorders>
                    <w:tl2br w:val="nil"/>
                    <w:tr2bl w:val="nil"/>
                  </w:tcBorders>
                  <w:vAlign w:val="center"/>
                </w:tcPr>
                <w:p>
                  <w:pPr>
                    <w:adjustRightInd w:val="0"/>
                    <w:snapToGrid w:val="0"/>
                    <w:jc w:val="center"/>
                    <w:rPr>
                      <w:color w:val="000000"/>
                      <w:szCs w:val="21"/>
                    </w:rPr>
                  </w:pPr>
                  <w:r>
                    <w:rPr>
                      <w:rFonts w:hint="eastAsia"/>
                      <w:color w:val="000000"/>
                      <w:szCs w:val="21"/>
                    </w:rPr>
                    <w:t>二类区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25" w:type="dxa"/>
                  <w:vMerge w:val="continue"/>
                  <w:tcBorders>
                    <w:tl2br w:val="nil"/>
                    <w:tr2bl w:val="nil"/>
                  </w:tcBorders>
                  <w:vAlign w:val="center"/>
                </w:tcPr>
                <w:p>
                  <w:pPr>
                    <w:widowControl/>
                    <w:adjustRightInd w:val="0"/>
                    <w:snapToGrid w:val="0"/>
                    <w:jc w:val="center"/>
                    <w:rPr>
                      <w:color w:val="000000"/>
                      <w:szCs w:val="21"/>
                    </w:rPr>
                  </w:pPr>
                </w:p>
              </w:tc>
              <w:tc>
                <w:tcPr>
                  <w:tcW w:w="1122" w:type="dxa"/>
                  <w:tcBorders>
                    <w:tl2br w:val="nil"/>
                    <w:tr2bl w:val="nil"/>
                  </w:tcBorders>
                  <w:vAlign w:val="center"/>
                </w:tcPr>
                <w:p>
                  <w:pPr>
                    <w:widowControl/>
                    <w:adjustRightInd w:val="0"/>
                    <w:snapToGrid w:val="0"/>
                    <w:jc w:val="center"/>
                    <w:rPr>
                      <w:rFonts w:hint="eastAsia" w:eastAsia="宋体"/>
                      <w:color w:val="000000"/>
                      <w:szCs w:val="21"/>
                      <w:lang w:eastAsia="zh-CN"/>
                    </w:rPr>
                  </w:pPr>
                  <w:r>
                    <w:rPr>
                      <w:rFonts w:hint="eastAsia"/>
                      <w:color w:val="000000"/>
                      <w:szCs w:val="21"/>
                      <w:lang w:val="en-US" w:eastAsia="zh-CN"/>
                    </w:rPr>
                    <w:t>兴农村</w:t>
                  </w:r>
                </w:p>
              </w:tc>
              <w:tc>
                <w:tcPr>
                  <w:tcW w:w="1326" w:type="dxa"/>
                  <w:tcBorders>
                    <w:tl2br w:val="nil"/>
                    <w:tr2bl w:val="nil"/>
                  </w:tcBorders>
                  <w:vAlign w:val="center"/>
                </w:tcPr>
                <w:p>
                  <w:pPr>
                    <w:widowControl/>
                    <w:adjustRightInd w:val="0"/>
                    <w:snapToGrid w:val="0"/>
                    <w:jc w:val="center"/>
                    <w:rPr>
                      <w:color w:val="000000"/>
                      <w:szCs w:val="21"/>
                    </w:rPr>
                  </w:pPr>
                  <w:r>
                    <w:rPr>
                      <w:rFonts w:hint="eastAsia"/>
                    </w:rPr>
                    <w:t>126.45692825</w:t>
                  </w:r>
                </w:p>
              </w:tc>
              <w:tc>
                <w:tcPr>
                  <w:tcW w:w="1353" w:type="dxa"/>
                  <w:tcBorders>
                    <w:tl2br w:val="nil"/>
                    <w:tr2bl w:val="nil"/>
                  </w:tcBorders>
                  <w:vAlign w:val="center"/>
                </w:tcPr>
                <w:p>
                  <w:pPr>
                    <w:widowControl/>
                    <w:adjustRightInd w:val="0"/>
                    <w:snapToGrid w:val="0"/>
                    <w:jc w:val="center"/>
                    <w:rPr>
                      <w:color w:val="000000"/>
                      <w:szCs w:val="21"/>
                    </w:rPr>
                  </w:pPr>
                  <w:r>
                    <w:rPr>
                      <w:rFonts w:hint="eastAsia"/>
                    </w:rPr>
                    <w:t>45.37192586</w:t>
                  </w:r>
                </w:p>
              </w:tc>
              <w:tc>
                <w:tcPr>
                  <w:tcW w:w="724" w:type="dxa"/>
                  <w:vMerge w:val="continue"/>
                  <w:tcBorders>
                    <w:tl2br w:val="nil"/>
                    <w:tr2bl w:val="nil"/>
                  </w:tcBorders>
                  <w:vAlign w:val="center"/>
                </w:tcPr>
                <w:p>
                  <w:pPr>
                    <w:widowControl/>
                    <w:adjustRightInd w:val="0"/>
                    <w:snapToGrid w:val="0"/>
                    <w:jc w:val="center"/>
                    <w:rPr>
                      <w:color w:val="000000"/>
                      <w:szCs w:val="21"/>
                    </w:rPr>
                  </w:pP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NW</w:t>
                  </w: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2064</w:t>
                  </w:r>
                </w:p>
              </w:tc>
              <w:tc>
                <w:tcPr>
                  <w:tcW w:w="552" w:type="dxa"/>
                  <w:vMerge w:val="continue"/>
                  <w:tcBorders>
                    <w:tl2br w:val="nil"/>
                    <w:tr2bl w:val="nil"/>
                  </w:tcBorders>
                  <w:vAlign w:val="center"/>
                </w:tcPr>
                <w:p>
                  <w:pPr>
                    <w:widowControl/>
                    <w:adjustRightInd w:val="0"/>
                    <w:snapToGrid w:val="0"/>
                    <w:jc w:val="center"/>
                    <w:rPr>
                      <w:color w:val="000000"/>
                      <w:szCs w:val="21"/>
                    </w:rPr>
                  </w:pPr>
                </w:p>
              </w:tc>
              <w:tc>
                <w:tcPr>
                  <w:tcW w:w="623" w:type="dxa"/>
                  <w:vMerge w:val="continue"/>
                  <w:tcBorders>
                    <w:tl2br w:val="nil"/>
                    <w:tr2bl w:val="nil"/>
                  </w:tcBorders>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25" w:type="dxa"/>
                  <w:vMerge w:val="continue"/>
                  <w:tcBorders>
                    <w:tl2br w:val="nil"/>
                    <w:tr2bl w:val="nil"/>
                  </w:tcBorders>
                  <w:vAlign w:val="center"/>
                </w:tcPr>
                <w:p>
                  <w:pPr>
                    <w:widowControl/>
                    <w:adjustRightInd w:val="0"/>
                    <w:snapToGrid w:val="0"/>
                    <w:jc w:val="center"/>
                    <w:rPr>
                      <w:color w:val="000000"/>
                      <w:szCs w:val="21"/>
                    </w:rPr>
                  </w:pPr>
                </w:p>
              </w:tc>
              <w:tc>
                <w:tcPr>
                  <w:tcW w:w="1122" w:type="dxa"/>
                  <w:tcBorders>
                    <w:tl2br w:val="nil"/>
                    <w:tr2bl w:val="nil"/>
                  </w:tcBorders>
                  <w:vAlign w:val="center"/>
                </w:tcPr>
                <w:p>
                  <w:pPr>
                    <w:widowControl/>
                    <w:adjustRightInd w:val="0"/>
                    <w:snapToGrid w:val="0"/>
                    <w:jc w:val="center"/>
                    <w:rPr>
                      <w:color w:val="000000"/>
                      <w:szCs w:val="21"/>
                    </w:rPr>
                  </w:pPr>
                  <w:r>
                    <w:rPr>
                      <w:rFonts w:hint="eastAsia"/>
                      <w:color w:val="000000"/>
                      <w:szCs w:val="21"/>
                      <w:lang w:val="en-US" w:eastAsia="zh-CN"/>
                    </w:rPr>
                    <w:t>兴团</w:t>
                  </w:r>
                  <w:r>
                    <w:rPr>
                      <w:rFonts w:hint="eastAsia"/>
                      <w:color w:val="000000"/>
                      <w:szCs w:val="21"/>
                    </w:rPr>
                    <w:t>村</w:t>
                  </w:r>
                </w:p>
              </w:tc>
              <w:tc>
                <w:tcPr>
                  <w:tcW w:w="1326" w:type="dxa"/>
                  <w:tcBorders>
                    <w:tl2br w:val="nil"/>
                    <w:tr2bl w:val="nil"/>
                  </w:tcBorders>
                  <w:vAlign w:val="center"/>
                </w:tcPr>
                <w:p>
                  <w:pPr>
                    <w:widowControl/>
                    <w:adjustRightInd w:val="0"/>
                    <w:snapToGrid w:val="0"/>
                    <w:jc w:val="center"/>
                    <w:rPr>
                      <w:color w:val="000000"/>
                      <w:szCs w:val="21"/>
                    </w:rPr>
                  </w:pPr>
                  <w:r>
                    <w:rPr>
                      <w:rFonts w:hint="eastAsia"/>
                    </w:rPr>
                    <w:t>126.45915985</w:t>
                  </w:r>
                </w:p>
              </w:tc>
              <w:tc>
                <w:tcPr>
                  <w:tcW w:w="1353" w:type="dxa"/>
                  <w:tcBorders>
                    <w:tl2br w:val="nil"/>
                    <w:tr2bl w:val="nil"/>
                  </w:tcBorders>
                  <w:vAlign w:val="center"/>
                </w:tcPr>
                <w:p>
                  <w:pPr>
                    <w:widowControl/>
                    <w:adjustRightInd w:val="0"/>
                    <w:snapToGrid w:val="0"/>
                    <w:jc w:val="center"/>
                    <w:rPr>
                      <w:color w:val="000000"/>
                      <w:szCs w:val="21"/>
                    </w:rPr>
                  </w:pPr>
                  <w:r>
                    <w:rPr>
                      <w:rFonts w:hint="eastAsia"/>
                    </w:rPr>
                    <w:t>45.34611319</w:t>
                  </w:r>
                </w:p>
              </w:tc>
              <w:tc>
                <w:tcPr>
                  <w:tcW w:w="724" w:type="dxa"/>
                  <w:vMerge w:val="continue"/>
                  <w:tcBorders>
                    <w:tl2br w:val="nil"/>
                    <w:tr2bl w:val="nil"/>
                  </w:tcBorders>
                  <w:vAlign w:val="center"/>
                </w:tcPr>
                <w:p>
                  <w:pPr>
                    <w:widowControl/>
                    <w:adjustRightInd w:val="0"/>
                    <w:snapToGrid w:val="0"/>
                    <w:jc w:val="center"/>
                    <w:rPr>
                      <w:color w:val="000000"/>
                      <w:szCs w:val="21"/>
                    </w:rPr>
                  </w:pP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SW</w:t>
                  </w: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1865</w:t>
                  </w:r>
                </w:p>
              </w:tc>
              <w:tc>
                <w:tcPr>
                  <w:tcW w:w="552" w:type="dxa"/>
                  <w:vMerge w:val="continue"/>
                  <w:tcBorders>
                    <w:tl2br w:val="nil"/>
                    <w:tr2bl w:val="nil"/>
                  </w:tcBorders>
                  <w:vAlign w:val="center"/>
                </w:tcPr>
                <w:p>
                  <w:pPr>
                    <w:widowControl/>
                    <w:adjustRightInd w:val="0"/>
                    <w:snapToGrid w:val="0"/>
                    <w:jc w:val="center"/>
                    <w:rPr>
                      <w:color w:val="000000"/>
                      <w:szCs w:val="21"/>
                    </w:rPr>
                  </w:pPr>
                </w:p>
              </w:tc>
              <w:tc>
                <w:tcPr>
                  <w:tcW w:w="623" w:type="dxa"/>
                  <w:vMerge w:val="continue"/>
                  <w:tcBorders>
                    <w:tl2br w:val="nil"/>
                    <w:tr2bl w:val="nil"/>
                  </w:tcBorders>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25" w:type="dxa"/>
                  <w:vMerge w:val="continue"/>
                  <w:tcBorders>
                    <w:tl2br w:val="nil"/>
                    <w:tr2bl w:val="nil"/>
                  </w:tcBorders>
                  <w:vAlign w:val="center"/>
                </w:tcPr>
                <w:p>
                  <w:pPr>
                    <w:widowControl/>
                    <w:adjustRightInd w:val="0"/>
                    <w:snapToGrid w:val="0"/>
                    <w:jc w:val="center"/>
                    <w:rPr>
                      <w:color w:val="000000"/>
                      <w:szCs w:val="21"/>
                    </w:rPr>
                  </w:pPr>
                </w:p>
              </w:tc>
              <w:tc>
                <w:tcPr>
                  <w:tcW w:w="1122" w:type="dxa"/>
                  <w:tcBorders>
                    <w:tl2br w:val="nil"/>
                    <w:tr2bl w:val="nil"/>
                  </w:tcBorders>
                  <w:vAlign w:val="center"/>
                </w:tcPr>
                <w:p>
                  <w:pPr>
                    <w:widowControl/>
                    <w:adjustRightInd w:val="0"/>
                    <w:snapToGrid w:val="0"/>
                    <w:jc w:val="center"/>
                    <w:rPr>
                      <w:color w:val="000000"/>
                      <w:szCs w:val="21"/>
                    </w:rPr>
                  </w:pPr>
                  <w:r>
                    <w:rPr>
                      <w:rFonts w:hint="eastAsia"/>
                      <w:color w:val="000000"/>
                      <w:szCs w:val="21"/>
                      <w:lang w:val="en-US" w:eastAsia="zh-CN"/>
                    </w:rPr>
                    <w:t>兴结</w:t>
                  </w:r>
                  <w:r>
                    <w:rPr>
                      <w:rFonts w:hint="eastAsia"/>
                      <w:color w:val="000000"/>
                      <w:szCs w:val="21"/>
                    </w:rPr>
                    <w:t>村</w:t>
                  </w:r>
                </w:p>
              </w:tc>
              <w:tc>
                <w:tcPr>
                  <w:tcW w:w="1326" w:type="dxa"/>
                  <w:tcBorders>
                    <w:tl2br w:val="nil"/>
                    <w:tr2bl w:val="nil"/>
                  </w:tcBorders>
                  <w:vAlign w:val="center"/>
                </w:tcPr>
                <w:p>
                  <w:pPr>
                    <w:widowControl/>
                    <w:adjustRightInd w:val="0"/>
                    <w:snapToGrid w:val="0"/>
                    <w:jc w:val="center"/>
                    <w:rPr>
                      <w:color w:val="000000"/>
                      <w:szCs w:val="21"/>
                    </w:rPr>
                  </w:pPr>
                  <w:r>
                    <w:rPr>
                      <w:rFonts w:hint="eastAsia"/>
                    </w:rPr>
                    <w:t>126.50482178</w:t>
                  </w:r>
                </w:p>
              </w:tc>
              <w:tc>
                <w:tcPr>
                  <w:tcW w:w="1353" w:type="dxa"/>
                  <w:tcBorders>
                    <w:tl2br w:val="nil"/>
                    <w:tr2bl w:val="nil"/>
                  </w:tcBorders>
                  <w:vAlign w:val="center"/>
                </w:tcPr>
                <w:p>
                  <w:pPr>
                    <w:widowControl/>
                    <w:adjustRightInd w:val="0"/>
                    <w:snapToGrid w:val="0"/>
                    <w:jc w:val="center"/>
                    <w:rPr>
                      <w:color w:val="000000"/>
                      <w:szCs w:val="21"/>
                    </w:rPr>
                  </w:pPr>
                  <w:r>
                    <w:rPr>
                      <w:rFonts w:hint="eastAsia"/>
                    </w:rPr>
                    <w:t>45.33863256</w:t>
                  </w:r>
                </w:p>
              </w:tc>
              <w:tc>
                <w:tcPr>
                  <w:tcW w:w="724" w:type="dxa"/>
                  <w:vMerge w:val="continue"/>
                  <w:tcBorders>
                    <w:tl2br w:val="nil"/>
                    <w:tr2bl w:val="nil"/>
                  </w:tcBorders>
                  <w:vAlign w:val="center"/>
                </w:tcPr>
                <w:p>
                  <w:pPr>
                    <w:widowControl/>
                    <w:adjustRightInd w:val="0"/>
                    <w:snapToGrid w:val="0"/>
                    <w:jc w:val="center"/>
                    <w:rPr>
                      <w:color w:val="000000"/>
                      <w:szCs w:val="21"/>
                    </w:rPr>
                  </w:pP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SE</w:t>
                  </w: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2358</w:t>
                  </w:r>
                </w:p>
              </w:tc>
              <w:tc>
                <w:tcPr>
                  <w:tcW w:w="552" w:type="dxa"/>
                  <w:vMerge w:val="continue"/>
                  <w:tcBorders>
                    <w:tl2br w:val="nil"/>
                    <w:tr2bl w:val="nil"/>
                  </w:tcBorders>
                  <w:vAlign w:val="center"/>
                </w:tcPr>
                <w:p>
                  <w:pPr>
                    <w:widowControl/>
                    <w:adjustRightInd w:val="0"/>
                    <w:snapToGrid w:val="0"/>
                    <w:jc w:val="center"/>
                    <w:rPr>
                      <w:color w:val="000000"/>
                      <w:szCs w:val="21"/>
                    </w:rPr>
                  </w:pPr>
                </w:p>
              </w:tc>
              <w:tc>
                <w:tcPr>
                  <w:tcW w:w="623" w:type="dxa"/>
                  <w:vMerge w:val="continue"/>
                  <w:tcBorders>
                    <w:tl2br w:val="nil"/>
                    <w:tr2bl w:val="nil"/>
                  </w:tcBorders>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25" w:type="dxa"/>
                  <w:vMerge w:val="continue"/>
                  <w:tcBorders>
                    <w:tl2br w:val="nil"/>
                    <w:tr2bl w:val="nil"/>
                  </w:tcBorders>
                  <w:vAlign w:val="center"/>
                </w:tcPr>
                <w:p>
                  <w:pPr>
                    <w:widowControl/>
                    <w:adjustRightInd w:val="0"/>
                    <w:snapToGrid w:val="0"/>
                    <w:jc w:val="center"/>
                    <w:rPr>
                      <w:color w:val="000000"/>
                      <w:szCs w:val="21"/>
                    </w:rPr>
                  </w:pPr>
                </w:p>
              </w:tc>
              <w:tc>
                <w:tcPr>
                  <w:tcW w:w="1122" w:type="dxa"/>
                  <w:tcBorders>
                    <w:tl2br w:val="nil"/>
                    <w:tr2bl w:val="nil"/>
                  </w:tcBorders>
                  <w:vAlign w:val="center"/>
                </w:tcPr>
                <w:p>
                  <w:pPr>
                    <w:widowControl/>
                    <w:adjustRightInd w:val="0"/>
                    <w:snapToGrid w:val="0"/>
                    <w:jc w:val="center"/>
                    <w:rPr>
                      <w:rFonts w:hint="default"/>
                      <w:color w:val="000000"/>
                      <w:szCs w:val="21"/>
                      <w:lang w:val="en-US" w:eastAsia="zh-CN"/>
                    </w:rPr>
                  </w:pPr>
                  <w:r>
                    <w:rPr>
                      <w:rFonts w:hint="eastAsia"/>
                      <w:color w:val="000000"/>
                      <w:szCs w:val="21"/>
                      <w:lang w:val="en-US" w:eastAsia="zh-CN"/>
                    </w:rPr>
                    <w:t>兴胜村</w:t>
                  </w:r>
                </w:p>
              </w:tc>
              <w:tc>
                <w:tcPr>
                  <w:tcW w:w="1326" w:type="dxa"/>
                  <w:tcBorders>
                    <w:tl2br w:val="nil"/>
                    <w:tr2bl w:val="nil"/>
                  </w:tcBorders>
                  <w:vAlign w:val="center"/>
                </w:tcPr>
                <w:p>
                  <w:pPr>
                    <w:widowControl/>
                    <w:adjustRightInd w:val="0"/>
                    <w:snapToGrid w:val="0"/>
                    <w:jc w:val="center"/>
                    <w:rPr>
                      <w:color w:val="000000"/>
                      <w:szCs w:val="21"/>
                    </w:rPr>
                  </w:pPr>
                  <w:r>
                    <w:rPr>
                      <w:rFonts w:hint="eastAsia"/>
                      <w:color w:val="000000"/>
                      <w:szCs w:val="21"/>
                    </w:rPr>
                    <w:t>126.51512146</w:t>
                  </w:r>
                </w:p>
              </w:tc>
              <w:tc>
                <w:tcPr>
                  <w:tcW w:w="1353" w:type="dxa"/>
                  <w:tcBorders>
                    <w:tl2br w:val="nil"/>
                    <w:tr2bl w:val="nil"/>
                  </w:tcBorders>
                  <w:vAlign w:val="center"/>
                </w:tcPr>
                <w:p>
                  <w:pPr>
                    <w:widowControl/>
                    <w:adjustRightInd w:val="0"/>
                    <w:snapToGrid w:val="0"/>
                    <w:jc w:val="center"/>
                    <w:rPr>
                      <w:color w:val="000000"/>
                      <w:szCs w:val="21"/>
                    </w:rPr>
                  </w:pPr>
                  <w:r>
                    <w:rPr>
                      <w:rFonts w:hint="eastAsia"/>
                      <w:color w:val="000000"/>
                      <w:szCs w:val="21"/>
                    </w:rPr>
                    <w:t>45.35950348</w:t>
                  </w:r>
                </w:p>
              </w:tc>
              <w:tc>
                <w:tcPr>
                  <w:tcW w:w="724" w:type="dxa"/>
                  <w:vMerge w:val="continue"/>
                  <w:tcBorders>
                    <w:tl2br w:val="nil"/>
                    <w:tr2bl w:val="nil"/>
                  </w:tcBorders>
                  <w:vAlign w:val="center"/>
                </w:tcPr>
                <w:p>
                  <w:pPr>
                    <w:widowControl/>
                    <w:adjustRightInd w:val="0"/>
                    <w:snapToGrid w:val="0"/>
                    <w:jc w:val="center"/>
                    <w:rPr>
                      <w:color w:val="000000"/>
                      <w:szCs w:val="21"/>
                    </w:rPr>
                  </w:pPr>
                </w:p>
              </w:tc>
              <w:tc>
                <w:tcPr>
                  <w:tcW w:w="823" w:type="dxa"/>
                  <w:tcBorders>
                    <w:tl2br w:val="nil"/>
                    <w:tr2bl w:val="nil"/>
                  </w:tcBorders>
                  <w:vAlign w:val="center"/>
                </w:tcPr>
                <w:p>
                  <w:pPr>
                    <w:widowControl/>
                    <w:adjustRightInd w:val="0"/>
                    <w:snapToGrid w:val="0"/>
                    <w:jc w:val="center"/>
                    <w:rPr>
                      <w:rFonts w:hint="eastAsia" w:eastAsia="宋体"/>
                      <w:color w:val="000000"/>
                      <w:szCs w:val="21"/>
                      <w:lang w:val="en-US" w:eastAsia="zh-CN"/>
                    </w:rPr>
                  </w:pPr>
                  <w:r>
                    <w:rPr>
                      <w:rFonts w:hint="eastAsia"/>
                      <w:color w:val="000000"/>
                      <w:szCs w:val="21"/>
                      <w:lang w:val="en-US" w:eastAsia="zh-CN"/>
                    </w:rPr>
                    <w:t>E</w:t>
                  </w: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2277</w:t>
                  </w:r>
                </w:p>
              </w:tc>
              <w:tc>
                <w:tcPr>
                  <w:tcW w:w="552" w:type="dxa"/>
                  <w:vMerge w:val="continue"/>
                  <w:tcBorders>
                    <w:tl2br w:val="nil"/>
                    <w:tr2bl w:val="nil"/>
                  </w:tcBorders>
                  <w:vAlign w:val="center"/>
                </w:tcPr>
                <w:p>
                  <w:pPr>
                    <w:widowControl/>
                    <w:adjustRightInd w:val="0"/>
                    <w:snapToGrid w:val="0"/>
                    <w:jc w:val="center"/>
                    <w:rPr>
                      <w:color w:val="000000"/>
                      <w:szCs w:val="21"/>
                    </w:rPr>
                  </w:pPr>
                </w:p>
              </w:tc>
              <w:tc>
                <w:tcPr>
                  <w:tcW w:w="623" w:type="dxa"/>
                  <w:vMerge w:val="continue"/>
                  <w:tcBorders>
                    <w:tl2br w:val="nil"/>
                    <w:tr2bl w:val="nil"/>
                  </w:tcBorders>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625" w:type="dxa"/>
                  <w:vMerge w:val="continue"/>
                  <w:tcBorders>
                    <w:tl2br w:val="nil"/>
                    <w:tr2bl w:val="nil"/>
                  </w:tcBorders>
                  <w:vAlign w:val="center"/>
                </w:tcPr>
                <w:p>
                  <w:pPr>
                    <w:widowControl/>
                    <w:adjustRightInd w:val="0"/>
                    <w:snapToGrid w:val="0"/>
                    <w:jc w:val="center"/>
                    <w:rPr>
                      <w:color w:val="000000"/>
                      <w:szCs w:val="21"/>
                    </w:rPr>
                  </w:pPr>
                </w:p>
              </w:tc>
              <w:tc>
                <w:tcPr>
                  <w:tcW w:w="1122" w:type="dxa"/>
                  <w:tcBorders>
                    <w:tl2br w:val="nil"/>
                    <w:tr2bl w:val="nil"/>
                  </w:tcBorders>
                  <w:vAlign w:val="center"/>
                </w:tcPr>
                <w:p>
                  <w:pPr>
                    <w:widowControl/>
                    <w:adjustRightInd w:val="0"/>
                    <w:snapToGrid w:val="0"/>
                    <w:jc w:val="center"/>
                    <w:rPr>
                      <w:rFonts w:hint="default"/>
                      <w:color w:val="000000"/>
                      <w:szCs w:val="21"/>
                      <w:lang w:val="en-US" w:eastAsia="zh-CN"/>
                    </w:rPr>
                  </w:pPr>
                  <w:r>
                    <w:rPr>
                      <w:rFonts w:hint="eastAsia"/>
                      <w:color w:val="000000"/>
                      <w:szCs w:val="21"/>
                      <w:lang w:val="en-US" w:eastAsia="zh-CN"/>
                    </w:rPr>
                    <w:t>兴旺村</w:t>
                  </w:r>
                </w:p>
              </w:tc>
              <w:tc>
                <w:tcPr>
                  <w:tcW w:w="1326" w:type="dxa"/>
                  <w:tcBorders>
                    <w:tl2br w:val="nil"/>
                    <w:tr2bl w:val="nil"/>
                  </w:tcBorders>
                  <w:vAlign w:val="center"/>
                </w:tcPr>
                <w:p>
                  <w:pPr>
                    <w:widowControl/>
                    <w:adjustRightInd w:val="0"/>
                    <w:snapToGrid w:val="0"/>
                    <w:jc w:val="center"/>
                    <w:rPr>
                      <w:color w:val="000000"/>
                      <w:szCs w:val="21"/>
                    </w:rPr>
                  </w:pPr>
                  <w:r>
                    <w:rPr>
                      <w:rFonts w:hint="eastAsia"/>
                      <w:color w:val="000000"/>
                      <w:szCs w:val="21"/>
                    </w:rPr>
                    <w:t>126.49726868</w:t>
                  </w:r>
                </w:p>
              </w:tc>
              <w:tc>
                <w:tcPr>
                  <w:tcW w:w="1353" w:type="dxa"/>
                  <w:tcBorders>
                    <w:tl2br w:val="nil"/>
                    <w:tr2bl w:val="nil"/>
                  </w:tcBorders>
                  <w:vAlign w:val="center"/>
                </w:tcPr>
                <w:p>
                  <w:pPr>
                    <w:widowControl/>
                    <w:adjustRightInd w:val="0"/>
                    <w:snapToGrid w:val="0"/>
                    <w:jc w:val="center"/>
                    <w:rPr>
                      <w:color w:val="000000"/>
                      <w:szCs w:val="21"/>
                    </w:rPr>
                  </w:pPr>
                  <w:r>
                    <w:rPr>
                      <w:rFonts w:hint="eastAsia"/>
                      <w:color w:val="000000"/>
                      <w:szCs w:val="21"/>
                    </w:rPr>
                    <w:t>45.38048728</w:t>
                  </w:r>
                </w:p>
              </w:tc>
              <w:tc>
                <w:tcPr>
                  <w:tcW w:w="724" w:type="dxa"/>
                  <w:vMerge w:val="continue"/>
                  <w:tcBorders>
                    <w:tl2br w:val="nil"/>
                    <w:tr2bl w:val="nil"/>
                  </w:tcBorders>
                  <w:vAlign w:val="center"/>
                </w:tcPr>
                <w:p>
                  <w:pPr>
                    <w:widowControl/>
                    <w:adjustRightInd w:val="0"/>
                    <w:snapToGrid w:val="0"/>
                    <w:jc w:val="center"/>
                    <w:rPr>
                      <w:color w:val="000000"/>
                      <w:szCs w:val="21"/>
                    </w:rPr>
                  </w:pP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NE</w:t>
                  </w:r>
                </w:p>
              </w:tc>
              <w:tc>
                <w:tcPr>
                  <w:tcW w:w="823" w:type="dxa"/>
                  <w:tcBorders>
                    <w:tl2br w:val="nil"/>
                    <w:tr2bl w:val="nil"/>
                  </w:tcBorders>
                  <w:vAlign w:val="center"/>
                </w:tcPr>
                <w:p>
                  <w:pPr>
                    <w:widowControl/>
                    <w:adjustRightInd w:val="0"/>
                    <w:snapToGrid w:val="0"/>
                    <w:jc w:val="center"/>
                    <w:rPr>
                      <w:rFonts w:hint="default" w:eastAsia="宋体"/>
                      <w:color w:val="000000"/>
                      <w:szCs w:val="21"/>
                      <w:lang w:val="en-US" w:eastAsia="zh-CN"/>
                    </w:rPr>
                  </w:pPr>
                  <w:r>
                    <w:rPr>
                      <w:rFonts w:hint="eastAsia"/>
                      <w:color w:val="000000"/>
                      <w:szCs w:val="21"/>
                      <w:lang w:val="en-US" w:eastAsia="zh-CN"/>
                    </w:rPr>
                    <w:t>2598</w:t>
                  </w:r>
                </w:p>
              </w:tc>
              <w:tc>
                <w:tcPr>
                  <w:tcW w:w="552" w:type="dxa"/>
                  <w:vMerge w:val="continue"/>
                  <w:tcBorders>
                    <w:tl2br w:val="nil"/>
                    <w:tr2bl w:val="nil"/>
                  </w:tcBorders>
                  <w:vAlign w:val="center"/>
                </w:tcPr>
                <w:p>
                  <w:pPr>
                    <w:widowControl/>
                    <w:adjustRightInd w:val="0"/>
                    <w:snapToGrid w:val="0"/>
                    <w:jc w:val="center"/>
                    <w:rPr>
                      <w:color w:val="000000"/>
                      <w:szCs w:val="21"/>
                    </w:rPr>
                  </w:pPr>
                </w:p>
              </w:tc>
              <w:tc>
                <w:tcPr>
                  <w:tcW w:w="623" w:type="dxa"/>
                  <w:vMerge w:val="continue"/>
                  <w:tcBorders>
                    <w:tl2br w:val="nil"/>
                    <w:tr2bl w:val="nil"/>
                  </w:tcBorders>
                  <w:vAlign w:val="center"/>
                </w:tcPr>
                <w:p>
                  <w:pPr>
                    <w:widowControl/>
                    <w:adjustRightInd w:val="0"/>
                    <w:snapToGrid w:val="0"/>
                    <w:jc w:val="center"/>
                    <w:rPr>
                      <w:color w:val="000000"/>
                      <w:szCs w:val="21"/>
                    </w:rPr>
                  </w:pPr>
                </w:p>
              </w:tc>
            </w:tr>
            <w:bookmarkEnd w:id="47"/>
          </w:tbl>
          <w:p>
            <w:pPr>
              <w:pStyle w:val="35"/>
              <w:bidi w:val="0"/>
              <w:spacing w:beforeAutospacing="0" w:afterAutospacing="0" w:line="360" w:lineRule="auto"/>
              <w:ind w:left="0" w:leftChars="0" w:right="0" w:rightChars="0" w:firstLine="420" w:firstLineChars="200"/>
              <w:jc w:val="both"/>
            </w:pPr>
            <w:r>
              <w:drawing>
                <wp:inline distT="0" distB="0" distL="114300" distR="114300">
                  <wp:extent cx="4276725" cy="2680970"/>
                  <wp:effectExtent l="0" t="0" r="9525" b="508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3"/>
                          <a:stretch>
                            <a:fillRect/>
                          </a:stretch>
                        </pic:blipFill>
                        <pic:spPr>
                          <a:xfrm>
                            <a:off x="0" y="0"/>
                            <a:ext cx="4276725" cy="2680970"/>
                          </a:xfrm>
                          <a:prstGeom prst="rect">
                            <a:avLst/>
                          </a:prstGeom>
                          <a:noFill/>
                          <a:ln>
                            <a:noFill/>
                          </a:ln>
                        </pic:spPr>
                      </pic:pic>
                    </a:graphicData>
                  </a:graphic>
                </wp:inline>
              </w:drawing>
            </w:r>
          </w:p>
          <w:p>
            <w:pPr>
              <w:pStyle w:val="33"/>
              <w:rPr>
                <w:rFonts w:hint="eastAsia"/>
                <w:lang w:eastAsia="zh-CN"/>
              </w:rPr>
            </w:pPr>
            <w:r>
              <w:rPr>
                <w:rFonts w:hint="eastAsia" w:eastAsia="宋体" w:cs="Times New Roman"/>
                <w:b/>
                <w:bCs/>
                <w:color w:val="auto"/>
                <w:kern w:val="2"/>
                <w:sz w:val="24"/>
                <w:szCs w:val="24"/>
                <w:highlight w:val="none"/>
                <w:lang w:val="en-US" w:eastAsia="zh-CN" w:bidi="ar-SA"/>
              </w:rPr>
              <w:t>图</w:t>
            </w:r>
            <w:r>
              <w:rPr>
                <w:rFonts w:hint="eastAsia" w:ascii="Times New Roman" w:hAnsi="Times New Roman" w:eastAsia="宋体" w:cs="Times New Roman"/>
                <w:b/>
                <w:bCs/>
                <w:color w:val="auto"/>
                <w:kern w:val="2"/>
                <w:sz w:val="24"/>
                <w:szCs w:val="24"/>
                <w:highlight w:val="none"/>
                <w:lang w:val="en-US" w:eastAsia="zh-CN" w:bidi="ar-SA"/>
              </w:rPr>
              <w:t>3-</w:t>
            </w:r>
            <w:r>
              <w:rPr>
                <w:rFonts w:hint="eastAsia" w:eastAsia="宋体"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zh-CN" w:bidi="ar-SA"/>
              </w:rPr>
              <w:t xml:space="preserve">   大气环境保护目标</w:t>
            </w:r>
          </w:p>
          <w:p>
            <w:pPr>
              <w:pStyle w:val="35"/>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2、声环境</w:t>
            </w:r>
          </w:p>
          <w:p>
            <w:pPr>
              <w:pStyle w:val="35"/>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b w:val="0"/>
                <w:bCs/>
                <w:sz w:val="24"/>
              </w:rPr>
              <w:t>确保周边地区的声环境在本项目营运后不受明显的影响，保护本项目四周各边界符合《声环境质量标准》（GB3096-2008）2类标准。本项目声环境保护目标为厂界外50米范围内的居住区，包含7间民房民房；</w:t>
            </w:r>
            <w:r>
              <w:rPr>
                <w:rFonts w:hint="eastAsia"/>
                <w:b w:val="0"/>
                <w:bCs/>
                <w:sz w:val="24"/>
              </w:rPr>
              <w:t>声环境保护目标见表3</w:t>
            </w:r>
            <w:r>
              <w:rPr>
                <w:b w:val="0"/>
                <w:bCs/>
                <w:sz w:val="24"/>
              </w:rPr>
              <w:t>-7</w:t>
            </w:r>
            <w:r>
              <w:rPr>
                <w:rFonts w:hint="eastAsia"/>
                <w:b w:val="0"/>
                <w:bCs/>
                <w:sz w:val="24"/>
              </w:rPr>
              <w:t>，图3</w:t>
            </w:r>
            <w:r>
              <w:rPr>
                <w:b w:val="0"/>
                <w:bCs/>
                <w:sz w:val="24"/>
              </w:rPr>
              <w:t>-4</w:t>
            </w:r>
            <w:r>
              <w:rPr>
                <w:rFonts w:hint="default" w:ascii="Times New Roman" w:hAnsi="Times New Roman" w:eastAsia="宋体" w:cs="Times New Roman"/>
                <w:color w:val="auto"/>
                <w:sz w:val="24"/>
              </w:rPr>
              <w:t>。</w:t>
            </w:r>
          </w:p>
          <w:p>
            <w:pPr>
              <w:pStyle w:val="33"/>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表3-7   声环境保护目标一览表</w:t>
            </w:r>
          </w:p>
          <w:tbl>
            <w:tblPr>
              <w:tblStyle w:val="1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7"/>
              <w:gridCol w:w="1183"/>
              <w:gridCol w:w="704"/>
              <w:gridCol w:w="704"/>
              <w:gridCol w:w="704"/>
              <w:gridCol w:w="1096"/>
              <w:gridCol w:w="693"/>
              <w:gridCol w:w="1242"/>
              <w:gridCol w:w="11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7" w:type="dxa"/>
                  <w:vMerge w:val="restart"/>
                  <w:vAlign w:val="center"/>
                </w:tcPr>
                <w:p>
                  <w:pPr>
                    <w:topLinePunct/>
                    <w:adjustRightInd w:val="0"/>
                    <w:snapToGrid w:val="0"/>
                    <w:jc w:val="center"/>
                    <w:rPr>
                      <w:szCs w:val="21"/>
                    </w:rPr>
                  </w:pPr>
                  <w:r>
                    <w:rPr>
                      <w:rFonts w:hint="eastAsia"/>
                      <w:szCs w:val="21"/>
                    </w:rPr>
                    <w:t>序号</w:t>
                  </w:r>
                </w:p>
              </w:tc>
              <w:tc>
                <w:tcPr>
                  <w:tcW w:w="1183" w:type="dxa"/>
                  <w:vMerge w:val="restart"/>
                  <w:vAlign w:val="center"/>
                </w:tcPr>
                <w:p>
                  <w:pPr>
                    <w:wordWrap w:val="0"/>
                    <w:topLinePunct/>
                    <w:adjustRightInd w:val="0"/>
                    <w:snapToGrid w:val="0"/>
                    <w:jc w:val="center"/>
                    <w:rPr>
                      <w:szCs w:val="21"/>
                    </w:rPr>
                  </w:pPr>
                  <w:r>
                    <w:rPr>
                      <w:rFonts w:hint="eastAsia"/>
                      <w:szCs w:val="21"/>
                    </w:rPr>
                    <w:t>名称</w:t>
                  </w:r>
                </w:p>
              </w:tc>
              <w:tc>
                <w:tcPr>
                  <w:tcW w:w="2112" w:type="dxa"/>
                  <w:gridSpan w:val="3"/>
                  <w:vAlign w:val="center"/>
                </w:tcPr>
                <w:p>
                  <w:pPr>
                    <w:wordWrap w:val="0"/>
                    <w:topLinePunct/>
                    <w:adjustRightInd w:val="0"/>
                    <w:snapToGrid w:val="0"/>
                    <w:jc w:val="center"/>
                    <w:rPr>
                      <w:szCs w:val="21"/>
                    </w:rPr>
                  </w:pPr>
                  <w:r>
                    <w:rPr>
                      <w:rFonts w:hint="eastAsia"/>
                      <w:szCs w:val="21"/>
                    </w:rPr>
                    <w:t>空间相对位置</w:t>
                  </w:r>
                </w:p>
              </w:tc>
              <w:tc>
                <w:tcPr>
                  <w:tcW w:w="1096" w:type="dxa"/>
                  <w:vMerge w:val="restart"/>
                  <w:vAlign w:val="center"/>
                </w:tcPr>
                <w:p>
                  <w:pPr>
                    <w:wordWrap w:val="0"/>
                    <w:topLinePunct/>
                    <w:adjustRightInd w:val="0"/>
                    <w:snapToGrid w:val="0"/>
                    <w:jc w:val="center"/>
                    <w:rPr>
                      <w:szCs w:val="21"/>
                    </w:rPr>
                  </w:pPr>
                  <w:r>
                    <w:rPr>
                      <w:rFonts w:hint="eastAsia"/>
                      <w:szCs w:val="21"/>
                    </w:rPr>
                    <w:t>距厂界最近距离</w:t>
                  </w:r>
                </w:p>
              </w:tc>
              <w:tc>
                <w:tcPr>
                  <w:tcW w:w="693" w:type="dxa"/>
                  <w:vMerge w:val="restart"/>
                  <w:vAlign w:val="center"/>
                </w:tcPr>
                <w:p>
                  <w:pPr>
                    <w:wordWrap w:val="0"/>
                    <w:topLinePunct/>
                    <w:adjustRightInd w:val="0"/>
                    <w:snapToGrid w:val="0"/>
                    <w:jc w:val="center"/>
                    <w:rPr>
                      <w:szCs w:val="21"/>
                    </w:rPr>
                  </w:pPr>
                  <w:r>
                    <w:rPr>
                      <w:rFonts w:hint="eastAsia"/>
                      <w:szCs w:val="21"/>
                    </w:rPr>
                    <w:t>方位</w:t>
                  </w:r>
                </w:p>
              </w:tc>
              <w:tc>
                <w:tcPr>
                  <w:tcW w:w="1242" w:type="dxa"/>
                  <w:vMerge w:val="restart"/>
                  <w:vAlign w:val="center"/>
                </w:tcPr>
                <w:p>
                  <w:pPr>
                    <w:wordWrap w:val="0"/>
                    <w:topLinePunct/>
                    <w:adjustRightInd w:val="0"/>
                    <w:snapToGrid w:val="0"/>
                    <w:jc w:val="center"/>
                    <w:rPr>
                      <w:szCs w:val="21"/>
                    </w:rPr>
                  </w:pPr>
                  <w:r>
                    <w:rPr>
                      <w:rFonts w:hint="eastAsia"/>
                      <w:szCs w:val="21"/>
                    </w:rPr>
                    <w:t>环境功能区</w:t>
                  </w:r>
                </w:p>
              </w:tc>
              <w:tc>
                <w:tcPr>
                  <w:tcW w:w="1180" w:type="dxa"/>
                  <w:vMerge w:val="restart"/>
                  <w:vAlign w:val="center"/>
                </w:tcPr>
                <w:p>
                  <w:pPr>
                    <w:wordWrap w:val="0"/>
                    <w:topLinePunct/>
                    <w:adjustRightInd w:val="0"/>
                    <w:snapToGrid w:val="0"/>
                    <w:jc w:val="center"/>
                    <w:rPr>
                      <w:szCs w:val="21"/>
                    </w:rPr>
                  </w:pPr>
                  <w:r>
                    <w:rPr>
                      <w:rFonts w:hint="eastAsia"/>
                      <w:szCs w:val="21"/>
                    </w:rPr>
                    <w:t>情况说明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7" w:type="dxa"/>
                  <w:vMerge w:val="continue"/>
                  <w:vAlign w:val="center"/>
                </w:tcPr>
                <w:p>
                  <w:pPr>
                    <w:wordWrap w:val="0"/>
                    <w:topLinePunct/>
                    <w:adjustRightInd w:val="0"/>
                    <w:snapToGrid w:val="0"/>
                    <w:jc w:val="center"/>
                    <w:rPr>
                      <w:szCs w:val="21"/>
                    </w:rPr>
                  </w:pPr>
                </w:p>
              </w:tc>
              <w:tc>
                <w:tcPr>
                  <w:tcW w:w="1183" w:type="dxa"/>
                  <w:vMerge w:val="continue"/>
                  <w:vAlign w:val="center"/>
                </w:tcPr>
                <w:p>
                  <w:pPr>
                    <w:wordWrap w:val="0"/>
                    <w:topLinePunct/>
                    <w:adjustRightInd w:val="0"/>
                    <w:snapToGrid w:val="0"/>
                    <w:jc w:val="center"/>
                    <w:rPr>
                      <w:szCs w:val="21"/>
                    </w:rPr>
                  </w:pPr>
                </w:p>
              </w:tc>
              <w:tc>
                <w:tcPr>
                  <w:tcW w:w="704" w:type="dxa"/>
                  <w:vAlign w:val="center"/>
                </w:tcPr>
                <w:p>
                  <w:pPr>
                    <w:wordWrap w:val="0"/>
                    <w:topLinePunct/>
                    <w:adjustRightInd w:val="0"/>
                    <w:snapToGrid w:val="0"/>
                    <w:jc w:val="center"/>
                    <w:rPr>
                      <w:szCs w:val="21"/>
                    </w:rPr>
                  </w:pPr>
                  <w:r>
                    <w:rPr>
                      <w:rFonts w:hint="eastAsia"/>
                      <w:szCs w:val="21"/>
                    </w:rPr>
                    <w:t>x</w:t>
                  </w:r>
                </w:p>
              </w:tc>
              <w:tc>
                <w:tcPr>
                  <w:tcW w:w="704" w:type="dxa"/>
                  <w:vAlign w:val="center"/>
                </w:tcPr>
                <w:p>
                  <w:pPr>
                    <w:wordWrap w:val="0"/>
                    <w:topLinePunct/>
                    <w:adjustRightInd w:val="0"/>
                    <w:snapToGrid w:val="0"/>
                    <w:jc w:val="center"/>
                    <w:rPr>
                      <w:szCs w:val="21"/>
                    </w:rPr>
                  </w:pPr>
                  <w:r>
                    <w:rPr>
                      <w:rFonts w:hint="eastAsia"/>
                      <w:szCs w:val="21"/>
                    </w:rPr>
                    <w:t>y</w:t>
                  </w:r>
                </w:p>
              </w:tc>
              <w:tc>
                <w:tcPr>
                  <w:tcW w:w="704" w:type="dxa"/>
                  <w:vAlign w:val="center"/>
                </w:tcPr>
                <w:p>
                  <w:pPr>
                    <w:wordWrap w:val="0"/>
                    <w:topLinePunct/>
                    <w:adjustRightInd w:val="0"/>
                    <w:snapToGrid w:val="0"/>
                    <w:jc w:val="center"/>
                    <w:rPr>
                      <w:szCs w:val="21"/>
                    </w:rPr>
                  </w:pPr>
                  <w:r>
                    <w:rPr>
                      <w:rFonts w:hint="eastAsia"/>
                      <w:szCs w:val="21"/>
                    </w:rPr>
                    <w:t>z</w:t>
                  </w:r>
                </w:p>
              </w:tc>
              <w:tc>
                <w:tcPr>
                  <w:tcW w:w="1096" w:type="dxa"/>
                  <w:vMerge w:val="continue"/>
                  <w:vAlign w:val="center"/>
                </w:tcPr>
                <w:p>
                  <w:pPr>
                    <w:wordWrap w:val="0"/>
                    <w:topLinePunct/>
                    <w:adjustRightInd w:val="0"/>
                    <w:snapToGrid w:val="0"/>
                    <w:jc w:val="center"/>
                    <w:rPr>
                      <w:szCs w:val="21"/>
                    </w:rPr>
                  </w:pPr>
                </w:p>
              </w:tc>
              <w:tc>
                <w:tcPr>
                  <w:tcW w:w="693" w:type="dxa"/>
                  <w:vMerge w:val="continue"/>
                  <w:vAlign w:val="center"/>
                </w:tcPr>
                <w:p>
                  <w:pPr>
                    <w:wordWrap w:val="0"/>
                    <w:topLinePunct/>
                    <w:adjustRightInd w:val="0"/>
                    <w:snapToGrid w:val="0"/>
                    <w:jc w:val="center"/>
                    <w:rPr>
                      <w:szCs w:val="21"/>
                    </w:rPr>
                  </w:pPr>
                </w:p>
              </w:tc>
              <w:tc>
                <w:tcPr>
                  <w:tcW w:w="1242" w:type="dxa"/>
                  <w:vMerge w:val="continue"/>
                  <w:vAlign w:val="center"/>
                </w:tcPr>
                <w:p>
                  <w:pPr>
                    <w:wordWrap w:val="0"/>
                    <w:topLinePunct/>
                    <w:adjustRightInd w:val="0"/>
                    <w:snapToGrid w:val="0"/>
                    <w:jc w:val="center"/>
                    <w:rPr>
                      <w:szCs w:val="21"/>
                    </w:rPr>
                  </w:pPr>
                </w:p>
              </w:tc>
              <w:tc>
                <w:tcPr>
                  <w:tcW w:w="1180" w:type="dxa"/>
                  <w:vMerge w:val="continue"/>
                  <w:vAlign w:val="center"/>
                </w:tcPr>
                <w:p>
                  <w:pPr>
                    <w:wordWrap w:val="0"/>
                    <w:topLinePunct/>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7" w:type="dxa"/>
                  <w:vAlign w:val="center"/>
                </w:tcPr>
                <w:p>
                  <w:pPr>
                    <w:wordWrap w:val="0"/>
                    <w:topLinePunct/>
                    <w:adjustRightInd w:val="0"/>
                    <w:snapToGrid w:val="0"/>
                    <w:jc w:val="center"/>
                    <w:rPr>
                      <w:szCs w:val="21"/>
                    </w:rPr>
                  </w:pPr>
                  <w:r>
                    <w:rPr>
                      <w:rFonts w:hint="eastAsia"/>
                      <w:szCs w:val="21"/>
                    </w:rPr>
                    <w:t>1</w:t>
                  </w:r>
                </w:p>
              </w:tc>
              <w:tc>
                <w:tcPr>
                  <w:tcW w:w="1183" w:type="dxa"/>
                  <w:vAlign w:val="center"/>
                </w:tcPr>
                <w:p>
                  <w:pPr>
                    <w:wordWrap w:val="0"/>
                    <w:topLinePunct/>
                    <w:adjustRightInd w:val="0"/>
                    <w:snapToGrid w:val="0"/>
                    <w:jc w:val="center"/>
                    <w:rPr>
                      <w:szCs w:val="21"/>
                    </w:rPr>
                  </w:pPr>
                  <w:r>
                    <w:rPr>
                      <w:rFonts w:hint="eastAsia"/>
                      <w:szCs w:val="21"/>
                    </w:rPr>
                    <w:t>厂界</w:t>
                  </w:r>
                  <w:r>
                    <w:rPr>
                      <w:rFonts w:hint="eastAsia"/>
                      <w:szCs w:val="21"/>
                      <w:lang w:val="en-US" w:eastAsia="zh-CN"/>
                    </w:rPr>
                    <w:t>东北</w:t>
                  </w:r>
                  <w:r>
                    <w:rPr>
                      <w:szCs w:val="21"/>
                    </w:rPr>
                    <w:t>角</w:t>
                  </w:r>
                  <w:r>
                    <w:rPr>
                      <w:rFonts w:hint="eastAsia"/>
                      <w:szCs w:val="21"/>
                      <w:lang w:val="en-US" w:eastAsia="zh-CN"/>
                    </w:rPr>
                    <w:t>兴功村</w:t>
                  </w:r>
                  <w:r>
                    <w:rPr>
                      <w:szCs w:val="21"/>
                    </w:rPr>
                    <w:t>民房</w:t>
                  </w:r>
                </w:p>
              </w:tc>
              <w:tc>
                <w:tcPr>
                  <w:tcW w:w="704" w:type="dxa"/>
                  <w:vAlign w:val="center"/>
                </w:tcPr>
                <w:p>
                  <w:pPr>
                    <w:wordWrap w:val="0"/>
                    <w:topLinePunct/>
                    <w:adjustRightInd w:val="0"/>
                    <w:snapToGrid w:val="0"/>
                    <w:jc w:val="center"/>
                    <w:rPr>
                      <w:rFonts w:hint="default" w:eastAsia="宋体"/>
                      <w:szCs w:val="21"/>
                      <w:lang w:val="en-US" w:eastAsia="zh-CN"/>
                    </w:rPr>
                  </w:pPr>
                  <w:r>
                    <w:rPr>
                      <w:rFonts w:hint="eastAsia"/>
                      <w:szCs w:val="21"/>
                      <w:lang w:val="en-US" w:eastAsia="zh-CN"/>
                    </w:rPr>
                    <w:t>24</w:t>
                  </w:r>
                </w:p>
              </w:tc>
              <w:tc>
                <w:tcPr>
                  <w:tcW w:w="704" w:type="dxa"/>
                  <w:vAlign w:val="center"/>
                </w:tcPr>
                <w:p>
                  <w:pPr>
                    <w:wordWrap w:val="0"/>
                    <w:topLinePunct/>
                    <w:adjustRightInd w:val="0"/>
                    <w:snapToGrid w:val="0"/>
                    <w:jc w:val="center"/>
                    <w:rPr>
                      <w:rFonts w:hint="default" w:eastAsia="宋体"/>
                      <w:szCs w:val="21"/>
                      <w:lang w:val="en-US" w:eastAsia="zh-CN"/>
                    </w:rPr>
                  </w:pPr>
                  <w:r>
                    <w:rPr>
                      <w:rFonts w:hint="eastAsia"/>
                      <w:szCs w:val="21"/>
                      <w:lang w:val="en-US" w:eastAsia="zh-CN"/>
                    </w:rPr>
                    <w:t>78</w:t>
                  </w:r>
                </w:p>
              </w:tc>
              <w:tc>
                <w:tcPr>
                  <w:tcW w:w="704" w:type="dxa"/>
                  <w:vAlign w:val="center"/>
                </w:tcPr>
                <w:p>
                  <w:pPr>
                    <w:wordWrap w:val="0"/>
                    <w:topLinePunct/>
                    <w:adjustRightInd w:val="0"/>
                    <w:snapToGrid w:val="0"/>
                    <w:jc w:val="center"/>
                    <w:rPr>
                      <w:szCs w:val="21"/>
                    </w:rPr>
                  </w:pPr>
                  <w:r>
                    <w:rPr>
                      <w:rFonts w:hint="eastAsia"/>
                      <w:szCs w:val="21"/>
                    </w:rPr>
                    <w:t>0</w:t>
                  </w:r>
                </w:p>
              </w:tc>
              <w:tc>
                <w:tcPr>
                  <w:tcW w:w="1096" w:type="dxa"/>
                  <w:vAlign w:val="center"/>
                </w:tcPr>
                <w:p>
                  <w:pPr>
                    <w:wordWrap w:val="0"/>
                    <w:topLinePunct/>
                    <w:adjustRightInd w:val="0"/>
                    <w:snapToGrid w:val="0"/>
                    <w:jc w:val="center"/>
                    <w:rPr>
                      <w:rFonts w:hint="default" w:eastAsia="宋体"/>
                      <w:szCs w:val="21"/>
                      <w:lang w:val="en-US" w:eastAsia="zh-CN"/>
                    </w:rPr>
                  </w:pPr>
                  <w:r>
                    <w:rPr>
                      <w:rFonts w:hint="eastAsia"/>
                      <w:szCs w:val="21"/>
                      <w:lang w:val="en-US" w:eastAsia="zh-CN"/>
                    </w:rPr>
                    <w:t>24</w:t>
                  </w:r>
                </w:p>
              </w:tc>
              <w:tc>
                <w:tcPr>
                  <w:tcW w:w="693" w:type="dxa"/>
                  <w:vAlign w:val="center"/>
                </w:tcPr>
                <w:p>
                  <w:pPr>
                    <w:wordWrap w:val="0"/>
                    <w:topLinePunct/>
                    <w:adjustRightInd w:val="0"/>
                    <w:snapToGrid w:val="0"/>
                    <w:jc w:val="center"/>
                    <w:rPr>
                      <w:rFonts w:hint="eastAsia" w:eastAsia="宋体"/>
                      <w:szCs w:val="21"/>
                      <w:lang w:eastAsia="zh-CN"/>
                    </w:rPr>
                  </w:pPr>
                  <w:r>
                    <w:rPr>
                      <w:rFonts w:hint="eastAsia"/>
                      <w:szCs w:val="21"/>
                      <w:lang w:val="en-US" w:eastAsia="zh-CN"/>
                    </w:rPr>
                    <w:t>东北</w:t>
                  </w:r>
                </w:p>
              </w:tc>
              <w:tc>
                <w:tcPr>
                  <w:tcW w:w="1242" w:type="dxa"/>
                  <w:vMerge w:val="restart"/>
                  <w:vAlign w:val="center"/>
                </w:tcPr>
                <w:p>
                  <w:pPr>
                    <w:wordWrap w:val="0"/>
                    <w:topLinePunct/>
                    <w:adjustRightInd w:val="0"/>
                    <w:snapToGrid w:val="0"/>
                    <w:jc w:val="center"/>
                    <w:rPr>
                      <w:szCs w:val="21"/>
                    </w:rPr>
                  </w:pPr>
                  <w:r>
                    <w:rPr>
                      <w:szCs w:val="21"/>
                    </w:rPr>
                    <w:t>《声环境质量标准》（GB3096-2008）2类标准</w:t>
                  </w:r>
                </w:p>
              </w:tc>
              <w:tc>
                <w:tcPr>
                  <w:tcW w:w="1180" w:type="dxa"/>
                  <w:vAlign w:val="center"/>
                </w:tcPr>
                <w:p>
                  <w:pPr>
                    <w:wordWrap w:val="0"/>
                    <w:topLinePunct/>
                    <w:adjustRightInd w:val="0"/>
                    <w:snapToGrid w:val="0"/>
                    <w:jc w:val="center"/>
                    <w:rPr>
                      <w:szCs w:val="21"/>
                    </w:rPr>
                  </w:pPr>
                  <w:r>
                    <w:rPr>
                      <w:rFonts w:hint="eastAsia"/>
                      <w:szCs w:val="21"/>
                    </w:rPr>
                    <w:t>民房</w:t>
                  </w:r>
                  <w:r>
                    <w:rPr>
                      <w:rFonts w:hint="eastAsia"/>
                      <w:szCs w:val="21"/>
                      <w:lang w:val="en-US" w:eastAsia="zh-CN"/>
                    </w:rPr>
                    <w:t>2</w:t>
                  </w:r>
                  <w:r>
                    <w:rPr>
                      <w:rFonts w:hint="eastAsia"/>
                      <w:szCs w:val="21"/>
                    </w:rPr>
                    <w:t>户，一层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7" w:type="dxa"/>
                  <w:vAlign w:val="center"/>
                </w:tcPr>
                <w:p>
                  <w:pPr>
                    <w:wordWrap w:val="0"/>
                    <w:topLinePunct/>
                    <w:adjustRightInd w:val="0"/>
                    <w:snapToGrid w:val="0"/>
                    <w:jc w:val="center"/>
                    <w:rPr>
                      <w:szCs w:val="21"/>
                    </w:rPr>
                  </w:pPr>
                  <w:r>
                    <w:rPr>
                      <w:rFonts w:hint="eastAsia"/>
                      <w:szCs w:val="21"/>
                    </w:rPr>
                    <w:t>2</w:t>
                  </w:r>
                </w:p>
              </w:tc>
              <w:tc>
                <w:tcPr>
                  <w:tcW w:w="1183" w:type="dxa"/>
                  <w:vAlign w:val="center"/>
                </w:tcPr>
                <w:p>
                  <w:pPr>
                    <w:wordWrap w:val="0"/>
                    <w:topLinePunct/>
                    <w:adjustRightInd w:val="0"/>
                    <w:snapToGrid w:val="0"/>
                    <w:jc w:val="center"/>
                    <w:rPr>
                      <w:szCs w:val="21"/>
                    </w:rPr>
                  </w:pPr>
                  <w:r>
                    <w:rPr>
                      <w:rFonts w:hint="eastAsia"/>
                      <w:szCs w:val="21"/>
                    </w:rPr>
                    <w:t>厂界东</w:t>
                  </w:r>
                  <w:r>
                    <w:rPr>
                      <w:rFonts w:hint="eastAsia"/>
                      <w:szCs w:val="21"/>
                      <w:lang w:val="en-US" w:eastAsia="zh-CN"/>
                    </w:rPr>
                    <w:t>侧</w:t>
                  </w:r>
                  <w:r>
                    <w:rPr>
                      <w:rFonts w:hint="eastAsia"/>
                      <w:szCs w:val="21"/>
                    </w:rPr>
                    <w:t>大</w:t>
                  </w:r>
                  <w:r>
                    <w:rPr>
                      <w:rFonts w:hint="eastAsia"/>
                      <w:szCs w:val="21"/>
                      <w:lang w:val="en-US" w:eastAsia="zh-CN"/>
                    </w:rPr>
                    <w:t>兴功村</w:t>
                  </w:r>
                  <w:r>
                    <w:rPr>
                      <w:rFonts w:hint="eastAsia"/>
                      <w:szCs w:val="21"/>
                    </w:rPr>
                    <w:t>民房</w:t>
                  </w:r>
                </w:p>
              </w:tc>
              <w:tc>
                <w:tcPr>
                  <w:tcW w:w="704" w:type="dxa"/>
                  <w:vAlign w:val="center"/>
                </w:tcPr>
                <w:p>
                  <w:pPr>
                    <w:wordWrap w:val="0"/>
                    <w:topLinePunct/>
                    <w:adjustRightInd w:val="0"/>
                    <w:snapToGrid w:val="0"/>
                    <w:jc w:val="center"/>
                    <w:rPr>
                      <w:rFonts w:hint="default" w:eastAsia="宋体"/>
                      <w:szCs w:val="21"/>
                      <w:lang w:val="en-US" w:eastAsia="zh-CN"/>
                    </w:rPr>
                  </w:pPr>
                  <w:r>
                    <w:rPr>
                      <w:rFonts w:hint="eastAsia"/>
                      <w:szCs w:val="21"/>
                      <w:lang w:val="en-US" w:eastAsia="zh-CN"/>
                    </w:rPr>
                    <w:t>40</w:t>
                  </w:r>
                </w:p>
              </w:tc>
              <w:tc>
                <w:tcPr>
                  <w:tcW w:w="704" w:type="dxa"/>
                  <w:vAlign w:val="center"/>
                </w:tcPr>
                <w:p>
                  <w:pPr>
                    <w:wordWrap w:val="0"/>
                    <w:topLinePunct/>
                    <w:adjustRightInd w:val="0"/>
                    <w:snapToGrid w:val="0"/>
                    <w:jc w:val="center"/>
                    <w:rPr>
                      <w:rFonts w:hint="eastAsia" w:eastAsia="宋体"/>
                      <w:szCs w:val="21"/>
                      <w:lang w:eastAsia="zh-CN"/>
                    </w:rPr>
                  </w:pPr>
                  <w:r>
                    <w:rPr>
                      <w:rFonts w:hint="eastAsia"/>
                      <w:szCs w:val="21"/>
                      <w:lang w:val="en-US" w:eastAsia="zh-CN"/>
                    </w:rPr>
                    <w:t>0</w:t>
                  </w:r>
                </w:p>
              </w:tc>
              <w:tc>
                <w:tcPr>
                  <w:tcW w:w="704" w:type="dxa"/>
                  <w:vAlign w:val="center"/>
                </w:tcPr>
                <w:p>
                  <w:pPr>
                    <w:wordWrap w:val="0"/>
                    <w:topLinePunct/>
                    <w:adjustRightInd w:val="0"/>
                    <w:snapToGrid w:val="0"/>
                    <w:jc w:val="center"/>
                    <w:rPr>
                      <w:szCs w:val="21"/>
                    </w:rPr>
                  </w:pPr>
                  <w:r>
                    <w:rPr>
                      <w:rFonts w:hint="eastAsia"/>
                      <w:szCs w:val="21"/>
                    </w:rPr>
                    <w:t>0</w:t>
                  </w:r>
                </w:p>
              </w:tc>
              <w:tc>
                <w:tcPr>
                  <w:tcW w:w="1096" w:type="dxa"/>
                  <w:vAlign w:val="center"/>
                </w:tcPr>
                <w:p>
                  <w:pPr>
                    <w:wordWrap w:val="0"/>
                    <w:topLinePunct/>
                    <w:adjustRightInd w:val="0"/>
                    <w:snapToGrid w:val="0"/>
                    <w:jc w:val="center"/>
                    <w:rPr>
                      <w:rFonts w:hint="eastAsia" w:eastAsia="宋体"/>
                      <w:szCs w:val="21"/>
                      <w:lang w:eastAsia="zh-CN"/>
                    </w:rPr>
                  </w:pPr>
                  <w:r>
                    <w:rPr>
                      <w:szCs w:val="21"/>
                    </w:rPr>
                    <w:t>1</w:t>
                  </w:r>
                  <w:r>
                    <w:rPr>
                      <w:rFonts w:hint="eastAsia"/>
                      <w:szCs w:val="21"/>
                      <w:lang w:val="en-US" w:eastAsia="zh-CN"/>
                    </w:rPr>
                    <w:t>6</w:t>
                  </w:r>
                </w:p>
              </w:tc>
              <w:tc>
                <w:tcPr>
                  <w:tcW w:w="693" w:type="dxa"/>
                  <w:vAlign w:val="center"/>
                </w:tcPr>
                <w:p>
                  <w:pPr>
                    <w:wordWrap w:val="0"/>
                    <w:topLinePunct/>
                    <w:adjustRightInd w:val="0"/>
                    <w:snapToGrid w:val="0"/>
                    <w:jc w:val="center"/>
                    <w:rPr>
                      <w:szCs w:val="21"/>
                    </w:rPr>
                  </w:pPr>
                  <w:r>
                    <w:rPr>
                      <w:rFonts w:hint="eastAsia"/>
                      <w:szCs w:val="21"/>
                    </w:rPr>
                    <w:t>东</w:t>
                  </w:r>
                </w:p>
              </w:tc>
              <w:tc>
                <w:tcPr>
                  <w:tcW w:w="1242" w:type="dxa"/>
                  <w:vMerge w:val="continue"/>
                  <w:vAlign w:val="center"/>
                </w:tcPr>
                <w:p>
                  <w:pPr>
                    <w:wordWrap w:val="0"/>
                    <w:topLinePunct/>
                    <w:adjustRightInd w:val="0"/>
                    <w:snapToGrid w:val="0"/>
                    <w:jc w:val="center"/>
                    <w:rPr>
                      <w:szCs w:val="21"/>
                    </w:rPr>
                  </w:pPr>
                </w:p>
              </w:tc>
              <w:tc>
                <w:tcPr>
                  <w:tcW w:w="1180" w:type="dxa"/>
                  <w:vAlign w:val="center"/>
                </w:tcPr>
                <w:p>
                  <w:pPr>
                    <w:wordWrap w:val="0"/>
                    <w:topLinePunct/>
                    <w:adjustRightInd w:val="0"/>
                    <w:snapToGrid w:val="0"/>
                    <w:jc w:val="center"/>
                    <w:rPr>
                      <w:szCs w:val="21"/>
                    </w:rPr>
                  </w:pPr>
                  <w:r>
                    <w:rPr>
                      <w:rFonts w:hint="eastAsia"/>
                      <w:szCs w:val="21"/>
                    </w:rPr>
                    <w:t>民房</w:t>
                  </w:r>
                  <w:r>
                    <w:rPr>
                      <w:rFonts w:hint="eastAsia"/>
                      <w:szCs w:val="21"/>
                      <w:lang w:val="en-US" w:eastAsia="zh-CN"/>
                    </w:rPr>
                    <w:t>3</w:t>
                  </w:r>
                  <w:r>
                    <w:rPr>
                      <w:rFonts w:hint="eastAsia"/>
                      <w:szCs w:val="21"/>
                    </w:rPr>
                    <w:t>户、一层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7" w:type="dxa"/>
                  <w:vAlign w:val="center"/>
                </w:tcPr>
                <w:p>
                  <w:pPr>
                    <w:wordWrap w:val="0"/>
                    <w:topLinePunct/>
                    <w:adjustRightInd w:val="0"/>
                    <w:snapToGrid w:val="0"/>
                    <w:jc w:val="center"/>
                    <w:rPr>
                      <w:rFonts w:hint="eastAsia" w:eastAsia="宋体"/>
                      <w:szCs w:val="21"/>
                      <w:lang w:val="en-US" w:eastAsia="zh-CN"/>
                    </w:rPr>
                  </w:pPr>
                  <w:r>
                    <w:rPr>
                      <w:rFonts w:hint="eastAsia"/>
                      <w:szCs w:val="21"/>
                      <w:lang w:val="en-US" w:eastAsia="zh-CN"/>
                    </w:rPr>
                    <w:t>3</w:t>
                  </w:r>
                </w:p>
              </w:tc>
              <w:tc>
                <w:tcPr>
                  <w:tcW w:w="1183" w:type="dxa"/>
                  <w:vAlign w:val="center"/>
                </w:tcPr>
                <w:p>
                  <w:pPr>
                    <w:wordWrap w:val="0"/>
                    <w:topLinePunct/>
                    <w:adjustRightInd w:val="0"/>
                    <w:snapToGrid w:val="0"/>
                    <w:jc w:val="center"/>
                    <w:rPr>
                      <w:rFonts w:hint="eastAsia"/>
                      <w:szCs w:val="21"/>
                    </w:rPr>
                  </w:pPr>
                  <w:r>
                    <w:rPr>
                      <w:rFonts w:hint="eastAsia"/>
                      <w:szCs w:val="21"/>
                    </w:rPr>
                    <w:t>厂界</w:t>
                  </w:r>
                  <w:r>
                    <w:rPr>
                      <w:rFonts w:hint="eastAsia"/>
                      <w:szCs w:val="21"/>
                      <w:lang w:val="en-US" w:eastAsia="zh-CN"/>
                    </w:rPr>
                    <w:t>东南</w:t>
                  </w:r>
                  <w:r>
                    <w:rPr>
                      <w:szCs w:val="21"/>
                    </w:rPr>
                    <w:t>角</w:t>
                  </w:r>
                  <w:r>
                    <w:rPr>
                      <w:rFonts w:hint="eastAsia"/>
                      <w:szCs w:val="21"/>
                      <w:lang w:val="en-US" w:eastAsia="zh-CN"/>
                    </w:rPr>
                    <w:t>兴功村</w:t>
                  </w:r>
                  <w:r>
                    <w:rPr>
                      <w:szCs w:val="21"/>
                    </w:rPr>
                    <w:t>民房</w:t>
                  </w:r>
                </w:p>
              </w:tc>
              <w:tc>
                <w:tcPr>
                  <w:tcW w:w="704" w:type="dxa"/>
                  <w:vAlign w:val="center"/>
                </w:tcPr>
                <w:p>
                  <w:pPr>
                    <w:wordWrap w:val="0"/>
                    <w:topLinePunct/>
                    <w:adjustRightInd w:val="0"/>
                    <w:snapToGrid w:val="0"/>
                    <w:jc w:val="center"/>
                    <w:rPr>
                      <w:rFonts w:hint="default" w:eastAsia="宋体"/>
                      <w:szCs w:val="21"/>
                      <w:lang w:val="en-US" w:eastAsia="zh-CN"/>
                    </w:rPr>
                  </w:pPr>
                  <w:r>
                    <w:rPr>
                      <w:rFonts w:hint="eastAsia"/>
                      <w:szCs w:val="21"/>
                      <w:lang w:val="en-US" w:eastAsia="zh-CN"/>
                    </w:rPr>
                    <w:t>40</w:t>
                  </w:r>
                </w:p>
              </w:tc>
              <w:tc>
                <w:tcPr>
                  <w:tcW w:w="704" w:type="dxa"/>
                  <w:vAlign w:val="center"/>
                </w:tcPr>
                <w:p>
                  <w:pPr>
                    <w:wordWrap w:val="0"/>
                    <w:topLinePunct/>
                    <w:adjustRightInd w:val="0"/>
                    <w:snapToGrid w:val="0"/>
                    <w:jc w:val="center"/>
                    <w:rPr>
                      <w:rFonts w:hint="default" w:eastAsia="宋体"/>
                      <w:szCs w:val="21"/>
                      <w:lang w:val="en-US" w:eastAsia="zh-CN"/>
                    </w:rPr>
                  </w:pPr>
                  <w:r>
                    <w:rPr>
                      <w:rFonts w:hint="eastAsia"/>
                      <w:szCs w:val="21"/>
                      <w:lang w:val="en-US" w:eastAsia="zh-CN"/>
                    </w:rPr>
                    <w:t>-20</w:t>
                  </w:r>
                </w:p>
              </w:tc>
              <w:tc>
                <w:tcPr>
                  <w:tcW w:w="704" w:type="dxa"/>
                  <w:vAlign w:val="center"/>
                </w:tcPr>
                <w:p>
                  <w:pPr>
                    <w:wordWrap w:val="0"/>
                    <w:topLinePunct/>
                    <w:adjustRightInd w:val="0"/>
                    <w:snapToGrid w:val="0"/>
                    <w:jc w:val="center"/>
                    <w:rPr>
                      <w:rFonts w:hint="eastAsia" w:eastAsia="宋体"/>
                      <w:szCs w:val="21"/>
                      <w:lang w:val="en-US" w:eastAsia="zh-CN"/>
                    </w:rPr>
                  </w:pPr>
                  <w:r>
                    <w:rPr>
                      <w:rFonts w:hint="eastAsia"/>
                      <w:szCs w:val="21"/>
                      <w:lang w:val="en-US" w:eastAsia="zh-CN"/>
                    </w:rPr>
                    <w:t>0</w:t>
                  </w:r>
                </w:p>
              </w:tc>
              <w:tc>
                <w:tcPr>
                  <w:tcW w:w="1096" w:type="dxa"/>
                  <w:vAlign w:val="center"/>
                </w:tcPr>
                <w:p>
                  <w:pPr>
                    <w:wordWrap w:val="0"/>
                    <w:topLinePunct/>
                    <w:adjustRightInd w:val="0"/>
                    <w:snapToGrid w:val="0"/>
                    <w:jc w:val="center"/>
                    <w:rPr>
                      <w:rFonts w:hint="default" w:eastAsia="宋体"/>
                      <w:szCs w:val="21"/>
                      <w:lang w:val="en-US" w:eastAsia="zh-CN"/>
                    </w:rPr>
                  </w:pPr>
                  <w:r>
                    <w:rPr>
                      <w:rFonts w:hint="eastAsia"/>
                      <w:szCs w:val="21"/>
                      <w:lang w:val="en-US" w:eastAsia="zh-CN"/>
                    </w:rPr>
                    <w:t>20</w:t>
                  </w:r>
                </w:p>
              </w:tc>
              <w:tc>
                <w:tcPr>
                  <w:tcW w:w="693" w:type="dxa"/>
                  <w:vAlign w:val="center"/>
                </w:tcPr>
                <w:p>
                  <w:pPr>
                    <w:wordWrap w:val="0"/>
                    <w:topLinePunct/>
                    <w:adjustRightInd w:val="0"/>
                    <w:snapToGrid w:val="0"/>
                    <w:jc w:val="center"/>
                    <w:rPr>
                      <w:rFonts w:hint="eastAsia" w:eastAsia="宋体"/>
                      <w:szCs w:val="21"/>
                      <w:lang w:val="en-US" w:eastAsia="zh-CN"/>
                    </w:rPr>
                  </w:pPr>
                  <w:r>
                    <w:rPr>
                      <w:rFonts w:hint="eastAsia"/>
                      <w:szCs w:val="21"/>
                      <w:lang w:val="en-US" w:eastAsia="zh-CN"/>
                    </w:rPr>
                    <w:t>东南</w:t>
                  </w:r>
                </w:p>
              </w:tc>
              <w:tc>
                <w:tcPr>
                  <w:tcW w:w="1242" w:type="dxa"/>
                  <w:vMerge w:val="continue"/>
                  <w:vAlign w:val="center"/>
                </w:tcPr>
                <w:p>
                  <w:pPr>
                    <w:wordWrap w:val="0"/>
                    <w:topLinePunct/>
                    <w:adjustRightInd w:val="0"/>
                    <w:snapToGrid w:val="0"/>
                    <w:jc w:val="center"/>
                    <w:rPr>
                      <w:szCs w:val="21"/>
                    </w:rPr>
                  </w:pPr>
                </w:p>
              </w:tc>
              <w:tc>
                <w:tcPr>
                  <w:tcW w:w="1180" w:type="dxa"/>
                  <w:vAlign w:val="center"/>
                </w:tcPr>
                <w:p>
                  <w:pPr>
                    <w:wordWrap w:val="0"/>
                    <w:topLinePunct/>
                    <w:adjustRightInd w:val="0"/>
                    <w:snapToGrid w:val="0"/>
                    <w:jc w:val="center"/>
                    <w:rPr>
                      <w:rFonts w:hint="eastAsia"/>
                      <w:szCs w:val="21"/>
                    </w:rPr>
                  </w:pPr>
                  <w:r>
                    <w:rPr>
                      <w:rFonts w:hint="eastAsia"/>
                      <w:szCs w:val="21"/>
                    </w:rPr>
                    <w:t>民房</w:t>
                  </w:r>
                  <w:r>
                    <w:rPr>
                      <w:rFonts w:hint="eastAsia"/>
                      <w:szCs w:val="21"/>
                      <w:lang w:val="en-US" w:eastAsia="zh-CN"/>
                    </w:rPr>
                    <w:t>1</w:t>
                  </w:r>
                  <w:r>
                    <w:rPr>
                      <w:rFonts w:hint="eastAsia"/>
                      <w:szCs w:val="21"/>
                    </w:rPr>
                    <w:t>户、一层</w:t>
                  </w:r>
                </w:p>
              </w:tc>
            </w:tr>
          </w:tbl>
          <w:p>
            <w:pPr>
              <w:pStyle w:val="33"/>
            </w:pPr>
            <w:r>
              <w:drawing>
                <wp:inline distT="0" distB="0" distL="114300" distR="114300">
                  <wp:extent cx="4448175" cy="3457575"/>
                  <wp:effectExtent l="0" t="0" r="9525" b="952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14"/>
                          <a:stretch>
                            <a:fillRect/>
                          </a:stretch>
                        </pic:blipFill>
                        <pic:spPr>
                          <a:xfrm>
                            <a:off x="0" y="0"/>
                            <a:ext cx="4448175" cy="3457575"/>
                          </a:xfrm>
                          <a:prstGeom prst="rect">
                            <a:avLst/>
                          </a:prstGeom>
                          <a:noFill/>
                          <a:ln>
                            <a:noFill/>
                          </a:ln>
                        </pic:spPr>
                      </pic:pic>
                    </a:graphicData>
                  </a:graphic>
                </wp:inline>
              </w:drawing>
            </w:r>
          </w:p>
          <w:p>
            <w:pPr>
              <w:pStyle w:val="33"/>
              <w:rPr>
                <w:rFonts w:hint="default"/>
              </w:rPr>
            </w:pPr>
            <w:r>
              <w:rPr>
                <w:rFonts w:hint="eastAsia" w:eastAsia="宋体" w:cs="Times New Roman"/>
                <w:b/>
                <w:bCs/>
                <w:color w:val="auto"/>
                <w:kern w:val="2"/>
                <w:sz w:val="24"/>
                <w:szCs w:val="24"/>
                <w:highlight w:val="none"/>
                <w:lang w:val="en-US" w:eastAsia="zh-CN" w:bidi="ar-SA"/>
              </w:rPr>
              <w:t>图</w:t>
            </w:r>
            <w:r>
              <w:rPr>
                <w:rFonts w:hint="eastAsia" w:ascii="Times New Roman" w:hAnsi="Times New Roman" w:eastAsia="宋体" w:cs="Times New Roman"/>
                <w:b/>
                <w:bCs/>
                <w:color w:val="auto"/>
                <w:kern w:val="2"/>
                <w:sz w:val="24"/>
                <w:szCs w:val="24"/>
                <w:highlight w:val="none"/>
                <w:lang w:val="en-US" w:eastAsia="zh-CN" w:bidi="ar-SA"/>
              </w:rPr>
              <w:t>3-</w:t>
            </w:r>
            <w:r>
              <w:rPr>
                <w:rFonts w:hint="eastAsia" w:eastAsia="宋体" w:cs="Times New Roman"/>
                <w:b/>
                <w:bCs/>
                <w:color w:val="auto"/>
                <w:kern w:val="2"/>
                <w:sz w:val="24"/>
                <w:szCs w:val="24"/>
                <w:highlight w:val="none"/>
                <w:lang w:val="en-US" w:eastAsia="zh-CN" w:bidi="ar-SA"/>
              </w:rPr>
              <w:t>4</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hint="eastAsia" w:eastAsia="宋体" w:cs="Times New Roman"/>
                <w:b/>
                <w:bCs/>
                <w:color w:val="auto"/>
                <w:kern w:val="2"/>
                <w:sz w:val="24"/>
                <w:szCs w:val="24"/>
                <w:highlight w:val="none"/>
                <w:lang w:val="en-US" w:eastAsia="zh-CN" w:bidi="ar-SA"/>
              </w:rPr>
              <w:t>声</w:t>
            </w:r>
            <w:r>
              <w:rPr>
                <w:rFonts w:hint="eastAsia" w:ascii="Times New Roman" w:hAnsi="Times New Roman" w:eastAsia="宋体" w:cs="Times New Roman"/>
                <w:b/>
                <w:bCs/>
                <w:color w:val="auto"/>
                <w:kern w:val="2"/>
                <w:sz w:val="24"/>
                <w:szCs w:val="24"/>
                <w:highlight w:val="none"/>
                <w:lang w:val="en-US" w:eastAsia="zh-CN" w:bidi="ar-SA"/>
              </w:rPr>
              <w:t>环境保护目标</w:t>
            </w:r>
          </w:p>
          <w:p>
            <w:pPr>
              <w:pStyle w:val="35"/>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3、地下水环境</w:t>
            </w:r>
          </w:p>
          <w:p>
            <w:pPr>
              <w:pStyle w:val="35"/>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本项目厂界外500m范围内没有地下水集中式饮用水水源和热水、矿泉水、温泉等地下水环境敏感目标。</w:t>
            </w:r>
            <w:r>
              <w:rPr>
                <w:rFonts w:hint="eastAsia"/>
                <w:b w:val="0"/>
                <w:bCs/>
                <w:sz w:val="24"/>
              </w:rPr>
              <w:t>由于本项目</w:t>
            </w:r>
            <w:r>
              <w:rPr>
                <w:rFonts w:hint="eastAsia"/>
                <w:b w:val="0"/>
                <w:bCs/>
                <w:sz w:val="24"/>
                <w:lang w:val="en-US" w:eastAsia="zh-CN"/>
              </w:rPr>
              <w:t>生产、</w:t>
            </w:r>
            <w:r>
              <w:rPr>
                <w:rFonts w:hint="eastAsia"/>
                <w:b w:val="0"/>
                <w:bCs/>
                <w:sz w:val="24"/>
              </w:rPr>
              <w:t>生活废水经防渗</w:t>
            </w:r>
            <w:r>
              <w:rPr>
                <w:rFonts w:hint="eastAsia"/>
                <w:b w:val="0"/>
                <w:bCs/>
                <w:sz w:val="24"/>
                <w:lang w:val="en-US" w:eastAsia="zh-CN"/>
              </w:rPr>
              <w:t>化粪池</w:t>
            </w:r>
            <w:r>
              <w:rPr>
                <w:rFonts w:hint="eastAsia"/>
                <w:b w:val="0"/>
                <w:bCs/>
                <w:sz w:val="24"/>
              </w:rPr>
              <w:t>统一收集后外运</w:t>
            </w:r>
            <w:r>
              <w:rPr>
                <w:rFonts w:hint="eastAsia"/>
                <w:b w:val="0"/>
                <w:bCs/>
                <w:sz w:val="24"/>
                <w:lang w:val="en-US" w:eastAsia="zh-CN"/>
              </w:rPr>
              <w:t>至双城污水处理厂处理</w:t>
            </w:r>
            <w:r>
              <w:rPr>
                <w:rFonts w:hint="eastAsia"/>
                <w:b w:val="0"/>
                <w:bCs/>
                <w:sz w:val="24"/>
              </w:rPr>
              <w:t>，不对周围地下水产生影响，因此不需设置地下水专项评价。</w:t>
            </w:r>
          </w:p>
          <w:p>
            <w:pPr>
              <w:pStyle w:val="35"/>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4、生态环境</w:t>
            </w:r>
          </w:p>
          <w:p>
            <w:pPr>
              <w:pStyle w:val="35"/>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rPr>
            </w:pPr>
            <w:r>
              <w:rPr>
                <w:sz w:val="24"/>
              </w:rPr>
              <w:t>本项目建设项目无生态环境保护目标</w:t>
            </w:r>
            <w:r>
              <w:rPr>
                <w:rFonts w:hint="default" w:ascii="Times New Roman" w:hAnsi="Times New Roman" w:eastAsia="宋体" w:cs="Times New Roman"/>
                <w:color w:val="auto"/>
                <w:kern w:val="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tcMar>
              <w:left w:w="28" w:type="dxa"/>
              <w:right w:w="28" w:type="dxa"/>
            </w:tcMar>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污染</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物排</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放控</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制标</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rPr>
              <w:t>准</w:t>
            </w:r>
          </w:p>
        </w:tc>
        <w:tc>
          <w:tcPr>
            <w:tcW w:w="8190" w:type="dxa"/>
            <w:noWrap w:val="0"/>
            <w:vAlign w:val="center"/>
          </w:tcPr>
          <w:p>
            <w:pPr>
              <w:numPr>
                <w:ilvl w:val="0"/>
                <w:numId w:val="7"/>
              </w:numPr>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废气</w:t>
            </w:r>
          </w:p>
          <w:p>
            <w:pPr>
              <w:numPr>
                <w:ilvl w:val="0"/>
                <w:numId w:val="8"/>
              </w:numPr>
              <w:bidi w:val="0"/>
              <w:spacing w:beforeAutospacing="0" w:afterAutospacing="0" w:line="360" w:lineRule="auto"/>
              <w:ind w:left="0" w:leftChars="0" w:right="0" w:rightChars="0"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颗粒物</w:t>
            </w:r>
          </w:p>
          <w:p>
            <w:pPr>
              <w:keepNext w:val="0"/>
              <w:keepLines w:val="0"/>
              <w:pageBreakBefore w:val="0"/>
              <w:widowControl w:val="0"/>
              <w:kinsoku/>
              <w:wordWrap/>
              <w:overflowPunct/>
              <w:topLinePunct w:val="0"/>
              <w:autoSpaceDE/>
              <w:autoSpaceDN/>
              <w:bidi w:val="0"/>
              <w:snapToGrid/>
              <w:spacing w:beforeAutospacing="0" w:afterAutospacing="0" w:line="360" w:lineRule="auto"/>
              <w:ind w:left="0" w:leftChars="0" w:right="0" w:rightChars="0" w:firstLine="480" w:firstLineChars="200"/>
              <w:jc w:val="center"/>
              <w:rPr>
                <w:rFonts w:hint="default" w:ascii="Times New Roman" w:hAnsi="Times New Roman" w:eastAsia="宋体" w:cs="Times New Roman"/>
                <w:b/>
                <w:color w:val="auto"/>
                <w:kern w:val="0"/>
                <w:sz w:val="24"/>
                <w:szCs w:val="24"/>
                <w:highlight w:val="none"/>
                <w:lang w:val="en-US" w:eastAsia="zh-CN" w:bidi="ar-SA"/>
              </w:rPr>
            </w:pPr>
            <w:r>
              <w:rPr>
                <w:rFonts w:hint="default" w:ascii="Times New Roman" w:hAnsi="Times New Roman" w:eastAsia="宋体" w:cs="Times New Roman"/>
                <w:color w:val="auto"/>
                <w:kern w:val="0"/>
                <w:sz w:val="24"/>
              </w:rPr>
              <w:t>本项目</w:t>
            </w:r>
            <w:r>
              <w:rPr>
                <w:rFonts w:hint="default" w:ascii="Times New Roman" w:hAnsi="Times New Roman" w:eastAsia="宋体" w:cs="Times New Roman"/>
                <w:color w:val="auto"/>
                <w:sz w:val="24"/>
              </w:rPr>
              <w:t>无组织粉尘执行《大气污染物综合排放标准》（GB16297-1996）表2中无组织排放标准</w:t>
            </w:r>
            <w:r>
              <w:rPr>
                <w:rFonts w:hint="eastAsia" w:cs="Times New Roman"/>
                <w:color w:val="auto"/>
                <w:sz w:val="24"/>
                <w:lang w:eastAsia="zh-CN"/>
              </w:rPr>
              <w:t>；</w:t>
            </w:r>
            <w:r>
              <w:rPr>
                <w:rFonts w:hint="eastAsia" w:cs="Times New Roman"/>
                <w:color w:val="auto"/>
                <w:sz w:val="24"/>
                <w:lang w:val="en-US" w:eastAsia="zh-CN"/>
              </w:rPr>
              <w:t>制粒工序产生恶臭执行《恶臭污染物排放标准》（GB14554-93）厂界相关标准</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rPr>
              <w:br w:type="textWrapping"/>
            </w:r>
            <w:r>
              <w:rPr>
                <w:rFonts w:hint="default" w:ascii="Times New Roman" w:hAnsi="Times New Roman" w:eastAsia="宋体" w:cs="Times New Roman"/>
                <w:b/>
                <w:color w:val="auto"/>
                <w:kern w:val="0"/>
                <w:sz w:val="24"/>
                <w:szCs w:val="24"/>
                <w:highlight w:val="none"/>
                <w:lang w:val="en-US" w:eastAsia="zh-CN" w:bidi="ar-SA"/>
              </w:rPr>
              <w:t>表3-</w:t>
            </w:r>
            <w:r>
              <w:rPr>
                <w:rFonts w:hint="eastAsia" w:ascii="Times New Roman" w:hAnsi="Times New Roman" w:eastAsia="宋体" w:cs="Times New Roman"/>
                <w:b/>
                <w:color w:val="auto"/>
                <w:kern w:val="0"/>
                <w:sz w:val="24"/>
                <w:szCs w:val="24"/>
                <w:highlight w:val="none"/>
                <w:lang w:val="en-US" w:eastAsia="zh-CN" w:bidi="ar-SA"/>
              </w:rPr>
              <w:t>8</w:t>
            </w:r>
            <w:r>
              <w:rPr>
                <w:rFonts w:hint="default" w:ascii="Times New Roman" w:hAnsi="Times New Roman" w:eastAsia="宋体" w:cs="Times New Roman"/>
                <w:b/>
                <w:color w:val="auto"/>
                <w:kern w:val="0"/>
                <w:sz w:val="24"/>
                <w:szCs w:val="24"/>
                <w:highlight w:val="none"/>
                <w:lang w:val="en-US" w:eastAsia="zh-CN" w:bidi="ar-SA"/>
              </w:rPr>
              <w:t xml:space="preserve">  大气污染物综合排放标准  单位：mg/m</w:t>
            </w:r>
            <w:r>
              <w:rPr>
                <w:rFonts w:hint="default" w:ascii="Times New Roman" w:hAnsi="Times New Roman" w:eastAsia="宋体" w:cs="Times New Roman"/>
                <w:b/>
                <w:color w:val="auto"/>
                <w:kern w:val="0"/>
                <w:sz w:val="24"/>
                <w:szCs w:val="24"/>
                <w:highlight w:val="none"/>
                <w:vertAlign w:val="superscript"/>
                <w:lang w:val="en-US" w:eastAsia="zh-CN" w:bidi="ar-SA"/>
              </w:rPr>
              <w:t>3</w:t>
            </w:r>
          </w:p>
          <w:tbl>
            <w:tblPr>
              <w:tblStyle w:val="18"/>
              <w:tblW w:w="76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50"/>
              <w:gridCol w:w="41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3550"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41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周界外浓度最高点mg/m</w:t>
                  </w:r>
                  <w:r>
                    <w:rPr>
                      <w:rFonts w:hint="default" w:ascii="Times New Roman" w:hAnsi="Times New Roman" w:eastAsia="宋体" w:cs="Times New Roman"/>
                      <w:color w:val="auto"/>
                      <w:szCs w:val="21"/>
                      <w:highlight w:val="none"/>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8" w:hRule="atLeast"/>
                <w:jc w:val="center"/>
              </w:trPr>
              <w:tc>
                <w:tcPr>
                  <w:tcW w:w="3550"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颗粒物</w:t>
                  </w:r>
                </w:p>
              </w:tc>
              <w:tc>
                <w:tcPr>
                  <w:tcW w:w="4104" w:type="dxa"/>
                  <w:noWrap w:val="0"/>
                  <w:vAlign w:val="center"/>
                </w:tcPr>
                <w:p>
                  <w:pPr>
                    <w:pStyle w:val="37"/>
                    <w:widowControl w:val="0"/>
                    <w:pBdr>
                      <w:bottom w:val="none" w:color="auto" w:sz="0" w:space="0"/>
                    </w:pBdr>
                    <w:bidi w:val="0"/>
                    <w:spacing w:before="0" w:beforeAutospacing="0" w:after="0" w:afterAutospacing="0"/>
                    <w:ind w:left="0" w:leftChars="0" w:right="0" w:rightChars="0"/>
                    <w:rPr>
                      <w:rFonts w:hint="default" w:ascii="Times New Roman" w:hAnsi="Times New Roman" w:eastAsia="宋体" w:cs="Times New Roman"/>
                      <w:color w:val="auto"/>
                      <w:kern w:val="2"/>
                      <w:szCs w:val="21"/>
                      <w:highlight w:val="none"/>
                    </w:rPr>
                  </w:pPr>
                  <w:r>
                    <w:rPr>
                      <w:rFonts w:hint="default" w:ascii="Times New Roman" w:hAnsi="Times New Roman" w:eastAsia="宋体" w:cs="Times New Roman"/>
                      <w:color w:val="auto"/>
                      <w:kern w:val="2"/>
                      <w:szCs w:val="21"/>
                      <w:highlight w:val="none"/>
                    </w:rPr>
                    <w:t>1.0</w:t>
                  </w:r>
                </w:p>
              </w:tc>
            </w:tr>
          </w:tbl>
          <w:p>
            <w:pPr>
              <w:numPr>
                <w:ilvl w:val="0"/>
                <w:numId w:val="0"/>
              </w:numPr>
              <w:bidi w:val="0"/>
              <w:spacing w:beforeAutospacing="0" w:afterAutospacing="0" w:line="360" w:lineRule="auto"/>
              <w:ind w:left="480" w:leftChars="0" w:right="0" w:rightChars="0"/>
              <w:jc w:val="center"/>
              <w:rPr>
                <w:rFonts w:hint="eastAsia" w:ascii="Times New Roman" w:hAnsi="Times New Roman" w:eastAsia="宋体" w:cs="Times New Roman"/>
                <w:b/>
                <w:color w:val="auto"/>
                <w:kern w:val="0"/>
                <w:sz w:val="24"/>
                <w:szCs w:val="24"/>
                <w:highlight w:val="none"/>
                <w:lang w:val="en-US" w:eastAsia="zh-CN" w:bidi="ar-SA"/>
              </w:rPr>
            </w:pPr>
            <w:r>
              <w:rPr>
                <w:rFonts w:hint="eastAsia" w:ascii="Times New Roman" w:hAnsi="Times New Roman" w:eastAsia="宋体" w:cs="Times New Roman"/>
                <w:b/>
                <w:color w:val="auto"/>
                <w:kern w:val="0"/>
                <w:sz w:val="24"/>
                <w:szCs w:val="24"/>
                <w:highlight w:val="none"/>
                <w:lang w:val="en-US" w:eastAsia="zh-CN" w:bidi="ar-SA"/>
              </w:rPr>
              <w:t>表3-9 恶臭污染物排放标准</w:t>
            </w:r>
          </w:p>
          <w:tbl>
            <w:tblPr>
              <w:tblStyle w:val="18"/>
              <w:tblW w:w="76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50"/>
              <w:gridCol w:w="41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3550"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4104" w:type="dxa"/>
                  <w:noWrap w:val="0"/>
                  <w:vAlign w:val="center"/>
                </w:tcPr>
                <w:p>
                  <w:pPr>
                    <w:bidi w:val="0"/>
                    <w:spacing w:beforeAutospacing="0" w:afterAutospacing="0"/>
                    <w:ind w:left="0" w:leftChars="0" w:right="0" w:rightChars="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8" w:hRule="atLeast"/>
                <w:jc w:val="center"/>
              </w:trPr>
              <w:tc>
                <w:tcPr>
                  <w:tcW w:w="3550"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臭气浓度</w:t>
                  </w:r>
                </w:p>
              </w:tc>
              <w:tc>
                <w:tcPr>
                  <w:tcW w:w="4104" w:type="dxa"/>
                  <w:noWrap w:val="0"/>
                  <w:vAlign w:val="center"/>
                </w:tcPr>
                <w:p>
                  <w:pPr>
                    <w:pStyle w:val="37"/>
                    <w:widowControl w:val="0"/>
                    <w:pBdr>
                      <w:bottom w:val="none" w:color="auto" w:sz="0" w:space="0"/>
                    </w:pBdr>
                    <w:bidi w:val="0"/>
                    <w:spacing w:before="0" w:beforeAutospacing="0" w:after="0" w:afterAutospacing="0"/>
                    <w:ind w:left="0" w:leftChars="0" w:right="0" w:rightChars="0"/>
                    <w:rPr>
                      <w:rFonts w:hint="default" w:ascii="Times New Roman" w:hAnsi="Times New Roman" w:eastAsia="宋体" w:cs="Times New Roman"/>
                      <w:color w:val="auto"/>
                      <w:kern w:val="2"/>
                      <w:szCs w:val="21"/>
                      <w:highlight w:val="none"/>
                      <w:lang w:val="en-US" w:eastAsia="zh-CN"/>
                    </w:rPr>
                  </w:pPr>
                  <w:r>
                    <w:rPr>
                      <w:rFonts w:hint="eastAsia" w:ascii="Times New Roman" w:hAnsi="Times New Roman" w:cs="Times New Roman"/>
                      <w:color w:val="auto"/>
                      <w:kern w:val="2"/>
                      <w:szCs w:val="21"/>
                      <w:highlight w:val="none"/>
                      <w:lang w:val="en-US" w:eastAsia="zh-CN"/>
                    </w:rPr>
                    <w:t>20</w:t>
                  </w:r>
                </w:p>
              </w:tc>
            </w:tr>
          </w:tbl>
          <w:p>
            <w:pPr>
              <w:numPr>
                <w:ilvl w:val="0"/>
                <w:numId w:val="8"/>
              </w:numPr>
              <w:bidi w:val="0"/>
              <w:spacing w:beforeAutospacing="0" w:afterAutospacing="0" w:line="360" w:lineRule="auto"/>
              <w:ind w:left="0" w:leftChars="0" w:right="0" w:rightChars="0"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化验室废气</w:t>
            </w:r>
          </w:p>
          <w:p>
            <w:pPr>
              <w:pStyle w:val="16"/>
              <w:keepNext w:val="0"/>
              <w:keepLines w:val="0"/>
              <w:pageBreakBefore w:val="0"/>
              <w:widowControl/>
              <w:kinsoku/>
              <w:wordWrap/>
              <w:overflowPunct/>
              <w:topLinePunct w:val="0"/>
              <w:autoSpaceDE/>
              <w:bidi w:val="0"/>
              <w:adjustRightInd/>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pacing w:val="0"/>
                <w:kern w:val="2"/>
                <w:sz w:val="24"/>
              </w:rPr>
            </w:pPr>
            <w:r>
              <w:rPr>
                <w:rFonts w:hint="default" w:ascii="Times New Roman" w:hAnsi="Times New Roman" w:eastAsia="宋体" w:cs="Times New Roman"/>
                <w:color w:val="auto"/>
                <w:spacing w:val="0"/>
                <w:kern w:val="2"/>
                <w:sz w:val="24"/>
              </w:rPr>
              <w:t>项目化验室排放的硫酸雾浓度执行《大气污染物综合排放标准》（GB16297-1996）</w:t>
            </w:r>
            <w:r>
              <w:rPr>
                <w:rFonts w:hint="eastAsia" w:cs="Times New Roman"/>
                <w:color w:val="auto"/>
                <w:spacing w:val="0"/>
                <w:kern w:val="2"/>
                <w:sz w:val="24"/>
                <w:lang w:val="en-US" w:eastAsia="zh-CN"/>
              </w:rPr>
              <w:t>表2中</w:t>
            </w:r>
            <w:r>
              <w:rPr>
                <w:rFonts w:hint="default" w:ascii="Times New Roman" w:hAnsi="Times New Roman" w:eastAsia="宋体" w:cs="Times New Roman"/>
                <w:color w:val="auto"/>
                <w:spacing w:val="0"/>
                <w:kern w:val="2"/>
                <w:sz w:val="24"/>
              </w:rPr>
              <w:t>无组织排放标准要求。</w:t>
            </w:r>
          </w:p>
          <w:p>
            <w:pPr>
              <w:keepNext w:val="0"/>
              <w:keepLines w:val="0"/>
              <w:pageBreakBefore w:val="0"/>
              <w:widowControl/>
              <w:kinsoku/>
              <w:wordWrap/>
              <w:overflowPunct/>
              <w:topLinePunct w:val="0"/>
              <w:autoSpaceDE/>
              <w:autoSpaceDN w:val="0"/>
              <w:bidi w:val="0"/>
              <w:adjustRightInd/>
              <w:snapToGrid w:val="0"/>
              <w:spacing w:beforeAutospacing="0" w:afterAutospacing="0" w:line="440" w:lineRule="exact"/>
              <w:ind w:left="0" w:leftChars="0" w:right="0" w:rightChars="0"/>
              <w:jc w:val="center"/>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表3-</w:t>
            </w:r>
            <w:r>
              <w:rPr>
                <w:rFonts w:hint="eastAsia" w:cs="Times New Roman"/>
                <w:b/>
                <w:color w:val="auto"/>
                <w:sz w:val="24"/>
                <w:lang w:val="en-US" w:eastAsia="zh-CN"/>
              </w:rPr>
              <w:t>10</w:t>
            </w:r>
            <w:r>
              <w:rPr>
                <w:rFonts w:hint="default" w:ascii="Times New Roman" w:hAnsi="Times New Roman" w:eastAsia="宋体" w:cs="Times New Roman"/>
                <w:b/>
                <w:color w:val="auto"/>
                <w:sz w:val="24"/>
              </w:rPr>
              <w:t xml:space="preserve"> 大气污染物综合排放标准</w:t>
            </w:r>
          </w:p>
          <w:tbl>
            <w:tblPr>
              <w:tblStyle w:val="1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21"/>
              <w:gridCol w:w="39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621" w:type="dxa"/>
                  <w:vMerge w:val="restart"/>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w:t>
                  </w:r>
                </w:p>
              </w:tc>
              <w:tc>
                <w:tcPr>
                  <w:tcW w:w="3939" w:type="dxa"/>
                  <w:vMerge w:val="restart"/>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无组织排放监控浓度限值（mg/m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621" w:type="dxa"/>
                  <w:vMerge w:val="continue"/>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p>
              </w:tc>
              <w:tc>
                <w:tcPr>
                  <w:tcW w:w="3939" w:type="dxa"/>
                  <w:vMerge w:val="continue"/>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21"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硫酸雾</w:t>
                  </w:r>
                </w:p>
              </w:tc>
              <w:tc>
                <w:tcPr>
                  <w:tcW w:w="3939"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1.2</w:t>
                  </w:r>
                </w:p>
              </w:tc>
            </w:tr>
          </w:tbl>
          <w:p>
            <w:pPr>
              <w:numPr>
                <w:ilvl w:val="0"/>
                <w:numId w:val="8"/>
              </w:numPr>
              <w:bidi w:val="0"/>
              <w:spacing w:beforeAutospacing="0" w:afterAutospacing="0" w:line="360" w:lineRule="auto"/>
              <w:ind w:left="0" w:leftChars="0" w:right="0" w:rightChars="0"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锅炉烟气</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项目燃</w:t>
            </w:r>
            <w:r>
              <w:rPr>
                <w:rFonts w:hint="eastAsia" w:cs="Times New Roman"/>
                <w:color w:val="auto"/>
                <w:sz w:val="24"/>
                <w:lang w:val="en-US" w:eastAsia="zh-CN"/>
              </w:rPr>
              <w:t>生物质</w:t>
            </w:r>
            <w:r>
              <w:rPr>
                <w:rFonts w:hint="default" w:ascii="Times New Roman" w:hAnsi="Times New Roman" w:eastAsia="宋体" w:cs="Times New Roman"/>
                <w:color w:val="auto"/>
                <w:sz w:val="24"/>
              </w:rPr>
              <w:t>锅炉烟气排放浓度执行《锅炉大气污染物排放标准》（GB13271-2014）表2燃</w:t>
            </w:r>
            <w:r>
              <w:rPr>
                <w:rFonts w:hint="eastAsia" w:cs="Times New Roman"/>
                <w:color w:val="auto"/>
                <w:sz w:val="24"/>
                <w:lang w:val="en-US" w:eastAsia="zh-CN"/>
              </w:rPr>
              <w:t>煤</w:t>
            </w:r>
            <w:r>
              <w:rPr>
                <w:rFonts w:hint="default" w:ascii="Times New Roman" w:hAnsi="Times New Roman" w:eastAsia="宋体" w:cs="Times New Roman"/>
                <w:color w:val="auto"/>
                <w:sz w:val="24"/>
              </w:rPr>
              <w:t>锅炉排放限值，详见表3-</w:t>
            </w:r>
            <w:r>
              <w:rPr>
                <w:rFonts w:hint="eastAsia" w:cs="Times New Roman"/>
                <w:color w:val="auto"/>
                <w:sz w:val="24"/>
                <w:lang w:val="en-US" w:eastAsia="zh-CN"/>
              </w:rPr>
              <w:t>11</w:t>
            </w:r>
            <w:r>
              <w:rPr>
                <w:rFonts w:hint="default" w:ascii="Times New Roman" w:hAnsi="Times New Roman" w:eastAsia="宋体" w:cs="Times New Roman"/>
                <w:color w:val="auto"/>
                <w:sz w:val="24"/>
              </w:rPr>
              <w:t>。</w:t>
            </w:r>
          </w:p>
          <w:p>
            <w:pPr>
              <w:bidi w:val="0"/>
              <w:spacing w:beforeAutospacing="0" w:afterAutospacing="0"/>
              <w:ind w:left="0" w:leftChars="0" w:right="0" w:rightChars="0"/>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表3-</w:t>
            </w:r>
            <w:r>
              <w:rPr>
                <w:rFonts w:hint="eastAsia" w:cs="Times New Roman"/>
                <w:b/>
                <w:bCs/>
                <w:color w:val="auto"/>
                <w:kern w:val="0"/>
                <w:sz w:val="24"/>
                <w:lang w:val="en-US" w:eastAsia="zh-CN"/>
              </w:rPr>
              <w:t>11</w:t>
            </w:r>
            <w:r>
              <w:rPr>
                <w:rFonts w:hint="default" w:ascii="Times New Roman" w:hAnsi="Times New Roman" w:eastAsia="宋体" w:cs="Times New Roman"/>
                <w:b/>
                <w:bCs/>
                <w:color w:val="auto"/>
                <w:kern w:val="0"/>
                <w:sz w:val="24"/>
              </w:rPr>
              <w:t xml:space="preserve">  锅炉大气污染物特别排放限值  单位：mg/m</w:t>
            </w:r>
            <w:r>
              <w:rPr>
                <w:rFonts w:hint="default" w:ascii="Times New Roman" w:hAnsi="Times New Roman" w:eastAsia="宋体" w:cs="Times New Roman"/>
                <w:b/>
                <w:bCs/>
                <w:color w:val="auto"/>
                <w:kern w:val="0"/>
                <w:sz w:val="24"/>
                <w:vertAlign w:val="superscript"/>
              </w:rPr>
              <w:t>3</w:t>
            </w:r>
          </w:p>
          <w:tbl>
            <w:tblPr>
              <w:tblStyle w:val="18"/>
              <w:tblW w:w="782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08"/>
              <w:gridCol w:w="2608"/>
              <w:gridCol w:w="26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08" w:type="dxa"/>
                  <w:tcBorders>
                    <w:top w:val="single" w:color="auto" w:sz="12" w:space="0"/>
                    <w:left w:val="nil"/>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污染物</w:t>
                  </w:r>
                </w:p>
              </w:tc>
              <w:tc>
                <w:tcPr>
                  <w:tcW w:w="2608" w:type="dxa"/>
                  <w:tcBorders>
                    <w:top w:val="single" w:color="auto" w:sz="12" w:space="0"/>
                    <w:left w:val="single" w:color="auto" w:sz="4" w:space="0"/>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燃</w:t>
                  </w:r>
                  <w:r>
                    <w:rPr>
                      <w:rFonts w:hint="eastAsia" w:cs="Times New Roman"/>
                      <w:color w:val="auto"/>
                      <w:sz w:val="21"/>
                      <w:lang w:val="en-US" w:eastAsia="zh-CN"/>
                    </w:rPr>
                    <w:t>煤</w:t>
                  </w:r>
                  <w:r>
                    <w:rPr>
                      <w:rFonts w:hint="default" w:ascii="Times New Roman" w:hAnsi="Times New Roman" w:eastAsia="宋体" w:cs="Times New Roman"/>
                      <w:color w:val="auto"/>
                      <w:sz w:val="21"/>
                    </w:rPr>
                    <w:t>锅炉限值</w:t>
                  </w:r>
                </w:p>
              </w:tc>
              <w:tc>
                <w:tcPr>
                  <w:tcW w:w="2608" w:type="dxa"/>
                  <w:tcBorders>
                    <w:top w:val="single" w:color="auto" w:sz="12" w:space="0"/>
                    <w:left w:val="single" w:color="auto" w:sz="4" w:space="0"/>
                    <w:bottom w:val="single" w:color="auto" w:sz="4" w:space="0"/>
                    <w:right w:val="nil"/>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08" w:type="dxa"/>
                  <w:tcBorders>
                    <w:top w:val="single" w:color="auto" w:sz="4" w:space="0"/>
                    <w:left w:val="nil"/>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颗粒物</w:t>
                  </w:r>
                </w:p>
              </w:tc>
              <w:tc>
                <w:tcPr>
                  <w:tcW w:w="2608" w:type="dxa"/>
                  <w:tcBorders>
                    <w:top w:val="single" w:color="auto" w:sz="4" w:space="0"/>
                    <w:left w:val="single" w:color="auto" w:sz="4" w:space="0"/>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50</w:t>
                  </w:r>
                </w:p>
              </w:tc>
              <w:tc>
                <w:tcPr>
                  <w:tcW w:w="2608" w:type="dxa"/>
                  <w:vMerge w:val="restart"/>
                  <w:tcBorders>
                    <w:top w:val="single" w:color="auto" w:sz="4" w:space="0"/>
                    <w:left w:val="single" w:color="auto" w:sz="4" w:space="0"/>
                    <w:right w:val="nil"/>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烟囱或烟道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08" w:type="dxa"/>
                  <w:tcBorders>
                    <w:top w:val="single" w:color="auto" w:sz="4" w:space="0"/>
                    <w:left w:val="nil"/>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二氧化硫</w:t>
                  </w:r>
                </w:p>
              </w:tc>
              <w:tc>
                <w:tcPr>
                  <w:tcW w:w="2608" w:type="dxa"/>
                  <w:tcBorders>
                    <w:top w:val="single" w:color="auto" w:sz="4" w:space="0"/>
                    <w:left w:val="single" w:color="auto" w:sz="4" w:space="0"/>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300</w:t>
                  </w:r>
                </w:p>
              </w:tc>
              <w:tc>
                <w:tcPr>
                  <w:tcW w:w="2608" w:type="dxa"/>
                  <w:vMerge w:val="continue"/>
                  <w:tcBorders>
                    <w:left w:val="single" w:color="auto" w:sz="4" w:space="0"/>
                    <w:right w:val="nil"/>
                  </w:tcBorders>
                  <w:noWrap w:val="0"/>
                  <w:vAlign w:val="center"/>
                </w:tcPr>
                <w:p>
                  <w:pPr>
                    <w:widowControl/>
                    <w:bidi w:val="0"/>
                    <w:spacing w:beforeAutospacing="0" w:afterAutospacing="0"/>
                    <w:ind w:left="0" w:leftChars="0" w:right="0" w:rightChars="0"/>
                    <w:jc w:val="left"/>
                    <w:rPr>
                      <w:rFonts w:hint="default" w:ascii="Times New Roman" w:hAnsi="Times New Roman" w:eastAsia="宋体" w:cs="Times New Roman"/>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08" w:type="dxa"/>
                  <w:tcBorders>
                    <w:top w:val="single" w:color="auto" w:sz="4" w:space="0"/>
                    <w:left w:val="nil"/>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氮氧化物</w:t>
                  </w:r>
                </w:p>
              </w:tc>
              <w:tc>
                <w:tcPr>
                  <w:tcW w:w="2608" w:type="dxa"/>
                  <w:tcBorders>
                    <w:top w:val="single" w:color="auto" w:sz="4" w:space="0"/>
                    <w:left w:val="single" w:color="auto" w:sz="4" w:space="0"/>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eastAsia" w:cs="Times New Roman"/>
                      <w:color w:val="auto"/>
                      <w:sz w:val="21"/>
                      <w:lang w:val="en-US" w:eastAsia="zh-CN"/>
                    </w:rPr>
                    <w:t>3</w:t>
                  </w:r>
                  <w:r>
                    <w:rPr>
                      <w:rFonts w:hint="default" w:ascii="Times New Roman" w:hAnsi="Times New Roman" w:eastAsia="宋体" w:cs="Times New Roman"/>
                      <w:color w:val="auto"/>
                      <w:sz w:val="21"/>
                    </w:rPr>
                    <w:t>00</w:t>
                  </w:r>
                </w:p>
              </w:tc>
              <w:tc>
                <w:tcPr>
                  <w:tcW w:w="2608" w:type="dxa"/>
                  <w:vMerge w:val="continue"/>
                  <w:tcBorders>
                    <w:left w:val="single" w:color="auto" w:sz="4" w:space="0"/>
                    <w:right w:val="nil"/>
                  </w:tcBorders>
                  <w:noWrap w:val="0"/>
                  <w:vAlign w:val="center"/>
                </w:tcPr>
                <w:p>
                  <w:pPr>
                    <w:widowControl/>
                    <w:bidi w:val="0"/>
                    <w:spacing w:beforeAutospacing="0" w:afterAutospacing="0"/>
                    <w:ind w:left="0" w:leftChars="0" w:right="0" w:rightChars="0"/>
                    <w:jc w:val="left"/>
                    <w:rPr>
                      <w:rFonts w:hint="default" w:ascii="Times New Roman" w:hAnsi="Times New Roman" w:eastAsia="宋体" w:cs="Times New Roman"/>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08" w:type="dxa"/>
                  <w:tcBorders>
                    <w:top w:val="single" w:color="auto" w:sz="4" w:space="0"/>
                    <w:left w:val="nil"/>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汞及其化合物</w:t>
                  </w:r>
                </w:p>
              </w:tc>
              <w:tc>
                <w:tcPr>
                  <w:tcW w:w="2608" w:type="dxa"/>
                  <w:tcBorders>
                    <w:top w:val="single" w:color="auto" w:sz="4" w:space="0"/>
                    <w:left w:val="single" w:color="auto" w:sz="4" w:space="0"/>
                    <w:bottom w:val="single" w:color="auto" w:sz="4"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0.05</w:t>
                  </w:r>
                </w:p>
              </w:tc>
              <w:tc>
                <w:tcPr>
                  <w:tcW w:w="2608" w:type="dxa"/>
                  <w:vMerge w:val="continue"/>
                  <w:tcBorders>
                    <w:left w:val="single" w:color="auto" w:sz="4" w:space="0"/>
                    <w:bottom w:val="single" w:color="auto" w:sz="4" w:space="0"/>
                    <w:right w:val="nil"/>
                  </w:tcBorders>
                  <w:noWrap w:val="0"/>
                  <w:vAlign w:val="center"/>
                </w:tcPr>
                <w:p>
                  <w:pPr>
                    <w:widowControl/>
                    <w:bidi w:val="0"/>
                    <w:spacing w:beforeAutospacing="0" w:afterAutospacing="0"/>
                    <w:ind w:left="0" w:leftChars="0" w:right="0" w:rightChars="0"/>
                    <w:jc w:val="left"/>
                    <w:rPr>
                      <w:rFonts w:hint="default" w:ascii="Times New Roman" w:hAnsi="Times New Roman" w:eastAsia="宋体" w:cs="Times New Roman"/>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2608" w:type="dxa"/>
                  <w:tcBorders>
                    <w:top w:val="single" w:color="auto" w:sz="4" w:space="0"/>
                    <w:left w:val="nil"/>
                    <w:bottom w:val="single" w:color="auto" w:sz="12"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烟气黑度</w:t>
                  </w:r>
                </w:p>
              </w:tc>
              <w:tc>
                <w:tcPr>
                  <w:tcW w:w="2608" w:type="dxa"/>
                  <w:tcBorders>
                    <w:top w:val="single" w:color="auto" w:sz="4" w:space="0"/>
                    <w:left w:val="single" w:color="auto" w:sz="4" w:space="0"/>
                    <w:bottom w:val="single" w:color="auto" w:sz="12" w:space="0"/>
                    <w:right w:val="single" w:color="auto" w:sz="4" w:space="0"/>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≤1级</w:t>
                  </w:r>
                </w:p>
              </w:tc>
              <w:tc>
                <w:tcPr>
                  <w:tcW w:w="2608" w:type="dxa"/>
                  <w:tcBorders>
                    <w:top w:val="single" w:color="auto" w:sz="4" w:space="0"/>
                    <w:left w:val="single" w:color="auto" w:sz="4" w:space="0"/>
                    <w:bottom w:val="single" w:color="auto" w:sz="12" w:space="0"/>
                    <w:right w:val="nil"/>
                  </w:tcBorders>
                  <w:noWrap w:val="0"/>
                  <w:vAlign w:val="center"/>
                </w:tcPr>
                <w:p>
                  <w:pPr>
                    <w:pStyle w:val="38"/>
                    <w:widowControl w:val="0"/>
                    <w:bidi w:val="0"/>
                    <w:spacing w:beforeAutospacing="0" w:afterAutospacing="0"/>
                    <w:ind w:left="0" w:leftChars="0" w:right="0" w:right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烟囱排放口</w:t>
                  </w:r>
                </w:p>
              </w:tc>
            </w:tr>
          </w:tbl>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（4）食堂油烟</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食堂为2灶头，食堂油烟执行《饮食业油烟排放标准》（GB18483-2001）（试行）小型标准。</w:t>
            </w:r>
          </w:p>
          <w:p>
            <w:pPr>
              <w:bidi w:val="0"/>
              <w:adjustRightInd w:val="0"/>
              <w:spacing w:beforeAutospacing="0" w:afterAutospacing="0"/>
              <w:ind w:left="0" w:leftChars="0" w:right="0" w:rightChars="0"/>
              <w:jc w:val="center"/>
              <w:textAlignment w:val="baseline"/>
              <w:rPr>
                <w:rFonts w:hint="default" w:ascii="Times New Roman" w:hAnsi="Times New Roman" w:eastAsia="宋体" w:cs="Times New Roman"/>
                <w:b/>
                <w:color w:val="auto"/>
                <w:kern w:val="0"/>
                <w:sz w:val="24"/>
              </w:rPr>
            </w:pPr>
            <w:r>
              <w:rPr>
                <w:rFonts w:hint="default" w:ascii="Times New Roman" w:hAnsi="Times New Roman" w:eastAsia="宋体" w:cs="Times New Roman"/>
                <w:b/>
                <w:color w:val="auto"/>
                <w:kern w:val="0"/>
                <w:sz w:val="24"/>
              </w:rPr>
              <w:t>表3-</w:t>
            </w:r>
            <w:r>
              <w:rPr>
                <w:rFonts w:hint="eastAsia" w:cs="Times New Roman"/>
                <w:b/>
                <w:color w:val="auto"/>
                <w:kern w:val="0"/>
                <w:sz w:val="24"/>
                <w:lang w:val="en-US" w:eastAsia="zh-CN"/>
              </w:rPr>
              <w:t>12</w:t>
            </w:r>
            <w:r>
              <w:rPr>
                <w:rFonts w:hint="default" w:ascii="Times New Roman" w:hAnsi="Times New Roman" w:eastAsia="宋体" w:cs="Times New Roman"/>
                <w:b/>
                <w:color w:val="auto"/>
                <w:kern w:val="0"/>
                <w:sz w:val="24"/>
              </w:rPr>
              <w:t xml:space="preserve">  饮食业单位规模划分表</w:t>
            </w:r>
          </w:p>
          <w:tbl>
            <w:tblPr>
              <w:tblStyle w:val="18"/>
              <w:tblW w:w="7824" w:type="dxa"/>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0" w:type="dxa"/>
                <w:bottom w:w="0" w:type="dxa"/>
                <w:right w:w="0" w:type="dxa"/>
              </w:tblCellMar>
            </w:tblPr>
            <w:tblGrid>
              <w:gridCol w:w="3912"/>
              <w:gridCol w:w="3912"/>
            </w:tblGrid>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284" w:hRule="atLeast"/>
                <w:jc w:val="center"/>
              </w:trPr>
              <w:tc>
                <w:tcPr>
                  <w:tcW w:w="391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规模</w:t>
                  </w:r>
                </w:p>
              </w:tc>
              <w:tc>
                <w:tcPr>
                  <w:tcW w:w="3912" w:type="dxa"/>
                  <w:noWrap w:val="0"/>
                  <w:tcMar>
                    <w:top w:w="17" w:type="dxa"/>
                    <w:left w:w="17" w:type="dxa"/>
                    <w:bottom w:w="0" w:type="dxa"/>
                    <w:right w:w="17" w:type="dxa"/>
                  </w:tcMar>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小型</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284" w:hRule="atLeast"/>
                <w:jc w:val="center"/>
              </w:trPr>
              <w:tc>
                <w:tcPr>
                  <w:tcW w:w="391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基准灶头数</w:t>
                  </w:r>
                </w:p>
              </w:tc>
              <w:tc>
                <w:tcPr>
                  <w:tcW w:w="3912" w:type="dxa"/>
                  <w:noWrap w:val="0"/>
                  <w:tcMar>
                    <w:top w:w="17" w:type="dxa"/>
                    <w:left w:w="17" w:type="dxa"/>
                    <w:bottom w:w="0" w:type="dxa"/>
                    <w:right w:w="17" w:type="dxa"/>
                  </w:tcMar>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≥1，&lt;3</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284" w:hRule="atLeast"/>
                <w:jc w:val="center"/>
              </w:trPr>
              <w:tc>
                <w:tcPr>
                  <w:tcW w:w="391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对应灶头总功率（10</w:t>
                  </w:r>
                  <w:r>
                    <w:rPr>
                      <w:rFonts w:hint="default" w:ascii="Times New Roman" w:hAnsi="Times New Roman" w:eastAsia="宋体" w:cs="Times New Roman"/>
                      <w:color w:val="auto"/>
                      <w:szCs w:val="21"/>
                      <w:vertAlign w:val="superscript"/>
                    </w:rPr>
                    <w:t>8</w:t>
                  </w:r>
                  <w:r>
                    <w:rPr>
                      <w:rFonts w:hint="default" w:ascii="Times New Roman" w:hAnsi="Times New Roman" w:eastAsia="宋体" w:cs="Times New Roman"/>
                      <w:color w:val="auto"/>
                      <w:szCs w:val="21"/>
                    </w:rPr>
                    <w:t>J/h）</w:t>
                  </w:r>
                </w:p>
              </w:tc>
              <w:tc>
                <w:tcPr>
                  <w:tcW w:w="3912" w:type="dxa"/>
                  <w:noWrap w:val="0"/>
                  <w:tcMar>
                    <w:top w:w="17" w:type="dxa"/>
                    <w:left w:w="17" w:type="dxa"/>
                    <w:bottom w:w="0" w:type="dxa"/>
                    <w:right w:w="17" w:type="dxa"/>
                  </w:tcMar>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1.67，&lt;5.00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284" w:hRule="atLeast"/>
                <w:jc w:val="center"/>
              </w:trPr>
              <w:tc>
                <w:tcPr>
                  <w:tcW w:w="391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对应排气罩灶面总投影面积（m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rPr>
                    <w:t>）</w:t>
                  </w:r>
                </w:p>
              </w:tc>
              <w:tc>
                <w:tcPr>
                  <w:tcW w:w="3912" w:type="dxa"/>
                  <w:noWrap w:val="0"/>
                  <w:tcMar>
                    <w:top w:w="17" w:type="dxa"/>
                    <w:left w:w="17" w:type="dxa"/>
                    <w:bottom w:w="0" w:type="dxa"/>
                    <w:right w:w="17" w:type="dxa"/>
                  </w:tcMar>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≥1.1，&lt;3.3</w:t>
                  </w:r>
                </w:p>
              </w:tc>
            </w:tr>
          </w:tbl>
          <w:p>
            <w:pPr>
              <w:bidi w:val="0"/>
              <w:spacing w:beforeAutospacing="0" w:afterAutospacing="0"/>
              <w:ind w:left="0" w:leftChars="0" w:right="0" w:rightChars="0"/>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表3-</w:t>
            </w:r>
            <w:r>
              <w:rPr>
                <w:rFonts w:hint="eastAsia" w:cs="Times New Roman"/>
                <w:b/>
                <w:color w:val="auto"/>
                <w:sz w:val="24"/>
                <w:lang w:val="en-US" w:eastAsia="zh-CN"/>
              </w:rPr>
              <w:t>13</w:t>
            </w:r>
            <w:r>
              <w:rPr>
                <w:rFonts w:hint="default" w:ascii="Times New Roman" w:hAnsi="Times New Roman" w:eastAsia="宋体" w:cs="Times New Roman"/>
                <w:b/>
                <w:color w:val="auto"/>
                <w:sz w:val="24"/>
              </w:rPr>
              <w:t xml:space="preserve">  饮食业单位的油烟最高允许排放浓度和油烟净化设施最低去除效率</w:t>
            </w:r>
          </w:p>
          <w:tbl>
            <w:tblPr>
              <w:tblStyle w:val="18"/>
              <w:tblW w:w="782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912"/>
              <w:gridCol w:w="39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12" w:type="dxa"/>
                  <w:noWrap w:val="0"/>
                  <w:tcMar>
                    <w:top w:w="17" w:type="dxa"/>
                    <w:left w:w="17" w:type="dxa"/>
                    <w:bottom w:w="0" w:type="dxa"/>
                    <w:right w:w="17" w:type="dxa"/>
                  </w:tcMar>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规模</w:t>
                  </w:r>
                </w:p>
              </w:tc>
              <w:tc>
                <w:tcPr>
                  <w:tcW w:w="3912" w:type="dxa"/>
                  <w:noWrap w:val="0"/>
                  <w:tcMar>
                    <w:top w:w="17" w:type="dxa"/>
                    <w:left w:w="17" w:type="dxa"/>
                    <w:bottom w:w="0" w:type="dxa"/>
                    <w:right w:w="17" w:type="dxa"/>
                  </w:tcMar>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小型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12" w:type="dxa"/>
                  <w:noWrap w:val="0"/>
                  <w:tcMar>
                    <w:top w:w="17" w:type="dxa"/>
                    <w:left w:w="17" w:type="dxa"/>
                    <w:bottom w:w="0" w:type="dxa"/>
                    <w:right w:w="17" w:type="dxa"/>
                  </w:tcMar>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最高允许排放浓度（mg/m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3912" w:type="dxa"/>
                  <w:noWrap w:val="0"/>
                  <w:tcMar>
                    <w:top w:w="17" w:type="dxa"/>
                    <w:left w:w="17" w:type="dxa"/>
                    <w:bottom w:w="0" w:type="dxa"/>
                    <w:right w:w="17" w:type="dxa"/>
                  </w:tcMar>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12" w:type="dxa"/>
                  <w:noWrap w:val="0"/>
                  <w:tcMar>
                    <w:top w:w="17" w:type="dxa"/>
                    <w:left w:w="17" w:type="dxa"/>
                    <w:bottom w:w="0" w:type="dxa"/>
                    <w:right w:w="17" w:type="dxa"/>
                  </w:tcMar>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净化设施最低去除效率（%）</w:t>
                  </w:r>
                </w:p>
              </w:tc>
              <w:tc>
                <w:tcPr>
                  <w:tcW w:w="3912" w:type="dxa"/>
                  <w:noWrap w:val="0"/>
                  <w:tcMar>
                    <w:top w:w="17" w:type="dxa"/>
                    <w:left w:w="17" w:type="dxa"/>
                    <w:bottom w:w="0" w:type="dxa"/>
                    <w:right w:w="17" w:type="dxa"/>
                  </w:tcMar>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60</w:t>
                  </w:r>
                </w:p>
              </w:tc>
            </w:tr>
          </w:tbl>
          <w:p>
            <w:pPr>
              <w:pStyle w:val="38"/>
              <w:widowControl w:val="0"/>
              <w:bidi w:val="0"/>
              <w:spacing w:beforeAutospacing="0" w:afterAutospacing="0" w:line="360" w:lineRule="auto"/>
              <w:ind w:left="0" w:leftChars="0" w:right="0" w:rightChars="0" w:firstLine="482" w:firstLineChars="200"/>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2、噪声</w:t>
            </w:r>
          </w:p>
          <w:p>
            <w:pPr>
              <w:pStyle w:val="38"/>
              <w:widowControl w:val="0"/>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2"/>
                <w:sz w:val="24"/>
              </w:rPr>
            </w:pPr>
            <w:r>
              <w:rPr>
                <w:rFonts w:hint="default" w:ascii="Times New Roman" w:hAnsi="Times New Roman" w:eastAsia="宋体" w:cs="Times New Roman"/>
                <w:bCs/>
                <w:color w:val="auto"/>
                <w:sz w:val="24"/>
              </w:rPr>
              <w:t>本项目厂界南侧邻近</w:t>
            </w:r>
            <w:r>
              <w:rPr>
                <w:rFonts w:hint="eastAsia" w:cs="Times New Roman"/>
                <w:bCs/>
                <w:color w:val="auto"/>
                <w:sz w:val="24"/>
                <w:lang w:val="en-US" w:eastAsia="zh-CN"/>
              </w:rPr>
              <w:t>村</w:t>
            </w:r>
            <w:r>
              <w:rPr>
                <w:rFonts w:hint="default" w:ascii="Times New Roman" w:hAnsi="Times New Roman" w:eastAsia="宋体" w:cs="Times New Roman"/>
                <w:bCs/>
                <w:color w:val="auto"/>
                <w:sz w:val="24"/>
              </w:rPr>
              <w:t>路，因此，</w:t>
            </w:r>
            <w:r>
              <w:rPr>
                <w:rFonts w:hint="default" w:ascii="Times New Roman" w:hAnsi="Times New Roman" w:eastAsia="宋体" w:cs="Times New Roman"/>
                <w:color w:val="auto"/>
                <w:kern w:val="2"/>
                <w:sz w:val="24"/>
              </w:rPr>
              <w:t>运营期厂界噪声执行《工业企业厂界环境噪声排放标准》(GB12348-2008)中的2类标准。标准值见表3-</w:t>
            </w:r>
            <w:r>
              <w:rPr>
                <w:rFonts w:hint="eastAsia" w:cs="Times New Roman"/>
                <w:color w:val="auto"/>
                <w:kern w:val="2"/>
                <w:sz w:val="24"/>
                <w:lang w:val="en-US" w:eastAsia="zh-CN"/>
              </w:rPr>
              <w:t>14</w:t>
            </w:r>
            <w:r>
              <w:rPr>
                <w:rFonts w:hint="default" w:ascii="Times New Roman" w:hAnsi="Times New Roman" w:eastAsia="宋体" w:cs="Times New Roman"/>
                <w:color w:val="auto"/>
                <w:kern w:val="2"/>
                <w:sz w:val="24"/>
              </w:rPr>
              <w:t>。</w:t>
            </w:r>
          </w:p>
          <w:p>
            <w:pPr>
              <w:wordWrap w:val="0"/>
              <w:bidi w:val="0"/>
              <w:adjustRightInd w:val="0"/>
              <w:spacing w:beforeAutospacing="0" w:afterAutospacing="0" w:line="240" w:lineRule="auto"/>
              <w:ind w:left="0" w:leftChars="0" w:right="0" w:rightChars="0" w:firstLine="482" w:firstLineChars="200"/>
              <w:jc w:val="center"/>
              <w:textAlignment w:val="baseline"/>
              <w:rPr>
                <w:rFonts w:hint="default" w:ascii="Times New Roman" w:hAnsi="Times New Roman" w:eastAsia="宋体" w:cs="Times New Roman"/>
                <w:b/>
                <w:bCs/>
                <w:color w:val="auto"/>
                <w:kern w:val="0"/>
                <w:sz w:val="24"/>
              </w:rPr>
            </w:pPr>
            <w:bookmarkStart w:id="48" w:name="_Ref196743448"/>
            <w:r>
              <w:rPr>
                <w:rFonts w:hint="default" w:ascii="Times New Roman" w:hAnsi="Times New Roman" w:eastAsia="宋体" w:cs="Times New Roman"/>
                <w:b/>
                <w:bCs/>
                <w:color w:val="auto"/>
                <w:kern w:val="0"/>
                <w:sz w:val="24"/>
              </w:rPr>
              <w:t>表3-</w:t>
            </w:r>
            <w:r>
              <w:rPr>
                <w:rFonts w:hint="eastAsia" w:cs="Times New Roman"/>
                <w:b/>
                <w:bCs/>
                <w:color w:val="auto"/>
                <w:kern w:val="0"/>
                <w:sz w:val="24"/>
                <w:lang w:val="en-US" w:eastAsia="zh-CN"/>
              </w:rPr>
              <w:t>14</w:t>
            </w:r>
            <w:r>
              <w:rPr>
                <w:rFonts w:hint="default" w:ascii="Times New Roman" w:hAnsi="Times New Roman" w:eastAsia="宋体" w:cs="Times New Roman"/>
                <w:b/>
                <w:bCs/>
                <w:color w:val="auto"/>
                <w:kern w:val="0"/>
                <w:sz w:val="24"/>
              </w:rPr>
              <w:t xml:space="preserve">  噪声排放标准   单位：dB（A）</w:t>
            </w:r>
          </w:p>
          <w:tbl>
            <w:tblPr>
              <w:tblStyle w:val="1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51"/>
              <w:gridCol w:w="2055"/>
              <w:gridCol w:w="1215"/>
              <w:gridCol w:w="11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0" w:hRule="atLeast"/>
                <w:jc w:val="center"/>
              </w:trPr>
              <w:tc>
                <w:tcPr>
                  <w:tcW w:w="3551"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标准来源</w:t>
                  </w:r>
                </w:p>
              </w:tc>
              <w:tc>
                <w:tcPr>
                  <w:tcW w:w="20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类别</w:t>
                  </w:r>
                </w:p>
              </w:tc>
              <w:tc>
                <w:tcPr>
                  <w:tcW w:w="121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昼间</w:t>
                  </w:r>
                </w:p>
              </w:tc>
              <w:tc>
                <w:tcPr>
                  <w:tcW w:w="1153"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644" w:hRule="atLeast"/>
                <w:jc w:val="center"/>
              </w:trPr>
              <w:tc>
                <w:tcPr>
                  <w:tcW w:w="3551"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工业企业厂界环境噪声排放标准(GB12348-2008)</w:t>
                  </w:r>
                </w:p>
              </w:tc>
              <w:tc>
                <w:tcPr>
                  <w:tcW w:w="20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2类</w:t>
                  </w:r>
                </w:p>
              </w:tc>
              <w:tc>
                <w:tcPr>
                  <w:tcW w:w="121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bCs/>
                      <w:snapToGrid w:val="0"/>
                      <w:color w:val="auto"/>
                      <w:kern w:val="0"/>
                    </w:rPr>
                  </w:pPr>
                  <w:r>
                    <w:rPr>
                      <w:rFonts w:hint="default" w:ascii="Times New Roman" w:hAnsi="Times New Roman" w:eastAsia="宋体" w:cs="Times New Roman"/>
                      <w:bCs/>
                      <w:snapToGrid w:val="0"/>
                      <w:color w:val="auto"/>
                      <w:kern w:val="0"/>
                    </w:rPr>
                    <w:t>60</w:t>
                  </w:r>
                </w:p>
              </w:tc>
              <w:tc>
                <w:tcPr>
                  <w:tcW w:w="1153"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50</w:t>
                  </w:r>
                </w:p>
              </w:tc>
            </w:tr>
            <w:bookmarkEnd w:id="48"/>
          </w:tbl>
          <w:p>
            <w:pPr>
              <w:pStyle w:val="38"/>
              <w:widowControl w:val="0"/>
              <w:bidi w:val="0"/>
              <w:spacing w:beforeAutospacing="0" w:afterAutospacing="0" w:line="360" w:lineRule="auto"/>
              <w:ind w:left="0" w:leftChars="0" w:right="0" w:rightChars="0" w:firstLine="482" w:firstLineChars="200"/>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3、废水</w:t>
            </w:r>
          </w:p>
          <w:p>
            <w:pPr>
              <w:pStyle w:val="38"/>
              <w:widowControl w:val="0"/>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生活污水排入防渗化粪池与锅炉排污水</w:t>
            </w:r>
            <w:r>
              <w:rPr>
                <w:rFonts w:hint="eastAsia" w:cs="Times New Roman"/>
                <w:color w:val="auto"/>
                <w:kern w:val="2"/>
                <w:sz w:val="24"/>
                <w:szCs w:val="24"/>
                <w:lang w:eastAsia="zh-CN"/>
              </w:rPr>
              <w:t>（</w:t>
            </w:r>
            <w:r>
              <w:rPr>
                <w:rFonts w:hint="eastAsia" w:cs="Times New Roman"/>
                <w:color w:val="auto"/>
                <w:kern w:val="2"/>
                <w:sz w:val="24"/>
                <w:szCs w:val="24"/>
                <w:lang w:val="en-US" w:eastAsia="zh-CN"/>
              </w:rPr>
              <w:t>含软化水制备废水</w:t>
            </w:r>
            <w:r>
              <w:rPr>
                <w:rFonts w:hint="eastAsia" w:cs="Times New Roman"/>
                <w:color w:val="auto"/>
                <w:kern w:val="2"/>
                <w:sz w:val="24"/>
                <w:szCs w:val="24"/>
                <w:lang w:eastAsia="zh-CN"/>
              </w:rPr>
              <w:t>）</w:t>
            </w:r>
            <w:r>
              <w:rPr>
                <w:rFonts w:hint="default" w:ascii="Times New Roman" w:hAnsi="Times New Roman" w:eastAsia="宋体" w:cs="Times New Roman"/>
                <w:color w:val="auto"/>
                <w:kern w:val="2"/>
                <w:sz w:val="24"/>
                <w:szCs w:val="24"/>
              </w:rPr>
              <w:t>及中和池处理后的化验室清洗废水一起，水质满足</w:t>
            </w:r>
            <w:r>
              <w:rPr>
                <w:rFonts w:hint="default" w:ascii="Times New Roman" w:hAnsi="Times New Roman" w:eastAsia="宋体" w:cs="Times New Roman"/>
                <w:bCs/>
                <w:color w:val="auto"/>
                <w:kern w:val="2"/>
                <w:sz w:val="24"/>
                <w:szCs w:val="24"/>
              </w:rPr>
              <w:t>《污水综合排放标准》（GB8978-1996）三级标准，</w:t>
            </w:r>
            <w:r>
              <w:rPr>
                <w:rFonts w:hint="default" w:ascii="Times New Roman" w:hAnsi="Times New Roman" w:eastAsia="宋体" w:cs="Times New Roman"/>
                <w:color w:val="auto"/>
                <w:kern w:val="2"/>
                <w:sz w:val="24"/>
                <w:szCs w:val="24"/>
              </w:rPr>
              <w:t>由市政排水管网排入</w:t>
            </w:r>
            <w:r>
              <w:rPr>
                <w:rFonts w:hint="eastAsia" w:cs="Times New Roman"/>
                <w:color w:val="auto"/>
                <w:kern w:val="2"/>
                <w:sz w:val="24"/>
                <w:szCs w:val="24"/>
                <w:lang w:val="en-US" w:eastAsia="zh-CN"/>
              </w:rPr>
              <w:t>双城</w:t>
            </w:r>
            <w:r>
              <w:rPr>
                <w:rFonts w:hint="default" w:ascii="Times New Roman" w:hAnsi="Times New Roman" w:eastAsia="宋体" w:cs="Times New Roman"/>
                <w:color w:val="auto"/>
                <w:kern w:val="2"/>
                <w:sz w:val="24"/>
                <w:szCs w:val="24"/>
              </w:rPr>
              <w:t>污水处理厂。</w:t>
            </w:r>
          </w:p>
          <w:p>
            <w:pPr>
              <w:wordWrap w:val="0"/>
              <w:bidi w:val="0"/>
              <w:adjustRightInd w:val="0"/>
              <w:spacing w:beforeAutospacing="0" w:afterAutospacing="0" w:line="240" w:lineRule="auto"/>
              <w:ind w:left="0" w:leftChars="0" w:right="0" w:rightChars="0" w:firstLine="482" w:firstLineChars="200"/>
              <w:jc w:val="center"/>
              <w:textAlignment w:val="baseline"/>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表3-</w:t>
            </w:r>
            <w:r>
              <w:rPr>
                <w:rFonts w:hint="eastAsia" w:cs="Times New Roman"/>
                <w:b/>
                <w:bCs/>
                <w:color w:val="auto"/>
                <w:kern w:val="0"/>
                <w:sz w:val="24"/>
                <w:lang w:val="en-US" w:eastAsia="zh-CN"/>
              </w:rPr>
              <w:t>15</w:t>
            </w:r>
            <w:r>
              <w:rPr>
                <w:rFonts w:hint="default" w:ascii="Times New Roman" w:hAnsi="Times New Roman" w:eastAsia="宋体" w:cs="Times New Roman"/>
                <w:b/>
                <w:bCs/>
                <w:color w:val="auto"/>
                <w:kern w:val="0"/>
                <w:sz w:val="24"/>
              </w:rPr>
              <w:t xml:space="preserve">  污水综合排放标准  单位：mg/L</w:t>
            </w:r>
          </w:p>
          <w:tbl>
            <w:tblPr>
              <w:tblStyle w:val="18"/>
              <w:tblW w:w="782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304"/>
              <w:gridCol w:w="1304"/>
              <w:gridCol w:w="1304"/>
              <w:gridCol w:w="1304"/>
              <w:gridCol w:w="13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pH</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SS</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COD</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氨氮</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动植物油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标准</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6~9</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400</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500</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304" w:type="dxa"/>
                  <w:noWrap w:val="0"/>
                  <w:vAlign w:val="center"/>
                </w:tcPr>
                <w:p>
                  <w:pPr>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100</w:t>
                  </w:r>
                </w:p>
              </w:tc>
            </w:tr>
          </w:tbl>
          <w:p>
            <w:pPr>
              <w:pStyle w:val="38"/>
              <w:widowControl w:val="0"/>
              <w:bidi w:val="0"/>
              <w:spacing w:beforeAutospacing="0" w:afterAutospacing="0" w:line="360" w:lineRule="auto"/>
              <w:ind w:left="0" w:leftChars="0" w:right="0" w:rightChars="0" w:firstLine="482" w:firstLineChars="200"/>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4、固体废物控制标准</w:t>
            </w:r>
          </w:p>
          <w:p>
            <w:pPr>
              <w:pStyle w:val="38"/>
              <w:widowControl w:val="0"/>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rPr>
            </w:pPr>
            <w:r>
              <w:rPr>
                <w:rFonts w:hint="default" w:ascii="Times New Roman" w:hAnsi="Times New Roman" w:eastAsia="宋体" w:cs="Times New Roman"/>
                <w:bCs/>
                <w:color w:val="auto"/>
                <w:kern w:val="2"/>
                <w:sz w:val="24"/>
                <w:szCs w:val="24"/>
                <w:lang w:val="en-US" w:eastAsia="zh-CN"/>
              </w:rPr>
              <w:t>一般工业固体废物执行</w:t>
            </w:r>
            <w:r>
              <w:rPr>
                <w:rFonts w:hint="default" w:ascii="Times New Roman" w:hAnsi="Times New Roman" w:eastAsia="宋体" w:cs="Times New Roman"/>
                <w:bCs/>
                <w:color w:val="auto"/>
                <w:kern w:val="2"/>
                <w:sz w:val="24"/>
                <w:szCs w:val="24"/>
              </w:rPr>
              <w:t>《</w:t>
            </w:r>
            <w:r>
              <w:rPr>
                <w:rFonts w:hint="default" w:ascii="Times New Roman" w:hAnsi="Times New Roman" w:eastAsia="宋体" w:cs="Times New Roman"/>
                <w:bCs/>
                <w:color w:val="auto"/>
                <w:kern w:val="2"/>
                <w:sz w:val="24"/>
                <w:szCs w:val="24"/>
                <w:lang w:val="en-US" w:eastAsia="zh-CN"/>
              </w:rPr>
              <w:t>一般工业固体废物贮存和填埋污染控制标准</w:t>
            </w:r>
            <w:r>
              <w:rPr>
                <w:rFonts w:hint="default" w:ascii="Times New Roman" w:hAnsi="Times New Roman" w:eastAsia="宋体" w:cs="Times New Roman"/>
                <w:bCs/>
                <w:color w:val="auto"/>
                <w:kern w:val="2"/>
                <w:sz w:val="24"/>
                <w:szCs w:val="24"/>
              </w:rPr>
              <w:t>》（GB18599-20</w:t>
            </w:r>
            <w:r>
              <w:rPr>
                <w:rFonts w:hint="default" w:ascii="Times New Roman" w:hAnsi="Times New Roman" w:eastAsia="宋体" w:cs="Times New Roman"/>
                <w:bCs/>
                <w:color w:val="auto"/>
                <w:kern w:val="2"/>
                <w:sz w:val="24"/>
                <w:szCs w:val="24"/>
                <w:lang w:val="en-US" w:eastAsia="zh-CN"/>
              </w:rPr>
              <w:t>20</w:t>
            </w:r>
            <w:r>
              <w:rPr>
                <w:rFonts w:hint="default" w:ascii="Times New Roman" w:hAnsi="Times New Roman" w:eastAsia="宋体" w:cs="Times New Roman"/>
                <w:bCs/>
                <w:color w:val="auto"/>
                <w:kern w:val="2"/>
                <w:sz w:val="24"/>
                <w:szCs w:val="24"/>
              </w:rPr>
              <w:t>）；</w:t>
            </w:r>
            <w:r>
              <w:rPr>
                <w:rFonts w:hint="default" w:ascii="Times New Roman" w:hAnsi="Times New Roman" w:eastAsia="宋体" w:cs="Times New Roman"/>
                <w:color w:val="auto"/>
                <w:sz w:val="24"/>
              </w:rPr>
              <w:t>危险废物执行《危险废物贮存污染控制标准》（GB18597-2001）及2013修改单</w:t>
            </w:r>
            <w:r>
              <w:rPr>
                <w:rFonts w:hint="default" w:ascii="Times New Roman" w:hAnsi="Times New Roman" w:eastAsia="宋体" w:cs="Times New Roman"/>
                <w:bCs/>
                <w:color w:val="auto"/>
                <w:kern w:val="2"/>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总量</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控制</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指标</w:t>
            </w:r>
          </w:p>
        </w:tc>
        <w:tc>
          <w:tcPr>
            <w:tcW w:w="8190" w:type="dxa"/>
            <w:noWrap w:val="0"/>
            <w:vAlign w:val="center"/>
          </w:tcPr>
          <w:p>
            <w:pPr>
              <w:pStyle w:val="31"/>
              <w:bidi w:val="0"/>
              <w:spacing w:beforeLines="0" w:beforeAutospacing="0" w:afterLines="0" w:afterAutospacing="0" w:line="360" w:lineRule="auto"/>
              <w:ind w:left="0" w:leftChars="0" w:right="0" w:rightChars="0" w:firstLine="480"/>
              <w:contextualSpacing/>
              <w:jc w:val="left"/>
              <w:rPr>
                <w:rFonts w:hint="default" w:ascii="Times New Roman" w:hAnsi="Times New Roman" w:eastAsia="宋体" w:cs="Times New Roman"/>
                <w:color w:val="auto"/>
              </w:rPr>
            </w:pPr>
            <w:r>
              <w:rPr>
                <w:rFonts w:hint="default" w:ascii="Times New Roman" w:hAnsi="Times New Roman" w:eastAsia="宋体" w:cs="Times New Roman"/>
                <w:color w:val="auto"/>
              </w:rPr>
              <w:t>在满足浓度达标的前提下，实行总量控制。本项目总量控制指标如下表：</w:t>
            </w:r>
          </w:p>
          <w:p>
            <w:pPr>
              <w:tabs>
                <w:tab w:val="left" w:pos="5046"/>
              </w:tabs>
              <w:bidi w:val="0"/>
              <w:spacing w:beforeAutospacing="0" w:afterAutospacing="0" w:line="240" w:lineRule="auto"/>
              <w:ind w:left="0" w:leftChars="0" w:right="0" w:rightChars="0"/>
              <w:contextualSpacing/>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表3-1</w:t>
            </w:r>
            <w:r>
              <w:rPr>
                <w:rFonts w:hint="eastAsia" w:cs="Times New Roman"/>
                <w:b/>
                <w:color w:val="auto"/>
                <w:sz w:val="24"/>
                <w:lang w:val="en-US" w:eastAsia="zh-CN"/>
              </w:rPr>
              <w:t>6</w:t>
            </w:r>
            <w:r>
              <w:rPr>
                <w:rFonts w:hint="default" w:ascii="Times New Roman" w:hAnsi="Times New Roman" w:eastAsia="宋体" w:cs="Times New Roman"/>
                <w:b/>
                <w:color w:val="auto"/>
                <w:sz w:val="24"/>
              </w:rPr>
              <w:t xml:space="preserve">  总量控制表 （t/a）</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1295"/>
              <w:gridCol w:w="2864"/>
              <w:gridCol w:w="27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690" w:type="pct"/>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类别</w:t>
                  </w:r>
                </w:p>
              </w:tc>
              <w:tc>
                <w:tcPr>
                  <w:tcW w:w="812" w:type="pct"/>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名称</w:t>
                  </w:r>
                </w:p>
              </w:tc>
              <w:tc>
                <w:tcPr>
                  <w:tcW w:w="1795" w:type="pct"/>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预测排放量</w:t>
                  </w:r>
                </w:p>
              </w:tc>
              <w:tc>
                <w:tcPr>
                  <w:tcW w:w="1701" w:type="pct"/>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核定排放量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690" w:type="pct"/>
                  <w:vMerge w:val="restart"/>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p>
              </w:tc>
              <w:tc>
                <w:tcPr>
                  <w:tcW w:w="812"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颗粒物</w:t>
                  </w:r>
                </w:p>
              </w:tc>
              <w:tc>
                <w:tcPr>
                  <w:tcW w:w="1795" w:type="pct"/>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0.0</w:t>
                  </w:r>
                  <w:r>
                    <w:rPr>
                      <w:rFonts w:hint="eastAsia" w:ascii="Times New Roman" w:cs="Times New Roman"/>
                      <w:color w:val="000000" w:themeColor="text1"/>
                      <w:lang w:val="en-US" w:eastAsia="zh-CN"/>
                      <w14:textFill>
                        <w14:solidFill>
                          <w14:schemeClr w14:val="tx1"/>
                        </w14:solidFill>
                      </w14:textFill>
                    </w:rPr>
                    <w:t>09</w:t>
                  </w:r>
                </w:p>
              </w:tc>
              <w:tc>
                <w:tcPr>
                  <w:tcW w:w="1701"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0.693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690" w:type="pct"/>
                  <w:vMerge w:val="continue"/>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p>
              </w:tc>
              <w:tc>
                <w:tcPr>
                  <w:tcW w:w="812"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SO</w:t>
                  </w:r>
                  <w:r>
                    <w:rPr>
                      <w:rFonts w:hint="default" w:ascii="Times New Roman" w:hAnsi="Times New Roman" w:eastAsia="宋体" w:cs="Times New Roman"/>
                      <w:color w:val="000000" w:themeColor="text1"/>
                      <w:szCs w:val="21"/>
                      <w:vertAlign w:val="subscript"/>
                      <w14:textFill>
                        <w14:solidFill>
                          <w14:schemeClr w14:val="tx1"/>
                        </w14:solidFill>
                      </w14:textFill>
                    </w:rPr>
                    <w:t>2</w:t>
                  </w:r>
                </w:p>
              </w:tc>
              <w:tc>
                <w:tcPr>
                  <w:tcW w:w="1795" w:type="pct"/>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0.31</w:t>
                  </w:r>
                </w:p>
              </w:tc>
              <w:tc>
                <w:tcPr>
                  <w:tcW w:w="1701"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690" w:type="pct"/>
                  <w:vMerge w:val="continue"/>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p>
              </w:tc>
              <w:tc>
                <w:tcPr>
                  <w:tcW w:w="812"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NO</w:t>
                  </w:r>
                  <w:r>
                    <w:rPr>
                      <w:rFonts w:hint="default" w:ascii="Times New Roman" w:hAnsi="Times New Roman" w:eastAsia="宋体" w:cs="Times New Roman"/>
                      <w:color w:val="000000" w:themeColor="text1"/>
                      <w:szCs w:val="21"/>
                      <w:vertAlign w:val="subscript"/>
                      <w14:textFill>
                        <w14:solidFill>
                          <w14:schemeClr w14:val="tx1"/>
                        </w14:solidFill>
                      </w14:textFill>
                    </w:rPr>
                    <w:t>X</w:t>
                  </w:r>
                </w:p>
              </w:tc>
              <w:tc>
                <w:tcPr>
                  <w:tcW w:w="1795" w:type="pct"/>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1.89</w:t>
                  </w:r>
                </w:p>
              </w:tc>
              <w:tc>
                <w:tcPr>
                  <w:tcW w:w="1701"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4.16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90" w:type="pct"/>
                  <w:vMerge w:val="restart"/>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废水</w:t>
                  </w:r>
                </w:p>
              </w:tc>
              <w:tc>
                <w:tcPr>
                  <w:tcW w:w="812" w:type="pct"/>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COD</w:t>
                  </w:r>
                </w:p>
              </w:tc>
              <w:tc>
                <w:tcPr>
                  <w:tcW w:w="1795" w:type="pct"/>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0.161</w:t>
                  </w:r>
                </w:p>
              </w:tc>
              <w:tc>
                <w:tcPr>
                  <w:tcW w:w="1701"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0.504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90" w:type="pct"/>
                  <w:vMerge w:val="continue"/>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p>
              </w:tc>
              <w:tc>
                <w:tcPr>
                  <w:tcW w:w="812" w:type="pct"/>
                  <w:noWrap w:val="0"/>
                  <w:vAlign w:val="center"/>
                </w:tcPr>
                <w:p>
                  <w:pPr>
                    <w:bidi w:val="0"/>
                    <w:spacing w:beforeAutospacing="0" w:afterAutospacing="0" w:line="0" w:lineRule="atLeast"/>
                    <w:ind w:left="0" w:leftChars="0" w:right="0" w:rightChars="0"/>
                    <w:contextualSpacing/>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氨氮</w:t>
                  </w:r>
                </w:p>
              </w:tc>
              <w:tc>
                <w:tcPr>
                  <w:tcW w:w="1795" w:type="pct"/>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0.0</w:t>
                  </w:r>
                  <w:r>
                    <w:rPr>
                      <w:rFonts w:hint="eastAsia" w:cs="Times New Roman"/>
                      <w:bCs/>
                      <w:color w:val="000000" w:themeColor="text1"/>
                      <w:sz w:val="21"/>
                      <w:szCs w:val="21"/>
                      <w:lang w:val="en-US" w:eastAsia="zh-CN"/>
                      <w14:textFill>
                        <w14:solidFill>
                          <w14:schemeClr w14:val="tx1"/>
                        </w14:solidFill>
                      </w14:textFill>
                    </w:rPr>
                    <w:t>11</w:t>
                  </w:r>
                </w:p>
              </w:tc>
              <w:tc>
                <w:tcPr>
                  <w:tcW w:w="1701"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0.011</w:t>
                  </w:r>
                </w:p>
              </w:tc>
            </w:tr>
          </w:tbl>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rPr>
            </w:pPr>
          </w:p>
          <w:p>
            <w:pPr>
              <w:pStyle w:val="16"/>
              <w:bidi w:val="0"/>
              <w:spacing w:beforeAutospacing="0" w:after="0" w:afterAutospacing="0"/>
              <w:ind w:left="0" w:leftChars="0" w:right="0" w:rightChars="0" w:firstLine="254"/>
              <w:rPr>
                <w:rFonts w:hint="default" w:ascii="Times New Roman" w:hAnsi="Times New Roman" w:eastAsia="宋体" w:cs="Times New Roman"/>
                <w:color w:val="auto"/>
              </w:rPr>
            </w:pPr>
          </w:p>
          <w:p>
            <w:pPr>
              <w:rPr>
                <w:rFonts w:hint="default" w:ascii="Times New Roman" w:hAnsi="Times New Roman" w:eastAsia="宋体" w:cs="Times New Roman"/>
                <w:color w:val="auto"/>
              </w:rPr>
            </w:pPr>
          </w:p>
          <w:p>
            <w:pPr>
              <w:pStyle w:val="17"/>
              <w:rPr>
                <w:rFonts w:hint="default" w:ascii="Times New Roman" w:hAnsi="Times New Roman" w:eastAsia="宋体" w:cs="Times New Roman"/>
                <w:color w:val="auto"/>
              </w:rPr>
            </w:pPr>
          </w:p>
          <w:p>
            <w:pPr>
              <w:rPr>
                <w:rFonts w:hint="default" w:ascii="Times New Roman" w:hAnsi="Times New Roman" w:eastAsia="宋体" w:cs="Times New Roman"/>
                <w:color w:val="auto"/>
              </w:rPr>
            </w:pPr>
          </w:p>
          <w:p>
            <w:pPr>
              <w:pStyle w:val="17"/>
              <w:rPr>
                <w:rFonts w:hint="default" w:ascii="Times New Roman" w:hAnsi="Times New Roman" w:eastAsia="宋体" w:cs="Times New Roman"/>
                <w:color w:val="auto"/>
              </w:rPr>
            </w:pPr>
          </w:p>
          <w:p>
            <w:pPr>
              <w:rPr>
                <w:rFonts w:hint="default" w:ascii="Times New Roman" w:hAnsi="Times New Roman" w:eastAsia="宋体" w:cs="Times New Roman"/>
                <w:color w:val="auto"/>
              </w:rPr>
            </w:pPr>
          </w:p>
          <w:p>
            <w:pPr>
              <w:bidi w:val="0"/>
              <w:spacing w:beforeAutospacing="0" w:afterAutospacing="0"/>
              <w:ind w:left="0" w:leftChars="0" w:right="0" w:rightChars="0"/>
              <w:rPr>
                <w:rFonts w:hint="default" w:ascii="Times New Roman" w:hAnsi="Times New Roman" w:eastAsia="宋体" w:cs="Times New Roman"/>
                <w:color w:val="auto"/>
              </w:rPr>
            </w:pPr>
          </w:p>
        </w:tc>
      </w:tr>
    </w:tbl>
    <w:p>
      <w:pPr>
        <w:pStyle w:val="14"/>
        <w:bidi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6"/>
          <w:szCs w:val="36"/>
        </w:rPr>
        <w:br w:type="page"/>
      </w:r>
      <w:bookmarkStart w:id="49" w:name="_Toc29599"/>
      <w:r>
        <w:rPr>
          <w:rFonts w:hint="default" w:ascii="Times New Roman" w:hAnsi="Times New Roman" w:eastAsia="宋体" w:cs="Times New Roman"/>
          <w:snapToGrid w:val="0"/>
          <w:color w:val="auto"/>
          <w:sz w:val="30"/>
          <w:szCs w:val="30"/>
        </w:rPr>
        <w:t>四、主要环境影响和保护措施</w:t>
      </w:r>
      <w:bookmarkEnd w:id="49"/>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noWrap w:val="0"/>
            <w:tcMar>
              <w:left w:w="28" w:type="dxa"/>
              <w:right w:w="28" w:type="dxa"/>
            </w:tcMar>
            <w:vAlign w:val="center"/>
          </w:tcPr>
          <w:p>
            <w:pPr>
              <w:pStyle w:val="14"/>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9"/>
              <w:rPr>
                <w:rFonts w:hint="default" w:ascii="Times New Roman" w:hAnsi="Times New Roman" w:eastAsia="宋体" w:cs="Times New Roman"/>
                <w:color w:val="auto"/>
                <w:kern w:val="2"/>
                <w:szCs w:val="24"/>
                <w:lang w:val="en-US" w:eastAsia="zh-CN"/>
              </w:rPr>
            </w:pPr>
            <w:r>
              <w:rPr>
                <w:rFonts w:hint="default" w:ascii="Times New Roman" w:hAnsi="Times New Roman" w:eastAsia="宋体" w:cs="Times New Roman"/>
                <w:color w:val="auto"/>
                <w:kern w:val="2"/>
                <w:szCs w:val="24"/>
                <w:lang w:val="en-US" w:eastAsia="zh-CN"/>
              </w:rPr>
              <w:t>施工</w:t>
            </w:r>
          </w:p>
          <w:p>
            <w:pPr>
              <w:pStyle w:val="14"/>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9"/>
              <w:rPr>
                <w:rFonts w:hint="default" w:ascii="Times New Roman" w:hAnsi="Times New Roman" w:eastAsia="宋体" w:cs="Times New Roman"/>
                <w:color w:val="auto"/>
                <w:kern w:val="2"/>
                <w:szCs w:val="24"/>
                <w:lang w:val="en-US" w:eastAsia="zh-CN"/>
              </w:rPr>
            </w:pPr>
            <w:r>
              <w:rPr>
                <w:rFonts w:hint="default" w:ascii="Times New Roman" w:hAnsi="Times New Roman" w:eastAsia="宋体" w:cs="Times New Roman"/>
                <w:color w:val="auto"/>
                <w:kern w:val="2"/>
                <w:szCs w:val="24"/>
                <w:lang w:val="en-US" w:eastAsia="zh-CN"/>
              </w:rPr>
              <w:t>期环</w:t>
            </w:r>
          </w:p>
          <w:p>
            <w:pPr>
              <w:pStyle w:val="14"/>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9"/>
              <w:rPr>
                <w:rFonts w:hint="default" w:ascii="Times New Roman" w:hAnsi="Times New Roman" w:eastAsia="宋体" w:cs="Times New Roman"/>
                <w:color w:val="auto"/>
                <w:kern w:val="2"/>
                <w:szCs w:val="24"/>
                <w:lang w:val="en-US" w:eastAsia="zh-CN"/>
              </w:rPr>
            </w:pPr>
            <w:r>
              <w:rPr>
                <w:rFonts w:hint="default" w:ascii="Times New Roman" w:hAnsi="Times New Roman" w:eastAsia="宋体" w:cs="Times New Roman"/>
                <w:color w:val="auto"/>
                <w:kern w:val="2"/>
                <w:szCs w:val="24"/>
                <w:lang w:val="en-US" w:eastAsia="zh-CN"/>
              </w:rPr>
              <w:t>境保</w:t>
            </w:r>
          </w:p>
          <w:p>
            <w:pPr>
              <w:pStyle w:val="14"/>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9"/>
              <w:rPr>
                <w:rFonts w:hint="default" w:ascii="Times New Roman" w:hAnsi="Times New Roman" w:eastAsia="宋体" w:cs="Times New Roman"/>
                <w:color w:val="auto"/>
                <w:kern w:val="2"/>
                <w:szCs w:val="24"/>
                <w:lang w:val="en-US" w:eastAsia="zh-CN"/>
              </w:rPr>
            </w:pPr>
            <w:r>
              <w:rPr>
                <w:rFonts w:hint="default" w:ascii="Times New Roman" w:hAnsi="Times New Roman" w:eastAsia="宋体" w:cs="Times New Roman"/>
                <w:color w:val="auto"/>
                <w:kern w:val="2"/>
                <w:szCs w:val="24"/>
                <w:lang w:val="en-US" w:eastAsia="zh-CN"/>
              </w:rPr>
              <w:t>护措</w:t>
            </w:r>
          </w:p>
          <w:p>
            <w:pPr>
              <w:pStyle w:val="14"/>
              <w:keepNext w:val="0"/>
              <w:keepLines w:val="0"/>
              <w:pageBreakBefore w:val="0"/>
              <w:kinsoku/>
              <w:wordWrap/>
              <w:overflowPunct/>
              <w:topLinePunct w:val="0"/>
              <w:bidi w:val="0"/>
              <w:adjustRightInd w:val="0"/>
              <w:snapToGrid w:val="0"/>
              <w:spacing w:before="0" w:beforeAutospacing="0" w:after="0" w:afterAutospacing="0"/>
              <w:ind w:left="0" w:leftChars="0" w:right="0" w:rightChars="0"/>
              <w:jc w:val="center"/>
              <w:outlineLvl w:val="9"/>
              <w:rPr>
                <w:rFonts w:hint="default" w:ascii="Times New Roman" w:hAnsi="Times New Roman" w:eastAsia="宋体" w:cs="Times New Roman"/>
                <w:bCs/>
                <w:color w:val="auto"/>
                <w:kern w:val="2"/>
                <w:sz w:val="21"/>
                <w:szCs w:val="21"/>
                <w:lang w:val="en-US" w:eastAsia="zh-CN"/>
              </w:rPr>
            </w:pPr>
            <w:r>
              <w:rPr>
                <w:rFonts w:hint="default" w:ascii="Times New Roman" w:hAnsi="Times New Roman" w:eastAsia="宋体" w:cs="Times New Roman"/>
                <w:color w:val="auto"/>
                <w:kern w:val="2"/>
                <w:szCs w:val="24"/>
                <w:lang w:val="en-US" w:eastAsia="zh-CN"/>
              </w:rPr>
              <w:t>施</w:t>
            </w:r>
          </w:p>
        </w:tc>
        <w:tc>
          <w:tcPr>
            <w:tcW w:w="8119" w:type="dxa"/>
            <w:noWrap w:val="0"/>
            <w:vAlign w:val="center"/>
          </w:tcPr>
          <w:p>
            <w:pPr>
              <w:pStyle w:val="52"/>
              <w:keepNext w:val="0"/>
              <w:keepLines w:val="0"/>
              <w:pageBreakBefore w:val="0"/>
              <w:kinsoku/>
              <w:wordWrap/>
              <w:overflowPunct/>
              <w:topLinePunct w:val="0"/>
              <w:bidi w:val="0"/>
              <w:spacing w:line="360" w:lineRule="auto"/>
              <w:ind w:firstLine="480"/>
              <w:outlineLvl w:val="9"/>
              <w:rPr>
                <w:rFonts w:ascii="Times New Roman"/>
                <w:sz w:val="24"/>
              </w:rPr>
            </w:pPr>
            <w:r>
              <w:rPr>
                <w:rFonts w:ascii="Times New Roman"/>
                <w:sz w:val="24"/>
                <w:szCs w:val="24"/>
              </w:rPr>
              <w:t>项目位于</w:t>
            </w:r>
            <w:r>
              <w:rPr>
                <w:rFonts w:hint="eastAsia" w:ascii="Times New Roman"/>
                <w:sz w:val="24"/>
                <w:szCs w:val="24"/>
              </w:rPr>
              <w:t>哈尔滨市双</w:t>
            </w:r>
            <w:r>
              <w:rPr>
                <w:rFonts w:hint="eastAsia" w:ascii="Times New Roman" w:eastAsia="宋体"/>
                <w:sz w:val="24"/>
                <w:szCs w:val="24"/>
              </w:rPr>
              <w:t>城区</w:t>
            </w:r>
            <w:r>
              <w:rPr>
                <w:rFonts w:hint="eastAsia" w:ascii="Times New Roman" w:eastAsia="宋体"/>
                <w:sz w:val="24"/>
                <w:szCs w:val="24"/>
                <w:lang w:val="en-US" w:eastAsia="zh-CN"/>
              </w:rPr>
              <w:t>联兴乡兴功村1号</w:t>
            </w:r>
            <w:r>
              <w:rPr>
                <w:rFonts w:hint="eastAsia" w:ascii="Times New Roman"/>
                <w:sz w:val="24"/>
                <w:szCs w:val="24"/>
              </w:rPr>
              <w:t>，</w:t>
            </w:r>
            <w:r>
              <w:rPr>
                <w:rFonts w:ascii="Times New Roman"/>
                <w:sz w:val="24"/>
              </w:rPr>
              <w:t>属于历史遗留问题未批先建的项目，</w:t>
            </w:r>
            <w:r>
              <w:rPr>
                <w:rFonts w:hint="eastAsia" w:ascii="Times New Roman"/>
                <w:sz w:val="24"/>
                <w:lang w:val="en-US" w:eastAsia="zh-CN"/>
              </w:rPr>
              <w:t>未</w:t>
            </w:r>
            <w:r>
              <w:rPr>
                <w:rFonts w:hint="eastAsia" w:ascii="Times New Roman"/>
                <w:sz w:val="24"/>
              </w:rPr>
              <w:t>办理</w:t>
            </w:r>
            <w:r>
              <w:rPr>
                <w:rFonts w:ascii="Times New Roman"/>
                <w:sz w:val="24"/>
              </w:rPr>
              <w:t>环评</w:t>
            </w:r>
            <w:r>
              <w:rPr>
                <w:rFonts w:hint="eastAsia" w:ascii="Times New Roman"/>
                <w:sz w:val="24"/>
              </w:rPr>
              <w:t>手续</w:t>
            </w:r>
            <w:r>
              <w:rPr>
                <w:rFonts w:hint="eastAsia" w:ascii="Times New Roman"/>
                <w:sz w:val="24"/>
                <w:lang w:eastAsia="zh-CN"/>
              </w:rPr>
              <w:t>，</w:t>
            </w:r>
            <w:r>
              <w:rPr>
                <w:rFonts w:hint="eastAsia" w:ascii="Times New Roman"/>
                <w:sz w:val="24"/>
                <w:lang w:val="en-US" w:eastAsia="zh-CN"/>
              </w:rPr>
              <w:t>无处罚</w:t>
            </w:r>
            <w:r>
              <w:rPr>
                <w:rFonts w:ascii="Times New Roman"/>
                <w:sz w:val="24"/>
              </w:rPr>
              <w:t>。</w:t>
            </w:r>
            <w:r>
              <w:rPr>
                <w:rFonts w:hint="eastAsia" w:ascii="Times New Roman"/>
                <w:sz w:val="24"/>
              </w:rPr>
              <w:t>企业现已停产，待相关手续及环保措施落实后再投产。</w:t>
            </w:r>
          </w:p>
          <w:p>
            <w:pPr>
              <w:keepNext w:val="0"/>
              <w:keepLines w:val="0"/>
              <w:pageBreakBefore w:val="0"/>
              <w:widowControl w:val="0"/>
              <w:kinsoku/>
              <w:wordWrap/>
              <w:overflowPunct/>
              <w:topLinePunct w:val="0"/>
              <w:autoSpaceDE/>
              <w:autoSpaceDN/>
              <w:bidi w:val="0"/>
              <w:adjustRightInd w:val="0"/>
              <w:snapToGrid w:val="0"/>
              <w:spacing w:beforeAutospacing="0" w:afterAutospacing="0" w:line="348" w:lineRule="auto"/>
              <w:ind w:left="0" w:leftChars="0" w:right="0" w:rightChars="0" w:firstLine="480" w:firstLineChars="200"/>
              <w:textAlignment w:val="auto"/>
              <w:outlineLvl w:val="9"/>
              <w:rPr>
                <w:rFonts w:hint="default" w:ascii="Times New Roman" w:hAnsi="Times New Roman" w:eastAsia="宋体" w:cs="Times New Roman"/>
                <w:bCs/>
                <w:color w:val="auto"/>
                <w:spacing w:val="-10"/>
                <w:szCs w:val="21"/>
              </w:rPr>
            </w:pPr>
            <w:r>
              <w:rPr>
                <w:rFonts w:hint="eastAsia"/>
                <w:kern w:val="0"/>
                <w:sz w:val="24"/>
              </w:rPr>
              <w:t>故本项目施工期已结束，不涉及施工期环境保护措施。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noWrap w:val="0"/>
            <w:tcMar>
              <w:left w:w="28" w:type="dxa"/>
              <w:right w:w="28" w:type="dxa"/>
            </w:tcMar>
            <w:vAlign w:val="center"/>
          </w:tcPr>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运营</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期环</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境影</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响和</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保护</w:t>
            </w:r>
          </w:p>
          <w:p>
            <w:pPr>
              <w:keepNext w:val="0"/>
              <w:keepLines w:val="0"/>
              <w:pageBreakBefore w:val="0"/>
              <w:kinsoku/>
              <w:wordWrap/>
              <w:overflowPunct/>
              <w:topLinePunct w:val="0"/>
              <w:bidi w:val="0"/>
              <w:adjustRightInd w:val="0"/>
              <w:snapToGrid w:val="0"/>
              <w:spacing w:beforeAutospacing="0" w:afterAutospacing="0"/>
              <w:ind w:left="0" w:leftChars="0" w:right="0" w:rightChars="0"/>
              <w:jc w:val="center"/>
              <w:outlineLvl w:val="9"/>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 w:val="24"/>
              </w:rPr>
              <w:t>措施</w:t>
            </w:r>
          </w:p>
        </w:tc>
        <w:tc>
          <w:tcPr>
            <w:tcW w:w="8119" w:type="dxa"/>
            <w:noWrap w:val="0"/>
            <w:vAlign w:val="center"/>
          </w:tcPr>
          <w:p>
            <w:pPr>
              <w:keepNext w:val="0"/>
              <w:keepLines w:val="0"/>
              <w:pageBreakBefore w:val="0"/>
              <w:kinsoku/>
              <w:wordWrap/>
              <w:overflowPunct/>
              <w:topLinePunct w:val="0"/>
              <w:bidi w:val="0"/>
              <w:adjustRightInd w:val="0"/>
              <w:snapToGrid w:val="0"/>
              <w:spacing w:beforeAutospacing="0" w:afterAutospacing="0" w:line="360" w:lineRule="auto"/>
              <w:ind w:left="0" w:leftChars="0" w:right="0" w:rightChars="0" w:firstLine="442" w:firstLineChars="200"/>
              <w:outlineLvl w:val="9"/>
              <w:rPr>
                <w:rFonts w:hint="default" w:ascii="Times New Roman" w:hAnsi="Times New Roman" w:eastAsia="宋体" w:cs="Times New Roman"/>
                <w:b/>
                <w:color w:val="auto"/>
                <w:spacing w:val="-10"/>
                <w:sz w:val="24"/>
              </w:rPr>
            </w:pPr>
            <w:r>
              <w:rPr>
                <w:rFonts w:hint="default" w:ascii="Times New Roman" w:hAnsi="Times New Roman" w:eastAsia="宋体" w:cs="Times New Roman"/>
                <w:b/>
                <w:color w:val="auto"/>
                <w:spacing w:val="-10"/>
                <w:sz w:val="24"/>
              </w:rPr>
              <w:t>一、废气</w:t>
            </w:r>
          </w:p>
          <w:p>
            <w:pPr>
              <w:keepNext w:val="0"/>
              <w:keepLines w:val="0"/>
              <w:pageBreakBefore w:val="0"/>
              <w:tabs>
                <w:tab w:val="left" w:pos="294"/>
              </w:tabs>
              <w:kinsoku/>
              <w:wordWrap/>
              <w:overflowPunct/>
              <w:topLinePunct w:val="0"/>
              <w:bidi w:val="0"/>
              <w:adjustRightInd w:val="0"/>
              <w:snapToGrid w:val="0"/>
              <w:spacing w:beforeAutospacing="0" w:afterAutospacing="0" w:line="360" w:lineRule="auto"/>
              <w:ind w:left="0" w:leftChars="0" w:right="0" w:rightChars="0" w:firstLine="440" w:firstLineChars="200"/>
              <w:outlineLvl w:val="9"/>
              <w:rPr>
                <w:rFonts w:hint="default" w:ascii="Times New Roman" w:hAnsi="Times New Roman" w:eastAsia="宋体" w:cs="Times New Roman"/>
                <w:bCs/>
                <w:color w:val="auto"/>
                <w:spacing w:val="-10"/>
                <w:sz w:val="24"/>
              </w:rPr>
            </w:pPr>
            <w:r>
              <w:rPr>
                <w:rFonts w:hint="default" w:ascii="Times New Roman" w:hAnsi="Times New Roman" w:eastAsia="宋体" w:cs="Times New Roman"/>
                <w:bCs/>
                <w:color w:val="auto"/>
                <w:spacing w:val="-10"/>
                <w:sz w:val="24"/>
              </w:rPr>
              <w:t>项目运营后废气主要为生产车间粉尘，化验室废气、锅炉烟气及食堂油烟。</w:t>
            </w:r>
          </w:p>
          <w:p>
            <w:pPr>
              <w:keepNext w:val="0"/>
              <w:keepLines w:val="0"/>
              <w:pageBreakBefore w:val="0"/>
              <w:tabs>
                <w:tab w:val="left" w:pos="294"/>
              </w:tabs>
              <w:kinsoku/>
              <w:wordWrap/>
              <w:overflowPunct/>
              <w:topLinePunct w:val="0"/>
              <w:bidi w:val="0"/>
              <w:adjustRightInd w:val="0"/>
              <w:snapToGrid w:val="0"/>
              <w:spacing w:beforeAutospacing="0" w:afterAutospacing="0" w:line="360" w:lineRule="auto"/>
              <w:ind w:left="0" w:leftChars="0" w:right="0" w:rightChars="0" w:firstLine="442" w:firstLineChars="200"/>
              <w:outlineLvl w:val="9"/>
              <w:rPr>
                <w:rFonts w:hint="default" w:ascii="Times New Roman" w:hAnsi="Times New Roman" w:eastAsia="宋体" w:cs="Times New Roman"/>
                <w:b/>
                <w:color w:val="auto"/>
                <w:spacing w:val="-10"/>
                <w:sz w:val="24"/>
              </w:rPr>
            </w:pPr>
            <w:r>
              <w:rPr>
                <w:rFonts w:hint="default" w:ascii="Times New Roman" w:hAnsi="Times New Roman" w:eastAsia="宋体" w:cs="Times New Roman"/>
                <w:b/>
                <w:color w:val="auto"/>
                <w:spacing w:val="-10"/>
                <w:sz w:val="24"/>
              </w:rPr>
              <w:t>1、废气源强</w:t>
            </w:r>
          </w:p>
          <w:p>
            <w:pPr>
              <w:keepNext w:val="0"/>
              <w:keepLines w:val="0"/>
              <w:pageBreakBefore w:val="0"/>
              <w:kinsoku/>
              <w:wordWrap/>
              <w:overflowPunct/>
              <w:topLinePunct w:val="0"/>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（1）车间粉尘</w:t>
            </w:r>
          </w:p>
          <w:p>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本项目卸料、投料、筛分、粉碎、混合、制粒、打包过程会产生粉尘。具体产生情况如下：</w:t>
            </w:r>
          </w:p>
          <w:p>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snapToGrid w:val="0"/>
                <w:color w:val="auto"/>
                <w:kern w:val="0"/>
                <w:sz w:val="24"/>
              </w:rPr>
            </w:pPr>
            <w:r>
              <w:rPr>
                <w:rFonts w:hint="default" w:ascii="Times New Roman" w:hAnsi="Times New Roman" w:eastAsia="宋体" w:cs="Times New Roman"/>
                <w:snapToGrid w:val="0"/>
                <w:color w:val="auto"/>
                <w:kern w:val="0"/>
                <w:sz w:val="24"/>
              </w:rPr>
              <w:t>1）卸料粉尘</w:t>
            </w:r>
          </w:p>
          <w:p>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根据《逸散性工业粉尘控制技术》中谷物贮仓，卡车装卸粉尘系数为0.</w:t>
            </w:r>
            <w:r>
              <w:rPr>
                <w:rFonts w:hint="eastAsia" w:cs="Times New Roman"/>
                <w:color w:val="auto"/>
                <w:sz w:val="24"/>
                <w:lang w:val="en-US" w:eastAsia="zh-CN"/>
              </w:rPr>
              <w:t>1</w:t>
            </w:r>
            <w:r>
              <w:rPr>
                <w:rFonts w:hint="default" w:ascii="Times New Roman" w:hAnsi="Times New Roman" w:eastAsia="宋体" w:cs="Times New Roman"/>
                <w:color w:val="auto"/>
                <w:sz w:val="24"/>
              </w:rPr>
              <w:t>kg/t（卸料）。</w:t>
            </w:r>
            <w:r>
              <w:rPr>
                <w:rFonts w:hint="eastAsia" w:cs="Times New Roman"/>
                <w:color w:val="auto"/>
                <w:sz w:val="24"/>
                <w:lang w:val="en-US" w:eastAsia="zh-CN"/>
              </w:rPr>
              <w:t>本项目</w:t>
            </w:r>
            <w:r>
              <w:rPr>
                <w:rFonts w:hint="default" w:ascii="Times New Roman" w:hAnsi="Times New Roman" w:eastAsia="宋体" w:cs="Times New Roman"/>
                <w:color w:val="auto"/>
                <w:sz w:val="24"/>
              </w:rPr>
              <w:t>卸料过程</w:t>
            </w:r>
            <w:r>
              <w:rPr>
                <w:rFonts w:hint="eastAsia" w:cs="Times New Roman"/>
                <w:color w:val="auto"/>
                <w:sz w:val="24"/>
                <w:lang w:val="en-US" w:eastAsia="zh-CN"/>
              </w:rPr>
              <w:t>车间门</w:t>
            </w:r>
            <w:r>
              <w:rPr>
                <w:rFonts w:hint="default" w:ascii="Times New Roman" w:hAnsi="Times New Roman" w:eastAsia="宋体" w:cs="Times New Roman"/>
                <w:color w:val="auto"/>
                <w:sz w:val="24"/>
              </w:rPr>
              <w:t>密闭，</w:t>
            </w:r>
            <w:r>
              <w:rPr>
                <w:rFonts w:hint="eastAsia" w:cs="Times New Roman"/>
                <w:color w:val="auto"/>
                <w:sz w:val="24"/>
                <w:lang w:val="en-US" w:eastAsia="zh-CN"/>
              </w:rPr>
              <w:t>在周围设置围挡措施</w:t>
            </w:r>
            <w:r>
              <w:rPr>
                <w:rFonts w:hint="default" w:ascii="Times New Roman" w:hAnsi="Times New Roman" w:eastAsia="宋体" w:cs="Times New Roman"/>
                <w:color w:val="auto"/>
                <w:sz w:val="24"/>
              </w:rPr>
              <w:t>，</w:t>
            </w:r>
            <w:r>
              <w:rPr>
                <w:rFonts w:hint="eastAsia" w:cs="Times New Roman"/>
                <w:color w:val="auto"/>
                <w:sz w:val="24"/>
                <w:lang w:val="en-US" w:eastAsia="zh-CN"/>
              </w:rPr>
              <w:t>可有效阻止90%粉尘外逸，</w:t>
            </w:r>
            <w:r>
              <w:rPr>
                <w:rFonts w:hint="default" w:ascii="Times New Roman" w:hAnsi="Times New Roman" w:eastAsia="宋体" w:cs="Times New Roman"/>
                <w:color w:val="auto"/>
                <w:sz w:val="24"/>
              </w:rPr>
              <w:t>处理后卸料工序总粉尘排放量为0.</w:t>
            </w:r>
            <w:r>
              <w:rPr>
                <w:rFonts w:hint="eastAsia" w:cs="Times New Roman"/>
                <w:color w:val="auto"/>
                <w:sz w:val="24"/>
                <w:lang w:val="en-US" w:eastAsia="zh-CN"/>
              </w:rPr>
              <w:t>084</w:t>
            </w:r>
            <w:r>
              <w:rPr>
                <w:rFonts w:hint="default" w:ascii="Times New Roman" w:hAnsi="Times New Roman" w:eastAsia="宋体" w:cs="Times New Roman"/>
                <w:color w:val="auto"/>
                <w:sz w:val="24"/>
              </w:rPr>
              <w:t xml:space="preserve"> t/a。</w:t>
            </w:r>
          </w:p>
          <w:p>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snapToGrid w:val="0"/>
                <w:color w:val="auto"/>
                <w:kern w:val="0"/>
                <w:sz w:val="24"/>
              </w:rPr>
            </w:pPr>
            <w:r>
              <w:rPr>
                <w:rFonts w:hint="default" w:ascii="Times New Roman" w:hAnsi="Times New Roman" w:eastAsia="宋体" w:cs="Times New Roman"/>
                <w:snapToGrid w:val="0"/>
                <w:color w:val="auto"/>
                <w:kern w:val="0"/>
                <w:sz w:val="24"/>
              </w:rPr>
              <w:t>2）</w:t>
            </w:r>
            <w:r>
              <w:rPr>
                <w:rFonts w:hint="default" w:ascii="Times New Roman" w:hAnsi="Times New Roman" w:eastAsia="宋体" w:cs="Times New Roman"/>
                <w:color w:val="auto"/>
                <w:sz w:val="24"/>
              </w:rPr>
              <w:t>投料工序粉尘</w:t>
            </w:r>
          </w:p>
          <w:p>
            <w:pPr>
              <w:keepNext w:val="0"/>
              <w:keepLines w:val="0"/>
              <w:pageBreakBefore w:val="0"/>
              <w:widowControl/>
              <w:kinsoku/>
              <w:wordWrap/>
              <w:overflowPunct/>
              <w:topLinePunct w:val="0"/>
              <w:autoSpaceDE/>
              <w:autoSpaceDN/>
              <w:bidi w:val="0"/>
              <w:adjustRightInd w:val="0"/>
              <w:snapToGrid w:val="0"/>
              <w:spacing w:beforeAutospacing="0" w:after="0" w:afterAutospacing="0" w:line="360" w:lineRule="auto"/>
              <w:ind w:left="0" w:leftChars="0" w:right="0" w:rightChars="0" w:firstLine="480" w:firstLineChars="200"/>
              <w:textAlignment w:val="auto"/>
              <w:rPr>
                <w:rFonts w:hint="default" w:ascii="Times New Roman" w:hAnsi="Times New Roman" w:eastAsia="宋体" w:cs="Times New Roman"/>
                <w:b/>
                <w:bCs w:val="0"/>
                <w:color w:val="auto"/>
                <w:sz w:val="24"/>
                <w:lang w:val="en-US" w:eastAsia="zh-CN"/>
              </w:rPr>
            </w:pPr>
            <w:r>
              <w:rPr>
                <w:rFonts w:hint="default" w:ascii="Times New Roman" w:hAnsi="Times New Roman" w:eastAsia="宋体" w:cs="Times New Roman"/>
                <w:snapToGrid w:val="0"/>
                <w:color w:val="auto"/>
                <w:kern w:val="0"/>
                <w:sz w:val="24"/>
              </w:rPr>
              <w:t>项目</w:t>
            </w:r>
            <w:r>
              <w:rPr>
                <w:rFonts w:hint="default" w:ascii="Times New Roman" w:hAnsi="Times New Roman" w:eastAsia="宋体" w:cs="Times New Roman"/>
                <w:color w:val="auto"/>
                <w:sz w:val="24"/>
              </w:rPr>
              <w:t>投料工序粉尘</w:t>
            </w:r>
            <w:r>
              <w:rPr>
                <w:rFonts w:hint="default" w:ascii="Times New Roman" w:hAnsi="Times New Roman" w:eastAsia="宋体" w:cs="Times New Roman"/>
                <w:bCs/>
                <w:color w:val="auto"/>
                <w:sz w:val="24"/>
                <w:szCs w:val="18"/>
              </w:rPr>
              <w:t>源强类比《</w:t>
            </w:r>
            <w:r>
              <w:rPr>
                <w:rFonts w:hint="eastAsia" w:cs="Times New Roman"/>
                <w:bCs/>
                <w:color w:val="auto"/>
                <w:sz w:val="24"/>
                <w:szCs w:val="18"/>
                <w:lang w:eastAsia="zh-CN"/>
              </w:rPr>
              <w:t>白水牧原农牧有限公司雷村分场年加工6万吨饲料项目</w:t>
            </w:r>
            <w:r>
              <w:rPr>
                <w:rFonts w:hint="default" w:ascii="Times New Roman" w:hAnsi="Times New Roman" w:eastAsia="宋体" w:cs="Times New Roman"/>
                <w:bCs/>
                <w:color w:val="auto"/>
                <w:sz w:val="24"/>
                <w:szCs w:val="18"/>
              </w:rPr>
              <w:t>建设项目竣工环境保护验收监测报告表》中的监测数据的最大值</w:t>
            </w:r>
            <w:r>
              <w:rPr>
                <w:rFonts w:hint="default" w:ascii="Times New Roman" w:hAnsi="Times New Roman" w:eastAsia="宋体" w:cs="Times New Roman"/>
                <w:bCs/>
                <w:color w:val="auto"/>
                <w:sz w:val="24"/>
              </w:rPr>
              <w:t>。</w:t>
            </w:r>
            <w:r>
              <w:rPr>
                <w:rFonts w:hint="eastAsia" w:cs="Times New Roman"/>
                <w:bCs/>
                <w:color w:val="auto"/>
                <w:sz w:val="24"/>
                <w:lang w:val="en-US" w:eastAsia="zh-CN"/>
              </w:rPr>
              <w:t>本项目</w:t>
            </w:r>
            <w:r>
              <w:rPr>
                <w:rFonts w:hint="default" w:ascii="Times New Roman" w:hAnsi="Times New Roman" w:eastAsia="宋体" w:cs="Times New Roman"/>
                <w:bCs/>
                <w:color w:val="auto"/>
                <w:sz w:val="24"/>
                <w:lang w:val="en-US" w:eastAsia="zh-CN"/>
              </w:rPr>
              <w:t>投料工序设置</w:t>
            </w:r>
            <w:r>
              <w:rPr>
                <w:rFonts w:hint="eastAsia" w:ascii="Times New Roman" w:hAnsi="Times New Roman" w:eastAsia="宋体" w:cs="Times New Roman"/>
                <w:bCs/>
                <w:color w:val="auto"/>
                <w:sz w:val="24"/>
                <w:lang w:val="en-US" w:eastAsia="zh-CN"/>
              </w:rPr>
              <w:t>三</w:t>
            </w:r>
            <w:r>
              <w:rPr>
                <w:rFonts w:hint="default" w:ascii="Times New Roman" w:hAnsi="Times New Roman" w:eastAsia="宋体" w:cs="Times New Roman"/>
                <w:bCs/>
                <w:color w:val="auto"/>
                <w:sz w:val="24"/>
                <w:lang w:val="en-US" w:eastAsia="zh-CN"/>
              </w:rPr>
              <w:t>个投料口，</w:t>
            </w:r>
            <w:r>
              <w:rPr>
                <w:rFonts w:hint="eastAsia" w:ascii="Times New Roman" w:hAnsi="Times New Roman" w:eastAsia="宋体" w:cs="Times New Roman"/>
                <w:bCs/>
                <w:color w:val="auto"/>
                <w:sz w:val="24"/>
                <w:lang w:val="en-US" w:eastAsia="zh-CN"/>
              </w:rPr>
              <w:t>经类比本项目粉尘产生速率均为</w:t>
            </w:r>
            <w:r>
              <w:rPr>
                <w:rFonts w:hint="eastAsia" w:cs="Times New Roman"/>
                <w:bCs/>
                <w:color w:val="auto"/>
                <w:sz w:val="24"/>
                <w:lang w:val="en-US" w:eastAsia="zh-CN"/>
              </w:rPr>
              <w:t>1.46</w:t>
            </w:r>
            <w:r>
              <w:rPr>
                <w:rFonts w:hint="eastAsia" w:ascii="Times New Roman" w:hAnsi="Times New Roman" w:eastAsia="宋体" w:cs="Times New Roman"/>
                <w:bCs/>
                <w:color w:val="auto"/>
                <w:sz w:val="24"/>
                <w:lang w:val="en-US" w:eastAsia="zh-CN"/>
              </w:rPr>
              <w:t>kg/h，投料口产尘量共为</w:t>
            </w:r>
            <w:r>
              <w:rPr>
                <w:rFonts w:hint="eastAsia" w:cs="Times New Roman"/>
                <w:bCs/>
                <w:color w:val="auto"/>
                <w:sz w:val="24"/>
                <w:lang w:val="en-US" w:eastAsia="zh-CN"/>
              </w:rPr>
              <w:t>27.3</w:t>
            </w:r>
            <w:r>
              <w:rPr>
                <w:rFonts w:hint="eastAsia" w:ascii="Times New Roman" w:hAnsi="Times New Roman" w:eastAsia="宋体" w:cs="Times New Roman"/>
                <w:bCs/>
                <w:color w:val="auto"/>
                <w:sz w:val="24"/>
                <w:lang w:val="en-US" w:eastAsia="zh-CN"/>
              </w:rPr>
              <w:t>t/a。集气罩收集后（收集效率90%）粉尘产粉尘产生速率均为</w:t>
            </w:r>
            <w:r>
              <w:rPr>
                <w:rFonts w:hint="eastAsia" w:cs="Times New Roman"/>
                <w:bCs/>
                <w:color w:val="auto"/>
                <w:sz w:val="24"/>
                <w:lang w:val="en-US" w:eastAsia="zh-CN"/>
              </w:rPr>
              <w:t>1.31</w:t>
            </w:r>
            <w:r>
              <w:rPr>
                <w:rFonts w:hint="eastAsia" w:ascii="Times New Roman" w:hAnsi="Times New Roman" w:eastAsia="宋体" w:cs="Times New Roman"/>
                <w:bCs/>
                <w:color w:val="auto"/>
                <w:sz w:val="24"/>
                <w:lang w:val="en-US" w:eastAsia="zh-CN"/>
              </w:rPr>
              <w:t>kg/h</w:t>
            </w:r>
            <w:r>
              <w:rPr>
                <w:rFonts w:hint="default" w:ascii="Times New Roman" w:hAnsi="Times New Roman" w:eastAsia="宋体" w:cs="Times New Roman"/>
                <w:bCs/>
                <w:color w:val="auto"/>
                <w:sz w:val="24"/>
                <w:lang w:val="en-US" w:eastAsia="zh-CN"/>
              </w:rPr>
              <w:t>，</w:t>
            </w:r>
            <w:r>
              <w:rPr>
                <w:rFonts w:hint="eastAsia" w:ascii="Times New Roman" w:hAnsi="Times New Roman" w:eastAsia="宋体" w:cs="Times New Roman"/>
                <w:bCs/>
                <w:color w:val="auto"/>
                <w:sz w:val="24"/>
                <w:lang w:val="en-US" w:eastAsia="zh-CN"/>
              </w:rPr>
              <w:t>未被收集的粉尘在厂房内无组织</w:t>
            </w:r>
            <w:r>
              <w:rPr>
                <w:rFonts w:hint="default" w:ascii="Times New Roman" w:hAnsi="Times New Roman" w:eastAsia="宋体" w:cs="Times New Roman"/>
                <w:bCs/>
                <w:color w:val="auto"/>
                <w:sz w:val="24"/>
                <w:lang w:val="en-US" w:eastAsia="zh-CN"/>
              </w:rPr>
              <w:t>排放</w:t>
            </w:r>
            <w:r>
              <w:rPr>
                <w:rFonts w:hint="eastAsia" w:ascii="Times New Roman" w:hAnsi="Times New Roman" w:eastAsia="宋体" w:cs="Times New Roman"/>
                <w:bCs/>
                <w:color w:val="auto"/>
                <w:sz w:val="24"/>
                <w:lang w:val="en-US" w:eastAsia="zh-CN"/>
              </w:rPr>
              <w:t>，排放量</w:t>
            </w:r>
            <w:r>
              <w:rPr>
                <w:rFonts w:hint="eastAsia" w:cs="Times New Roman"/>
                <w:bCs/>
                <w:color w:val="auto"/>
                <w:sz w:val="24"/>
                <w:lang w:val="en-US" w:eastAsia="zh-CN"/>
              </w:rPr>
              <w:t>2.73</w:t>
            </w:r>
            <w:r>
              <w:rPr>
                <w:rFonts w:hint="eastAsia" w:ascii="Times New Roman" w:hAnsi="Times New Roman" w:eastAsia="宋体" w:cs="Times New Roman"/>
                <w:bCs/>
                <w:color w:val="auto"/>
                <w:sz w:val="24"/>
                <w:lang w:val="en-US" w:eastAsia="zh-CN"/>
              </w:rPr>
              <w:t>t/a。被收集的废气经脉冲式布袋除尘器（处理效率99%）处理后，在密闭厂房内排放，排放量共为</w:t>
            </w:r>
            <w:r>
              <w:rPr>
                <w:rFonts w:hint="eastAsia" w:cs="Times New Roman"/>
                <w:bCs/>
                <w:color w:val="auto"/>
                <w:sz w:val="24"/>
                <w:lang w:val="en-US" w:eastAsia="zh-CN"/>
              </w:rPr>
              <w:t>0.25</w:t>
            </w:r>
            <w:r>
              <w:rPr>
                <w:rFonts w:hint="eastAsia" w:ascii="Times New Roman" w:hAnsi="Times New Roman" w:eastAsia="宋体" w:cs="Times New Roman"/>
                <w:bCs/>
                <w:color w:val="auto"/>
                <w:sz w:val="24"/>
                <w:lang w:val="en-US" w:eastAsia="zh-CN"/>
              </w:rPr>
              <w:t>t/a</w:t>
            </w:r>
            <w:r>
              <w:rPr>
                <w:rFonts w:hint="default" w:ascii="Times New Roman" w:hAnsi="Times New Roman" w:eastAsia="宋体" w:cs="Times New Roman"/>
                <w:bCs/>
                <w:color w:val="auto"/>
                <w:sz w:val="24"/>
                <w:lang w:val="en-US" w:eastAsia="zh-CN"/>
              </w:rPr>
              <w:t>。</w:t>
            </w:r>
            <w:r>
              <w:rPr>
                <w:rFonts w:hint="eastAsia" w:ascii="Times New Roman" w:hAnsi="Times New Roman" w:eastAsia="宋体" w:cs="Times New Roman"/>
                <w:bCs/>
                <w:color w:val="auto"/>
                <w:sz w:val="24"/>
                <w:lang w:val="en-US" w:eastAsia="zh-CN"/>
              </w:rPr>
              <w:t>则预混车间投料口、主车间2条产线投料口无组织排放量共为</w:t>
            </w:r>
            <w:r>
              <w:rPr>
                <w:rFonts w:hint="eastAsia" w:cs="Times New Roman"/>
                <w:bCs/>
                <w:color w:val="auto"/>
                <w:sz w:val="24"/>
                <w:lang w:val="en-US" w:eastAsia="zh-CN"/>
              </w:rPr>
              <w:t>2.98</w:t>
            </w:r>
            <w:r>
              <w:rPr>
                <w:rFonts w:hint="eastAsia" w:ascii="Times New Roman" w:hAnsi="Times New Roman" w:eastAsia="宋体" w:cs="Times New Roman"/>
                <w:bCs/>
                <w:color w:val="auto"/>
                <w:sz w:val="24"/>
                <w:lang w:val="en-US" w:eastAsia="zh-CN"/>
              </w:rPr>
              <w:t>t/a。</w:t>
            </w:r>
          </w:p>
          <w:p>
            <w:pPr>
              <w:keepNext w:val="0"/>
              <w:keepLines w:val="0"/>
              <w:pageBreakBefore w:val="0"/>
              <w:numPr>
                <w:ilvl w:val="0"/>
                <w:numId w:val="9"/>
              </w:numPr>
              <w:kinsoku/>
              <w:wordWrap/>
              <w:overflowPunct/>
              <w:topLinePunct w:val="0"/>
              <w:bidi w:val="0"/>
              <w:spacing w:beforeAutospacing="0" w:afterAutospacing="0" w:line="360" w:lineRule="auto"/>
              <w:ind w:left="0" w:leftChars="0" w:right="0" w:rightChars="0" w:firstLine="480" w:firstLineChars="200"/>
              <w:outlineLvl w:val="9"/>
              <w:rPr>
                <w:rFonts w:hint="eastAsia" w:cs="Times New Roman"/>
                <w:color w:val="auto"/>
                <w:sz w:val="24"/>
                <w:lang w:val="en-US" w:eastAsia="zh-CN"/>
              </w:rPr>
            </w:pPr>
            <w:r>
              <w:rPr>
                <w:rFonts w:hint="default" w:ascii="Times New Roman" w:hAnsi="Times New Roman" w:eastAsia="宋体" w:cs="Times New Roman"/>
                <w:color w:val="auto"/>
                <w:sz w:val="24"/>
              </w:rPr>
              <w:t>粉碎、混合、制粒</w:t>
            </w:r>
            <w:r>
              <w:rPr>
                <w:rFonts w:hint="eastAsia" w:cs="Times New Roman"/>
                <w:color w:val="auto"/>
                <w:sz w:val="24"/>
                <w:lang w:val="en-US" w:eastAsia="zh-CN"/>
              </w:rPr>
              <w:t>工序粉尘</w:t>
            </w:r>
          </w:p>
          <w:p>
            <w:pPr>
              <w:pStyle w:val="17"/>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after="0" w:line="360" w:lineRule="auto"/>
              <w:ind w:leftChars="0" w:firstLine="480" w:firstLineChars="200"/>
              <w:textAlignment w:val="baseline"/>
              <w:rPr>
                <w:rFonts w:hint="default" w:ascii="Times New Roman" w:hAnsi="Times New Roman" w:eastAsia="宋体" w:cs="Times New Roman"/>
                <w:bCs/>
                <w:color w:val="auto"/>
                <w:sz w:val="24"/>
                <w:lang w:val="en-US" w:eastAsia="zh-CN"/>
              </w:rPr>
            </w:pPr>
            <w:r>
              <w:rPr>
                <w:rFonts w:hint="eastAsia"/>
                <w:lang w:val="en-US" w:eastAsia="zh-CN"/>
              </w:rPr>
              <w:t>本根据</w:t>
            </w:r>
            <w:r>
              <w:rPr>
                <w:rFonts w:hint="eastAsia"/>
                <w:sz w:val="24"/>
              </w:rPr>
              <w:t>《第二次全国污染源普查产排污量核算系数手册》</w:t>
            </w:r>
            <w:r>
              <w:rPr>
                <w:rFonts w:hint="default" w:ascii="Times New Roman" w:hAnsi="Times New Roman" w:cs="Times New Roman"/>
                <w:sz w:val="24"/>
              </w:rPr>
              <w:t>—132</w:t>
            </w:r>
            <w:r>
              <w:rPr>
                <w:rFonts w:hint="eastAsia"/>
                <w:sz w:val="24"/>
              </w:rPr>
              <w:t>饲料加工行业系数手册</w:t>
            </w:r>
            <w:r>
              <w:rPr>
                <w:rFonts w:hint="eastAsia"/>
                <w:sz w:val="24"/>
                <w:lang w:val="en-US" w:eastAsia="zh-CN"/>
              </w:rPr>
              <w:t>中产物系数表计算</w:t>
            </w:r>
            <w:r>
              <w:rPr>
                <w:rFonts w:hint="default" w:ascii="Times New Roman" w:hAnsi="Times New Roman" w:eastAsia="宋体" w:cs="Times New Roman"/>
                <w:color w:val="auto"/>
                <w:sz w:val="24"/>
              </w:rPr>
              <w:t>粉碎、混合、制粒</w:t>
            </w:r>
            <w:r>
              <w:rPr>
                <w:rFonts w:hint="eastAsia" w:cs="Times New Roman"/>
                <w:color w:val="auto"/>
                <w:sz w:val="24"/>
                <w:lang w:val="en-US" w:eastAsia="zh-CN"/>
              </w:rPr>
              <w:t>工序粉尘，</w:t>
            </w:r>
            <w:r>
              <w:rPr>
                <w:rFonts w:hint="eastAsia" w:ascii="Times New Roman" w:hAnsi="Times New Roman" w:eastAsia="宋体" w:cs="Times New Roman"/>
                <w:bCs/>
                <w:color w:val="auto"/>
                <w:sz w:val="24"/>
                <w:lang w:val="en-US" w:eastAsia="zh-CN"/>
              </w:rPr>
              <w:t>粉尘排放量为0.41t/a，生产过程全密闭，</w:t>
            </w:r>
            <w:r>
              <w:rPr>
                <w:rFonts w:hint="eastAsia" w:cs="Times New Roman"/>
                <w:bCs/>
                <w:color w:val="auto"/>
                <w:sz w:val="24"/>
                <w:lang w:val="en-US" w:eastAsia="zh-CN"/>
              </w:rPr>
              <w:t>设置</w:t>
            </w:r>
            <w:r>
              <w:rPr>
                <w:rFonts w:hint="default" w:ascii="Times New Roman" w:hAnsi="Times New Roman" w:cs="Times New Roman"/>
                <w:bCs/>
                <w:color w:val="auto"/>
                <w:sz w:val="24"/>
                <w:lang w:val="en-US" w:eastAsia="zh-CN"/>
              </w:rPr>
              <w:t>2</w:t>
            </w:r>
            <w:r>
              <w:rPr>
                <w:rFonts w:hint="eastAsia" w:cs="Times New Roman"/>
                <w:bCs/>
                <w:color w:val="auto"/>
                <w:sz w:val="24"/>
                <w:lang w:val="en-US" w:eastAsia="zh-CN"/>
              </w:rPr>
              <w:t>条生产线，废气</w:t>
            </w:r>
            <w:r>
              <w:rPr>
                <w:rFonts w:hint="eastAsia" w:ascii="Times New Roman" w:hAnsi="Times New Roman" w:eastAsia="宋体" w:cs="Times New Roman"/>
                <w:bCs/>
                <w:color w:val="auto"/>
                <w:sz w:val="24"/>
                <w:lang w:val="en-US" w:eastAsia="zh-CN"/>
              </w:rPr>
              <w:t>经</w:t>
            </w:r>
            <w:r>
              <w:rPr>
                <w:rFonts w:hint="eastAsia" w:ascii="Times New Roman" w:hAnsi="Times New Roman" w:eastAsia="宋体" w:cs="Times New Roman"/>
                <w:bCs/>
                <w:color w:val="auto"/>
                <w:sz w:val="24"/>
                <w:lang w:eastAsia="zh-CN"/>
              </w:rPr>
              <w:t>脉冲式布袋除尘器</w:t>
            </w:r>
            <w:r>
              <w:rPr>
                <w:rFonts w:hint="default" w:ascii="Times New Roman" w:hAnsi="Times New Roman" w:eastAsia="宋体" w:cs="Times New Roman"/>
                <w:bCs/>
                <w:color w:val="auto"/>
                <w:sz w:val="24"/>
              </w:rPr>
              <w:t>（处理效率为99%）处理后</w:t>
            </w:r>
            <w:r>
              <w:rPr>
                <w:rFonts w:hint="eastAsia" w:ascii="Times New Roman" w:hAnsi="Times New Roman" w:eastAsia="宋体" w:cs="Times New Roman"/>
                <w:bCs/>
                <w:color w:val="auto"/>
                <w:sz w:val="24"/>
                <w:lang w:val="en-US" w:eastAsia="zh-CN"/>
              </w:rPr>
              <w:t>在车间内</w:t>
            </w:r>
            <w:r>
              <w:rPr>
                <w:rFonts w:hint="default" w:ascii="Times New Roman" w:hAnsi="Times New Roman" w:eastAsia="宋体" w:cs="Times New Roman"/>
                <w:bCs/>
                <w:color w:val="auto"/>
                <w:sz w:val="24"/>
              </w:rPr>
              <w:t>无组织排放</w:t>
            </w:r>
            <w:r>
              <w:rPr>
                <w:rFonts w:hint="eastAsia" w:ascii="Times New Roman" w:hAnsi="Times New Roman" w:eastAsia="宋体" w:cs="Times New Roman"/>
                <w:bCs/>
                <w:color w:val="auto"/>
                <w:sz w:val="24"/>
                <w:lang w:eastAsia="zh-CN"/>
              </w:rPr>
              <w:t>；</w:t>
            </w:r>
            <w:r>
              <w:rPr>
                <w:rFonts w:hint="eastAsia" w:cs="Times New Roman"/>
                <w:bCs/>
                <w:color w:val="auto"/>
                <w:sz w:val="24"/>
                <w:lang w:val="en-US" w:eastAsia="zh-CN"/>
              </w:rPr>
              <w:t>本工序</w:t>
            </w:r>
            <w:r>
              <w:rPr>
                <w:rFonts w:hint="eastAsia" w:ascii="Times New Roman" w:hAnsi="Times New Roman" w:eastAsia="宋体" w:cs="Times New Roman"/>
                <w:bCs/>
                <w:color w:val="auto"/>
                <w:sz w:val="24"/>
                <w:lang w:val="en-US" w:eastAsia="zh-CN"/>
              </w:rPr>
              <w:t>粉尘排放量</w:t>
            </w:r>
            <w:r>
              <w:rPr>
                <w:rFonts w:hint="eastAsia" w:cs="Times New Roman"/>
                <w:bCs/>
                <w:color w:val="auto"/>
                <w:sz w:val="24"/>
                <w:lang w:val="en-US" w:eastAsia="zh-CN"/>
              </w:rPr>
              <w:t>共</w:t>
            </w:r>
            <w:r>
              <w:rPr>
                <w:rFonts w:hint="eastAsia" w:ascii="Times New Roman" w:hAnsi="Times New Roman" w:eastAsia="宋体" w:cs="Times New Roman"/>
                <w:bCs/>
                <w:color w:val="auto"/>
                <w:sz w:val="24"/>
                <w:lang w:val="en-US" w:eastAsia="zh-CN"/>
              </w:rPr>
              <w:t>为0.004t/a。</w:t>
            </w:r>
          </w:p>
          <w:p>
            <w:pPr>
              <w:keepNext w:val="0"/>
              <w:keepLines w:val="0"/>
              <w:pageBreakBefore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bCs/>
                <w:color w:val="auto"/>
                <w:sz w:val="24"/>
              </w:rPr>
            </w:pPr>
            <w:r>
              <w:rPr>
                <w:rFonts w:hint="eastAsia" w:ascii="Times New Roman" w:hAnsi="Times New Roman" w:eastAsia="宋体" w:cs="Times New Roman"/>
                <w:bCs/>
                <w:color w:val="auto"/>
                <w:sz w:val="24"/>
                <w:lang w:val="en-US" w:eastAsia="zh-CN"/>
              </w:rPr>
              <w:t>4</w:t>
            </w:r>
            <w:r>
              <w:rPr>
                <w:rFonts w:hint="default" w:ascii="Times New Roman" w:hAnsi="Times New Roman" w:eastAsia="宋体" w:cs="Times New Roman"/>
                <w:bCs/>
                <w:color w:val="auto"/>
                <w:sz w:val="24"/>
              </w:rPr>
              <w:t>）包装工序产生的粉尘：</w:t>
            </w:r>
          </w:p>
          <w:p>
            <w:pPr>
              <w:keepNext w:val="0"/>
              <w:keepLines w:val="0"/>
              <w:pageBreakBefore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包装产品产生粉尘，粉尘</w:t>
            </w:r>
            <w:r>
              <w:rPr>
                <w:rFonts w:hint="default" w:ascii="Times New Roman" w:hAnsi="Times New Roman" w:eastAsia="宋体" w:cs="Times New Roman"/>
                <w:bCs/>
                <w:color w:val="auto"/>
                <w:sz w:val="24"/>
              </w:rPr>
              <w:t>类比《临沂群帮饲料有限公司年产30000吨饲料建设项目竣工环境保护验收监测报告》中包装工序的产生粉尘数据，</w:t>
            </w:r>
            <w:r>
              <w:rPr>
                <w:rFonts w:hint="eastAsia" w:cs="Times New Roman"/>
                <w:bCs/>
                <w:color w:val="auto"/>
                <w:sz w:val="24"/>
                <w:lang w:val="en-US" w:eastAsia="zh-CN"/>
              </w:rPr>
              <w:t>本项目两条生产线产生粉尘分别为</w:t>
            </w:r>
            <w:r>
              <w:rPr>
                <w:rFonts w:hint="eastAsia" w:cs="Times New Roman"/>
                <w:color w:val="auto"/>
                <w:sz w:val="24"/>
                <w:lang w:val="en-US" w:eastAsia="zh-CN"/>
              </w:rPr>
              <w:t>0.35</w:t>
            </w:r>
            <w:r>
              <w:rPr>
                <w:rFonts w:hint="default" w:ascii="Times New Roman" w:hAnsi="Times New Roman" w:eastAsia="宋体" w:cs="Times New Roman"/>
                <w:color w:val="auto"/>
                <w:sz w:val="24"/>
              </w:rPr>
              <w:t>kg/h</w:t>
            </w:r>
            <w:r>
              <w:rPr>
                <w:rFonts w:hint="eastAsia" w:cs="Times New Roman"/>
                <w:color w:val="auto"/>
                <w:sz w:val="24"/>
                <w:lang w:eastAsia="zh-CN"/>
              </w:rPr>
              <w:t>（</w:t>
            </w:r>
            <w:r>
              <w:rPr>
                <w:rFonts w:hint="eastAsia" w:cs="Times New Roman"/>
                <w:color w:val="auto"/>
                <w:sz w:val="24"/>
                <w:lang w:val="en-US" w:eastAsia="zh-CN"/>
              </w:rPr>
              <w:t>2.18</w:t>
            </w:r>
            <w:r>
              <w:rPr>
                <w:rFonts w:hint="default" w:ascii="Times New Roman" w:hAnsi="Times New Roman" w:eastAsia="宋体" w:cs="Times New Roman"/>
                <w:color w:val="auto"/>
                <w:sz w:val="24"/>
              </w:rPr>
              <w:t>t/a</w:t>
            </w:r>
            <w:r>
              <w:rPr>
                <w:rFonts w:hint="eastAsia" w:cs="Times New Roman"/>
                <w:color w:val="auto"/>
                <w:sz w:val="24"/>
                <w:lang w:eastAsia="zh-CN"/>
              </w:rPr>
              <w:t>）、</w:t>
            </w:r>
            <w:r>
              <w:rPr>
                <w:rFonts w:hint="eastAsia" w:cs="Times New Roman"/>
                <w:color w:val="auto"/>
                <w:sz w:val="24"/>
                <w:lang w:val="en-US" w:eastAsia="zh-CN"/>
              </w:rPr>
              <w:t>0.35</w:t>
            </w:r>
            <w:r>
              <w:rPr>
                <w:rFonts w:hint="default" w:ascii="Times New Roman" w:hAnsi="Times New Roman" w:eastAsia="宋体" w:cs="Times New Roman"/>
                <w:color w:val="auto"/>
                <w:sz w:val="24"/>
              </w:rPr>
              <w:t>kg/h</w:t>
            </w:r>
            <w:r>
              <w:rPr>
                <w:rFonts w:hint="eastAsia" w:cs="Times New Roman"/>
                <w:color w:val="auto"/>
                <w:sz w:val="24"/>
                <w:lang w:eastAsia="zh-CN"/>
              </w:rPr>
              <w:t>，</w:t>
            </w:r>
            <w:r>
              <w:rPr>
                <w:rFonts w:hint="eastAsia" w:cs="Times New Roman"/>
                <w:color w:val="auto"/>
                <w:sz w:val="24"/>
                <w:lang w:val="en-US" w:eastAsia="zh-CN"/>
              </w:rPr>
              <w:t>2.18</w:t>
            </w:r>
            <w:r>
              <w:rPr>
                <w:rFonts w:hint="default" w:ascii="Times New Roman" w:hAnsi="Times New Roman" w:eastAsia="宋体" w:cs="Times New Roman"/>
                <w:color w:val="auto"/>
                <w:sz w:val="24"/>
              </w:rPr>
              <w:t>t/a</w:t>
            </w:r>
            <w:r>
              <w:rPr>
                <w:rFonts w:hint="eastAsia" w:cs="Times New Roman"/>
                <w:color w:val="auto"/>
                <w:sz w:val="24"/>
                <w:lang w:eastAsia="zh-CN"/>
              </w:rPr>
              <w:t>；</w:t>
            </w:r>
            <w:r>
              <w:rPr>
                <w:rFonts w:hint="default" w:ascii="Times New Roman" w:hAnsi="Times New Roman" w:eastAsia="宋体" w:cs="Times New Roman"/>
                <w:color w:val="auto"/>
                <w:sz w:val="24"/>
              </w:rPr>
              <w:t>包装工序密闭，产生的粉尘</w:t>
            </w:r>
            <w:r>
              <w:rPr>
                <w:rFonts w:hint="default" w:ascii="Times New Roman" w:hAnsi="Times New Roman" w:eastAsia="宋体" w:cs="Times New Roman"/>
                <w:bCs/>
                <w:color w:val="auto"/>
                <w:sz w:val="24"/>
              </w:rPr>
              <w:t>经</w:t>
            </w:r>
            <w:r>
              <w:rPr>
                <w:rFonts w:hint="eastAsia" w:cs="Times New Roman"/>
                <w:bCs/>
                <w:color w:val="auto"/>
                <w:sz w:val="24"/>
                <w:lang w:val="en-US" w:eastAsia="zh-CN"/>
              </w:rPr>
              <w:t>2</w:t>
            </w:r>
            <w:r>
              <w:rPr>
                <w:rFonts w:hint="default" w:ascii="Times New Roman" w:hAnsi="Times New Roman" w:eastAsia="宋体" w:cs="Times New Roman"/>
                <w:bCs/>
                <w:color w:val="auto"/>
                <w:sz w:val="24"/>
              </w:rPr>
              <w:t>台</w:t>
            </w:r>
            <w:r>
              <w:rPr>
                <w:rFonts w:hint="eastAsia" w:cs="Times New Roman"/>
                <w:bCs/>
                <w:color w:val="auto"/>
                <w:sz w:val="24"/>
                <w:lang w:eastAsia="zh-CN"/>
              </w:rPr>
              <w:t>脉冲式布袋除尘器</w:t>
            </w:r>
            <w:r>
              <w:rPr>
                <w:rFonts w:hint="default" w:ascii="Times New Roman" w:hAnsi="Times New Roman" w:eastAsia="宋体" w:cs="Times New Roman"/>
                <w:bCs/>
                <w:color w:val="auto"/>
                <w:sz w:val="24"/>
              </w:rPr>
              <w:t>（处理效率为99%）处理后</w:t>
            </w:r>
            <w:r>
              <w:rPr>
                <w:rFonts w:hint="eastAsia" w:cs="Times New Roman"/>
                <w:bCs/>
                <w:color w:val="auto"/>
                <w:sz w:val="24"/>
                <w:lang w:val="en-US" w:eastAsia="zh-CN"/>
              </w:rPr>
              <w:t>在车间内</w:t>
            </w:r>
            <w:r>
              <w:rPr>
                <w:rFonts w:hint="default" w:ascii="Times New Roman" w:hAnsi="Times New Roman" w:eastAsia="宋体" w:cs="Times New Roman"/>
                <w:color w:val="auto"/>
                <w:sz w:val="24"/>
              </w:rPr>
              <w:t>无组织排放；</w:t>
            </w:r>
            <w:r>
              <w:rPr>
                <w:rFonts w:hint="default" w:ascii="Times New Roman" w:hAnsi="Times New Roman" w:eastAsia="宋体" w:cs="Times New Roman"/>
                <w:color w:val="auto"/>
                <w:sz w:val="24"/>
                <w:lang w:val="en-US" w:eastAsia="zh-CN"/>
              </w:rPr>
              <w:t>猪用饲料生产线</w:t>
            </w:r>
            <w:r>
              <w:rPr>
                <w:rFonts w:hint="eastAsia" w:ascii="Times New Roman" w:hAnsi="Times New Roman" w:eastAsia="宋体" w:cs="Times New Roman"/>
                <w:color w:val="auto"/>
                <w:sz w:val="24"/>
                <w:lang w:val="en-US" w:eastAsia="zh-CN"/>
              </w:rPr>
              <w:t>及</w:t>
            </w:r>
            <w:r>
              <w:rPr>
                <w:rFonts w:hint="default" w:ascii="Times New Roman" w:hAnsi="Times New Roman" w:eastAsia="宋体" w:cs="Times New Roman"/>
                <w:color w:val="auto"/>
                <w:sz w:val="24"/>
                <w:lang w:val="en-US" w:eastAsia="zh-CN"/>
              </w:rPr>
              <w:t>反刍饲料生产线</w:t>
            </w:r>
            <w:r>
              <w:rPr>
                <w:rFonts w:hint="default" w:ascii="Times New Roman" w:hAnsi="Times New Roman" w:eastAsia="宋体" w:cs="Times New Roman"/>
                <w:color w:val="auto"/>
                <w:sz w:val="24"/>
              </w:rPr>
              <w:t>粉尘排放量</w:t>
            </w:r>
            <w:r>
              <w:rPr>
                <w:rFonts w:hint="eastAsia" w:ascii="Times New Roman" w:hAnsi="Times New Roman" w:eastAsia="宋体" w:cs="Times New Roman"/>
                <w:color w:val="auto"/>
                <w:sz w:val="24"/>
                <w:lang w:val="en-US" w:eastAsia="zh-CN"/>
              </w:rPr>
              <w:t>共为</w:t>
            </w:r>
            <w:r>
              <w:rPr>
                <w:rFonts w:hint="default" w:ascii="Times New Roman" w:hAnsi="Times New Roman" w:eastAsia="宋体" w:cs="Times New Roman"/>
                <w:color w:val="auto"/>
                <w:sz w:val="24"/>
              </w:rPr>
              <w:t>0.0</w:t>
            </w:r>
            <w:r>
              <w:rPr>
                <w:rFonts w:hint="eastAsia" w:cs="Times New Roman"/>
                <w:color w:val="auto"/>
                <w:sz w:val="24"/>
                <w:lang w:val="en-US" w:eastAsia="zh-CN"/>
              </w:rPr>
              <w:t>4</w:t>
            </w:r>
            <w:r>
              <w:rPr>
                <w:rFonts w:hint="default" w:ascii="Times New Roman" w:hAnsi="Times New Roman" w:eastAsia="宋体" w:cs="Times New Roman"/>
                <w:color w:val="auto"/>
                <w:sz w:val="24"/>
              </w:rPr>
              <w:t>t/a。</w:t>
            </w:r>
          </w:p>
          <w:p>
            <w:pPr>
              <w:keepNext w:val="0"/>
              <w:keepLines w:val="0"/>
              <w:pageBreakBefore w:val="0"/>
              <w:kinsoku/>
              <w:wordWrap/>
              <w:overflowPunct/>
              <w:topLinePunct w:val="0"/>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本项目生产工序粉尘产生及排放情况见表4-2。</w:t>
            </w:r>
          </w:p>
          <w:p>
            <w:pPr>
              <w:pStyle w:val="14"/>
              <w:keepNext w:val="0"/>
              <w:keepLines w:val="0"/>
              <w:pageBreakBefore w:val="0"/>
              <w:kinsoku/>
              <w:wordWrap/>
              <w:overflowPunct/>
              <w:topLinePunct w:val="0"/>
              <w:bidi w:val="0"/>
              <w:spacing w:before="0" w:beforeAutospacing="0" w:after="0" w:afterAutospacing="0"/>
              <w:ind w:left="0" w:leftChars="0" w:right="0" w:rightChars="0"/>
              <w:jc w:val="center"/>
              <w:outlineLvl w:val="9"/>
              <w:rPr>
                <w:rFonts w:hint="default"/>
              </w:rPr>
            </w:pPr>
            <w:bookmarkStart w:id="50" w:name="_Toc23095"/>
            <w:r>
              <w:rPr>
                <w:rFonts w:hint="default" w:ascii="Times New Roman" w:hAnsi="Times New Roman" w:eastAsia="宋体" w:cs="Times New Roman"/>
                <w:b/>
                <w:bCs/>
                <w:snapToGrid w:val="0"/>
                <w:color w:val="auto"/>
              </w:rPr>
              <w:t>表4-2  粉尘产生情况表</w:t>
            </w:r>
            <w:bookmarkEnd w:id="50"/>
          </w:p>
          <w:tbl>
            <w:tblPr>
              <w:tblStyle w:val="19"/>
              <w:tblW w:w="791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1"/>
              <w:gridCol w:w="990"/>
              <w:gridCol w:w="615"/>
              <w:gridCol w:w="780"/>
              <w:gridCol w:w="1305"/>
              <w:gridCol w:w="780"/>
              <w:gridCol w:w="645"/>
              <w:gridCol w:w="765"/>
              <w:gridCol w:w="690"/>
              <w:gridCol w:w="7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611"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bookmarkStart w:id="51" w:name="_Toc21415"/>
                  <w:r>
                    <w:rPr>
                      <w:rFonts w:hint="default" w:ascii="Times New Roman" w:hAnsi="Times New Roman" w:eastAsia="宋体" w:cs="Times New Roman"/>
                      <w:color w:val="auto"/>
                      <w:kern w:val="0"/>
                      <w:sz w:val="18"/>
                      <w:szCs w:val="18"/>
                      <w:lang w:val="en-US" w:eastAsia="zh-CN"/>
                    </w:rPr>
                    <w:t>污染源</w:t>
                  </w:r>
                </w:p>
              </w:tc>
              <w:tc>
                <w:tcPr>
                  <w:tcW w:w="99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污染物</w:t>
                  </w:r>
                </w:p>
              </w:tc>
              <w:tc>
                <w:tcPr>
                  <w:tcW w:w="139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lang w:val="en-US" w:eastAsia="zh-CN"/>
                    </w:rPr>
                    <w:t>污染物产生</w:t>
                  </w:r>
                </w:p>
              </w:tc>
              <w:tc>
                <w:tcPr>
                  <w:tcW w:w="20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lang w:val="en-US" w:eastAsia="zh-CN"/>
                    </w:rPr>
                    <w:t>治理措施</w:t>
                  </w:r>
                </w:p>
              </w:tc>
              <w:tc>
                <w:tcPr>
                  <w:tcW w:w="2100"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lang w:val="en-US" w:eastAsia="zh-CN"/>
                    </w:rPr>
                    <w:t>污染物排放</w:t>
                  </w:r>
                </w:p>
              </w:tc>
              <w:tc>
                <w:tcPr>
                  <w:tcW w:w="73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p>
              </w:tc>
              <w:tc>
                <w:tcPr>
                  <w:tcW w:w="99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p>
              </w:tc>
              <w:tc>
                <w:tcPr>
                  <w:tcW w:w="6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核算方法</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产生量</w:t>
                  </w:r>
                  <w:r>
                    <w:rPr>
                      <w:rFonts w:hint="default" w:ascii="Times New Roman" w:hAnsi="Times New Roman" w:eastAsia="宋体" w:cs="Times New Roman"/>
                      <w:color w:val="auto"/>
                      <w:kern w:val="0"/>
                      <w:sz w:val="18"/>
                      <w:szCs w:val="18"/>
                    </w:rPr>
                    <w:t>kg/h</w:t>
                  </w:r>
                </w:p>
              </w:tc>
              <w:tc>
                <w:tcPr>
                  <w:tcW w:w="130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工艺</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效率</w:t>
                  </w:r>
                </w:p>
              </w:tc>
              <w:tc>
                <w:tcPr>
                  <w:tcW w:w="64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核算方法</w:t>
                  </w:r>
                </w:p>
              </w:tc>
              <w:tc>
                <w:tcPr>
                  <w:tcW w:w="76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排放速率</w:t>
                  </w:r>
                  <w:r>
                    <w:rPr>
                      <w:rFonts w:hint="default" w:ascii="Times New Roman" w:hAnsi="Times New Roman" w:eastAsia="宋体" w:cs="Times New Roman"/>
                      <w:color w:val="auto"/>
                      <w:kern w:val="0"/>
                      <w:sz w:val="18"/>
                      <w:szCs w:val="18"/>
                    </w:rPr>
                    <w:t>kg/h</w:t>
                  </w:r>
                </w:p>
              </w:tc>
              <w:tc>
                <w:tcPr>
                  <w:tcW w:w="6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排放量</w:t>
                  </w:r>
                  <w:r>
                    <w:rPr>
                      <w:rFonts w:hint="default" w:ascii="Times New Roman" w:hAnsi="Times New Roman" w:eastAsia="宋体" w:cs="Times New Roman"/>
                      <w:color w:val="auto"/>
                      <w:kern w:val="0"/>
                      <w:sz w:val="18"/>
                      <w:szCs w:val="18"/>
                    </w:rPr>
                    <w:t>t/a</w:t>
                  </w:r>
                </w:p>
              </w:tc>
              <w:tc>
                <w:tcPr>
                  <w:tcW w:w="730" w:type="dxa"/>
                  <w:vMerge w:val="continue"/>
                  <w:tcBorders>
                    <w:tl2br w:val="nil"/>
                    <w:tr2bl w:val="nil"/>
                  </w:tcBorders>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原料库</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颗粒物</w:t>
                  </w:r>
                </w:p>
              </w:tc>
              <w:tc>
                <w:tcPr>
                  <w:tcW w:w="6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产污系数</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0.135</w:t>
                  </w:r>
                </w:p>
              </w:tc>
              <w:tc>
                <w:tcPr>
                  <w:tcW w:w="130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车间密闭、设置围挡</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eastAsia="宋体" w:cs="Times New Roman"/>
                      <w:color w:val="auto"/>
                      <w:kern w:val="0"/>
                      <w:sz w:val="18"/>
                      <w:szCs w:val="18"/>
                      <w:lang w:eastAsia="zh-CN"/>
                    </w:rPr>
                    <w:t>除尘效率9</w:t>
                  </w:r>
                  <w:r>
                    <w:rPr>
                      <w:rFonts w:hint="default" w:ascii="Times New Roman" w:hAnsi="Times New Roman" w:eastAsia="宋体" w:cs="Times New Roman"/>
                      <w:color w:val="auto"/>
                      <w:kern w:val="0"/>
                      <w:sz w:val="18"/>
                      <w:szCs w:val="18"/>
                      <w:lang w:val="en-US" w:eastAsia="zh-CN"/>
                    </w:rPr>
                    <w:t>0</w:t>
                  </w:r>
                  <w:r>
                    <w:rPr>
                      <w:rFonts w:hint="default" w:ascii="Times New Roman" w:hAnsi="Times New Roman" w:eastAsia="宋体" w:cs="Times New Roman"/>
                      <w:color w:val="auto"/>
                      <w:kern w:val="0"/>
                      <w:sz w:val="18"/>
                      <w:szCs w:val="18"/>
                      <w:lang w:eastAsia="zh-CN"/>
                    </w:rPr>
                    <w:t>%</w:t>
                  </w:r>
                </w:p>
              </w:tc>
              <w:tc>
                <w:tcPr>
                  <w:tcW w:w="64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eastAsia="宋体" w:cs="Times New Roman"/>
                      <w:color w:val="auto"/>
                      <w:kern w:val="0"/>
                      <w:sz w:val="18"/>
                      <w:szCs w:val="18"/>
                      <w:lang w:eastAsia="zh-CN"/>
                    </w:rPr>
                    <w:t>产污系数</w:t>
                  </w:r>
                </w:p>
              </w:tc>
              <w:tc>
                <w:tcPr>
                  <w:tcW w:w="76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0.013</w:t>
                  </w:r>
                </w:p>
              </w:tc>
              <w:tc>
                <w:tcPr>
                  <w:tcW w:w="6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0.0</w:t>
                  </w:r>
                  <w:r>
                    <w:rPr>
                      <w:rFonts w:hint="eastAsia" w:ascii="Times New Roman" w:hAnsi="Times New Roman" w:eastAsia="宋体" w:cs="Times New Roman"/>
                      <w:color w:val="auto"/>
                      <w:kern w:val="0"/>
                      <w:sz w:val="18"/>
                      <w:szCs w:val="18"/>
                      <w:lang w:val="en-US" w:eastAsia="zh-CN"/>
                    </w:rPr>
                    <w:t>84</w:t>
                  </w:r>
                </w:p>
              </w:tc>
              <w:tc>
                <w:tcPr>
                  <w:tcW w:w="73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6240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投料口</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预混料生产线</w:t>
                  </w:r>
                  <w:r>
                    <w:rPr>
                      <w:rFonts w:hint="eastAsia" w:ascii="Times New Roman" w:hAnsi="Times New Roman" w:eastAsia="宋体" w:cs="Times New Roman"/>
                      <w:color w:val="auto"/>
                      <w:kern w:val="0"/>
                      <w:sz w:val="18"/>
                      <w:szCs w:val="18"/>
                      <w:lang w:val="en-US" w:eastAsia="zh-CN"/>
                    </w:rPr>
                    <w:t>+主车间2条生产线</w:t>
                  </w:r>
                </w:p>
              </w:tc>
              <w:tc>
                <w:tcPr>
                  <w:tcW w:w="6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类比法</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4.38</w:t>
                  </w:r>
                </w:p>
              </w:tc>
              <w:tc>
                <w:tcPr>
                  <w:tcW w:w="130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eastAsia="宋体" w:cs="Times New Roman"/>
                      <w:color w:val="auto"/>
                      <w:kern w:val="0"/>
                      <w:sz w:val="18"/>
                      <w:szCs w:val="18"/>
                      <w:lang w:val="en-US" w:eastAsia="zh-CN"/>
                    </w:rPr>
                    <w:t>1</w:t>
                  </w:r>
                  <w:r>
                    <w:rPr>
                      <w:rFonts w:hint="default" w:ascii="Times New Roman" w:hAnsi="Times New Roman" w:eastAsia="宋体" w:cs="Times New Roman"/>
                      <w:color w:val="auto"/>
                      <w:kern w:val="0"/>
                      <w:sz w:val="18"/>
                      <w:szCs w:val="18"/>
                      <w:lang w:eastAsia="zh-CN"/>
                    </w:rPr>
                    <w:t>套脉冲式布袋除尘器处理后无组织排放</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eastAsia="宋体" w:cs="Times New Roman"/>
                      <w:color w:val="auto"/>
                      <w:kern w:val="0"/>
                      <w:sz w:val="18"/>
                      <w:szCs w:val="18"/>
                      <w:lang w:eastAsia="zh-CN"/>
                    </w:rPr>
                    <w:t>除尘效率99%</w:t>
                  </w:r>
                </w:p>
              </w:tc>
              <w:tc>
                <w:tcPr>
                  <w:tcW w:w="64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eastAsia="宋体" w:cs="Times New Roman"/>
                      <w:color w:val="auto"/>
                      <w:kern w:val="0"/>
                      <w:sz w:val="18"/>
                      <w:szCs w:val="18"/>
                      <w:lang w:val="en-US" w:eastAsia="zh-CN"/>
                    </w:rPr>
                    <w:t>类比法</w:t>
                  </w:r>
                </w:p>
              </w:tc>
              <w:tc>
                <w:tcPr>
                  <w:tcW w:w="76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0.48</w:t>
                  </w:r>
                </w:p>
              </w:tc>
              <w:tc>
                <w:tcPr>
                  <w:tcW w:w="6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2.98</w:t>
                  </w:r>
                </w:p>
              </w:tc>
              <w:tc>
                <w:tcPr>
                  <w:tcW w:w="73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粉碎、混合、制粒</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主车间2条生产线</w:t>
                  </w:r>
                </w:p>
              </w:tc>
              <w:tc>
                <w:tcPr>
                  <w:tcW w:w="6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产物系数</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0.069</w:t>
                  </w:r>
                </w:p>
              </w:tc>
              <w:tc>
                <w:tcPr>
                  <w:tcW w:w="130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2</w:t>
                  </w:r>
                  <w:r>
                    <w:rPr>
                      <w:rFonts w:hint="default" w:ascii="Times New Roman" w:hAnsi="Times New Roman" w:eastAsia="宋体" w:cs="Times New Roman"/>
                      <w:color w:val="auto"/>
                      <w:kern w:val="0"/>
                      <w:sz w:val="18"/>
                      <w:szCs w:val="18"/>
                      <w:lang w:val="en-US" w:eastAsia="zh-CN"/>
                    </w:rPr>
                    <w:t>套</w:t>
                  </w:r>
                  <w:r>
                    <w:rPr>
                      <w:rFonts w:hint="eastAsia" w:ascii="Times New Roman" w:hAnsi="Times New Roman" w:eastAsia="宋体" w:cs="Times New Roman"/>
                      <w:color w:val="auto"/>
                      <w:kern w:val="0"/>
                      <w:sz w:val="18"/>
                      <w:szCs w:val="18"/>
                      <w:lang w:val="en-US" w:eastAsia="zh-CN"/>
                    </w:rPr>
                    <w:t>脉冲式布袋除尘器</w:t>
                  </w:r>
                  <w:r>
                    <w:rPr>
                      <w:rFonts w:hint="default" w:ascii="Times New Roman" w:hAnsi="Times New Roman" w:eastAsia="宋体" w:cs="Times New Roman"/>
                      <w:color w:val="auto"/>
                      <w:kern w:val="0"/>
                      <w:sz w:val="18"/>
                      <w:szCs w:val="18"/>
                      <w:lang w:val="en-US" w:eastAsia="zh-CN"/>
                    </w:rPr>
                    <w:t>处理后无组织排放</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除尘效率99%</w:t>
                  </w:r>
                </w:p>
              </w:tc>
              <w:tc>
                <w:tcPr>
                  <w:tcW w:w="64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产物系数</w:t>
                  </w:r>
                </w:p>
              </w:tc>
              <w:tc>
                <w:tcPr>
                  <w:tcW w:w="76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0.0006</w:t>
                  </w:r>
                </w:p>
              </w:tc>
              <w:tc>
                <w:tcPr>
                  <w:tcW w:w="6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0.004</w:t>
                  </w:r>
                </w:p>
              </w:tc>
              <w:tc>
                <w:tcPr>
                  <w:tcW w:w="73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包装</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猪用饲料生产线</w:t>
                  </w:r>
                  <w:r>
                    <w:rPr>
                      <w:rFonts w:hint="eastAsia" w:ascii="Times New Roman" w:hAnsi="Times New Roman" w:eastAsia="宋体" w:cs="Times New Roman"/>
                      <w:color w:val="auto"/>
                      <w:kern w:val="0"/>
                      <w:sz w:val="18"/>
                      <w:szCs w:val="18"/>
                      <w:lang w:val="en-US" w:eastAsia="zh-CN"/>
                    </w:rPr>
                    <w:t>+</w:t>
                  </w:r>
                  <w:r>
                    <w:rPr>
                      <w:rFonts w:hint="default" w:ascii="Times New Roman" w:hAnsi="Times New Roman" w:eastAsia="宋体" w:cs="Times New Roman"/>
                      <w:color w:val="auto"/>
                      <w:kern w:val="0"/>
                      <w:sz w:val="18"/>
                      <w:szCs w:val="18"/>
                      <w:lang w:val="en-US" w:eastAsia="zh-CN"/>
                    </w:rPr>
                    <w:t>反刍饲料生产线</w:t>
                  </w:r>
                </w:p>
              </w:tc>
              <w:tc>
                <w:tcPr>
                  <w:tcW w:w="61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lang w:val="en-US" w:eastAsia="zh-CN"/>
                    </w:rPr>
                    <w:t>类比法</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0.70</w:t>
                  </w:r>
                </w:p>
              </w:tc>
              <w:tc>
                <w:tcPr>
                  <w:tcW w:w="130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eastAsia="宋体" w:cs="Times New Roman"/>
                      <w:color w:val="auto"/>
                      <w:kern w:val="0"/>
                      <w:sz w:val="18"/>
                      <w:szCs w:val="18"/>
                      <w:lang w:val="en-US" w:eastAsia="zh-CN"/>
                    </w:rPr>
                    <w:t>1</w:t>
                  </w:r>
                  <w:r>
                    <w:rPr>
                      <w:rFonts w:hint="default" w:ascii="Times New Roman" w:hAnsi="Times New Roman" w:eastAsia="宋体" w:cs="Times New Roman"/>
                      <w:color w:val="auto"/>
                      <w:kern w:val="0"/>
                      <w:sz w:val="18"/>
                      <w:szCs w:val="18"/>
                      <w:lang w:eastAsia="zh-CN"/>
                    </w:rPr>
                    <w:t>套脉冲式布袋除尘器处理后无组织排放</w:t>
                  </w:r>
                </w:p>
              </w:tc>
              <w:tc>
                <w:tcPr>
                  <w:tcW w:w="78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eastAsia="宋体" w:cs="Times New Roman"/>
                      <w:color w:val="auto"/>
                      <w:kern w:val="0"/>
                      <w:sz w:val="18"/>
                      <w:szCs w:val="18"/>
                      <w:lang w:eastAsia="zh-CN"/>
                    </w:rPr>
                    <w:t>除尘效率99%</w:t>
                  </w:r>
                </w:p>
              </w:tc>
              <w:tc>
                <w:tcPr>
                  <w:tcW w:w="64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eastAsia="宋体" w:cs="Times New Roman"/>
                      <w:color w:val="auto"/>
                      <w:kern w:val="0"/>
                      <w:sz w:val="18"/>
                      <w:szCs w:val="18"/>
                      <w:lang w:val="en-US" w:eastAsia="zh-CN"/>
                    </w:rPr>
                    <w:t>类比法</w:t>
                  </w:r>
                </w:p>
              </w:tc>
              <w:tc>
                <w:tcPr>
                  <w:tcW w:w="76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0.0</w:t>
                  </w:r>
                  <w:r>
                    <w:rPr>
                      <w:rFonts w:hint="eastAsia" w:ascii="Times New Roman" w:hAnsi="Times New Roman" w:eastAsia="宋体" w:cs="Times New Roman"/>
                      <w:color w:val="auto"/>
                      <w:kern w:val="0"/>
                      <w:sz w:val="18"/>
                      <w:szCs w:val="18"/>
                      <w:lang w:val="en-US" w:eastAsia="zh-CN"/>
                    </w:rPr>
                    <w:t>06</w:t>
                  </w:r>
                </w:p>
              </w:tc>
              <w:tc>
                <w:tcPr>
                  <w:tcW w:w="6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0.04</w:t>
                  </w:r>
                </w:p>
              </w:tc>
              <w:tc>
                <w:tcPr>
                  <w:tcW w:w="73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rPr>
                  </w:pPr>
                </w:p>
              </w:tc>
            </w:tr>
          </w:tbl>
          <w:p>
            <w:pPr>
              <w:pStyle w:val="14"/>
              <w:keepNext w:val="0"/>
              <w:keepLines w:val="0"/>
              <w:pageBreakBefore w:val="0"/>
              <w:kinsoku/>
              <w:wordWrap/>
              <w:overflowPunct/>
              <w:topLinePunct w:val="0"/>
              <w:autoSpaceDE/>
              <w:autoSpaceDN/>
              <w:bidi w:val="0"/>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eastAsia="宋体" w:cs="Times New Roman"/>
                <w:b/>
                <w:bCs/>
                <w:snapToGrid w:val="0"/>
                <w:color w:val="auto"/>
              </w:rPr>
            </w:pPr>
            <w:r>
              <w:rPr>
                <w:rFonts w:hint="default" w:ascii="Times New Roman" w:hAnsi="Times New Roman" w:eastAsia="宋体" w:cs="Times New Roman"/>
                <w:color w:val="auto"/>
                <w:sz w:val="24"/>
              </w:rPr>
              <w:t>本项目生产车间密闭，经计算，本项目生产车间无组织粉尘总排放量为</w:t>
            </w:r>
            <w:r>
              <w:rPr>
                <w:rFonts w:hint="eastAsia" w:ascii="Times New Roman" w:hAnsi="Times New Roman" w:cs="Times New Roman"/>
                <w:color w:val="auto"/>
                <w:sz w:val="24"/>
                <w:lang w:val="en-US" w:eastAsia="zh-CN"/>
              </w:rPr>
              <w:t>3.108</w:t>
            </w:r>
            <w:r>
              <w:rPr>
                <w:rFonts w:hint="default" w:ascii="Times New Roman" w:hAnsi="Times New Roman" w:eastAsia="宋体" w:cs="Times New Roman"/>
                <w:color w:val="auto"/>
                <w:sz w:val="24"/>
              </w:rPr>
              <w:t>t/a。</w:t>
            </w:r>
            <w:bookmarkEnd w:id="51"/>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snapToGrid w:val="0"/>
                <w:color w:val="auto"/>
                <w:spacing w:val="0"/>
                <w:kern w:val="0"/>
                <w:sz w:val="24"/>
                <w:szCs w:val="20"/>
                <w:lang w:val="en-US" w:eastAsia="zh-CN" w:bidi="ar-SA"/>
              </w:rPr>
            </w:pPr>
            <w:r>
              <w:rPr>
                <w:rFonts w:hint="default" w:ascii="Times New Roman" w:hAnsi="Times New Roman" w:eastAsia="宋体" w:cs="Times New Roman"/>
                <w:snapToGrid w:val="0"/>
                <w:color w:val="auto"/>
                <w:spacing w:val="0"/>
                <w:kern w:val="0"/>
                <w:sz w:val="24"/>
                <w:szCs w:val="20"/>
                <w:lang w:val="en-US" w:eastAsia="zh-CN" w:bidi="ar-SA"/>
              </w:rPr>
              <w:t>（2）化验室废气</w:t>
            </w:r>
          </w:p>
          <w:p>
            <w:pPr>
              <w:pStyle w:val="16"/>
              <w:keepNext w:val="0"/>
              <w:keepLines w:val="0"/>
              <w:pageBreakBefore w:val="0"/>
              <w:widowControl/>
              <w:kinsoku/>
              <w:wordWrap w:val="0"/>
              <w:overflowPunct/>
              <w:topLinePunct w:val="0"/>
              <w:autoSpaceDE/>
              <w:autoSpaceDN/>
              <w:bidi w:val="0"/>
              <w:adjustRightInd/>
              <w:snapToGrid w:val="0"/>
              <w:spacing w:before="0" w:beforeAutospacing="0" w:after="0" w:afterAutospacing="0" w:line="360" w:lineRule="auto"/>
              <w:ind w:left="0" w:leftChars="0" w:right="0" w:rightChars="0" w:firstLine="480" w:firstLineChars="200"/>
              <w:textAlignment w:val="auto"/>
              <w:outlineLvl w:val="9"/>
              <w:rPr>
                <w:rFonts w:hint="default" w:ascii="Times New Roman" w:hAnsi="Times New Roman" w:eastAsia="宋体" w:cs="Times New Roman"/>
                <w:b/>
                <w:bCs/>
                <w:snapToGrid w:val="0"/>
                <w:color w:val="auto"/>
              </w:rPr>
            </w:pPr>
            <w:r>
              <w:rPr>
                <w:rFonts w:hint="default" w:ascii="Times New Roman" w:hAnsi="Times New Roman" w:eastAsia="宋体" w:cs="Times New Roman"/>
                <w:snapToGrid w:val="0"/>
                <w:color w:val="auto"/>
                <w:spacing w:val="0"/>
                <w:sz w:val="24"/>
              </w:rPr>
              <w:t>运营期产生的废气主要为化验过程产生的无机废气（硫酸雾）。</w:t>
            </w:r>
            <w:r>
              <w:rPr>
                <w:rFonts w:hint="eastAsia" w:cs="Times New Roman"/>
                <w:color w:val="auto"/>
                <w:sz w:val="24"/>
                <w:lang w:val="en-US" w:eastAsia="zh-CN"/>
              </w:rPr>
              <w:t>由于本项目硫酸用量少，日均产生硫酸雾的量很小，不对周围环境产生影响，所以</w:t>
            </w:r>
            <w:r>
              <w:rPr>
                <w:rFonts w:hint="default" w:ascii="Times New Roman" w:hAnsi="Times New Roman" w:eastAsia="宋体" w:cs="Times New Roman"/>
                <w:color w:val="auto"/>
                <w:sz w:val="24"/>
              </w:rPr>
              <w:t>项目化验室废气通过通风橱并在上方设</w:t>
            </w:r>
            <w:r>
              <w:rPr>
                <w:rFonts w:hint="eastAsia" w:cs="Times New Roman"/>
                <w:color w:val="auto"/>
                <w:sz w:val="24"/>
                <w:lang w:val="en-US" w:eastAsia="zh-CN"/>
              </w:rPr>
              <w:t>通风橱</w:t>
            </w:r>
            <w:r>
              <w:rPr>
                <w:rFonts w:hint="default" w:ascii="Times New Roman" w:hAnsi="Times New Roman" w:eastAsia="宋体" w:cs="Times New Roman"/>
                <w:color w:val="auto"/>
                <w:sz w:val="24"/>
              </w:rPr>
              <w:t>（年工作</w:t>
            </w:r>
            <w:r>
              <w:rPr>
                <w:rFonts w:hint="eastAsia" w:cs="Times New Roman"/>
                <w:color w:val="auto"/>
                <w:sz w:val="24"/>
                <w:lang w:val="en-US" w:eastAsia="zh-CN"/>
              </w:rPr>
              <w:t>87</w:t>
            </w:r>
            <w:r>
              <w:rPr>
                <w:rFonts w:hint="default" w:ascii="Times New Roman" w:hAnsi="Times New Roman" w:eastAsia="宋体" w:cs="Times New Roman"/>
                <w:color w:val="auto"/>
                <w:sz w:val="24"/>
              </w:rPr>
              <w:t>h）收集，</w:t>
            </w:r>
            <w:r>
              <w:rPr>
                <w:rFonts w:hint="eastAsia" w:cs="Times New Roman"/>
                <w:color w:val="auto"/>
                <w:sz w:val="24"/>
                <w:lang w:val="en-US" w:eastAsia="zh-CN"/>
              </w:rPr>
              <w:t>收集</w:t>
            </w:r>
            <w:r>
              <w:rPr>
                <w:rFonts w:hint="default" w:ascii="Times New Roman" w:hAnsi="Times New Roman" w:eastAsia="宋体" w:cs="Times New Roman"/>
                <w:color w:val="auto"/>
                <w:sz w:val="24"/>
              </w:rPr>
              <w:t>后</w:t>
            </w:r>
            <w:r>
              <w:rPr>
                <w:rFonts w:hint="eastAsia" w:cs="Times New Roman"/>
                <w:color w:val="auto"/>
                <w:sz w:val="24"/>
                <w:lang w:val="en-US" w:eastAsia="zh-CN"/>
              </w:rPr>
              <w:t>排至室外</w:t>
            </w:r>
            <w:r>
              <w:rPr>
                <w:rFonts w:hint="default" w:ascii="Times New Roman" w:hAnsi="Times New Roman" w:eastAsia="宋体" w:cs="Times New Roman"/>
                <w:color w:val="auto"/>
                <w:sz w:val="24"/>
              </w:rPr>
              <w:t>排放</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则无机废气硫酸雾排放量为0.</w:t>
            </w:r>
            <w:r>
              <w:rPr>
                <w:rFonts w:hint="eastAsia" w:cs="Times New Roman"/>
                <w:color w:val="auto"/>
                <w:kern w:val="0"/>
                <w:sz w:val="24"/>
                <w:lang w:val="en-US" w:eastAsia="zh-CN"/>
              </w:rPr>
              <w:t>79</w:t>
            </w:r>
            <w:r>
              <w:rPr>
                <w:rFonts w:hint="default" w:ascii="Times New Roman" w:hAnsi="Times New Roman" w:eastAsia="宋体" w:cs="Times New Roman"/>
                <w:color w:val="auto"/>
                <w:kern w:val="0"/>
                <w:sz w:val="24"/>
              </w:rPr>
              <w:t>kg/a（排放速率为</w:t>
            </w:r>
            <w:r>
              <w:rPr>
                <w:rFonts w:hint="eastAsia" w:cs="Times New Roman"/>
                <w:color w:val="auto"/>
                <w:kern w:val="0"/>
                <w:sz w:val="24"/>
                <w:lang w:val="en-US" w:eastAsia="zh-CN"/>
              </w:rPr>
              <w:t>0.009</w:t>
            </w:r>
            <w:r>
              <w:rPr>
                <w:rFonts w:hint="default" w:ascii="Times New Roman" w:hAnsi="Times New Roman" w:eastAsia="宋体" w:cs="Times New Roman"/>
                <w:color w:val="auto"/>
                <w:kern w:val="0"/>
                <w:sz w:val="24"/>
              </w:rPr>
              <w:t>kg/h）</w:t>
            </w:r>
            <w:r>
              <w:rPr>
                <w:rFonts w:hint="default" w:ascii="Times New Roman" w:hAnsi="Times New Roman" w:eastAsia="宋体" w:cs="Times New Roman"/>
                <w:color w:val="auto"/>
                <w:kern w:val="0"/>
                <w:sz w:val="24"/>
                <w:lang w:bidi="ar"/>
              </w:rPr>
              <w:t>。</w:t>
            </w:r>
          </w:p>
          <w:p>
            <w:pPr>
              <w:numPr>
                <w:ilvl w:val="0"/>
                <w:numId w:val="0"/>
              </w:numPr>
              <w:wordWrap/>
              <w:bidi w:val="0"/>
              <w:adjustRightInd w:val="0"/>
              <w:snapToGrid w:val="0"/>
              <w:spacing w:beforeAutospacing="0" w:afterAutospacing="0" w:line="360" w:lineRule="auto"/>
              <w:ind w:left="480" w:leftChars="0" w:right="0" w:rightChars="0"/>
              <w:outlineLvl w:val="9"/>
              <w:rPr>
                <w:rFonts w:hint="default" w:ascii="Times New Roman" w:hAnsi="Times New Roman" w:eastAsia="宋体" w:cs="Times New Roman"/>
                <w:color w:val="auto"/>
                <w:sz w:val="24"/>
              </w:rPr>
            </w:pPr>
            <w:r>
              <w:rPr>
                <w:rFonts w:hint="eastAsia" w:cs="Times New Roman"/>
                <w:color w:val="auto"/>
                <w:sz w:val="24"/>
                <w:lang w:val="en-US" w:eastAsia="zh-CN"/>
              </w:rPr>
              <w:t>（3）生物质</w:t>
            </w:r>
            <w:r>
              <w:rPr>
                <w:rFonts w:hint="default" w:ascii="Times New Roman" w:hAnsi="Times New Roman" w:eastAsia="宋体" w:cs="Times New Roman"/>
                <w:color w:val="auto"/>
                <w:sz w:val="24"/>
              </w:rPr>
              <w:t>锅炉</w:t>
            </w:r>
          </w:p>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kern w:val="0"/>
                <w:sz w:val="24"/>
              </w:rPr>
            </w:pPr>
            <w:r>
              <w:rPr>
                <w:rFonts w:hint="default" w:ascii="Times New Roman" w:hAnsi="Times New Roman" w:eastAsia="宋体" w:cs="Times New Roman"/>
                <w:snapToGrid w:val="0"/>
                <w:color w:val="auto"/>
                <w:kern w:val="0"/>
                <w:sz w:val="24"/>
              </w:rPr>
              <w:t>本项目采用</w:t>
            </w:r>
            <w:r>
              <w:rPr>
                <w:rFonts w:hint="eastAsia" w:cs="Times New Roman"/>
                <w:snapToGrid w:val="0"/>
                <w:color w:val="auto"/>
                <w:kern w:val="0"/>
                <w:sz w:val="24"/>
                <w:lang w:val="en-US" w:eastAsia="zh-CN"/>
              </w:rPr>
              <w:t>2</w:t>
            </w:r>
            <w:r>
              <w:rPr>
                <w:rFonts w:hint="default" w:ascii="Times New Roman" w:hAnsi="Times New Roman" w:eastAsia="宋体" w:cs="Times New Roman"/>
                <w:snapToGrid w:val="0"/>
                <w:color w:val="auto"/>
                <w:kern w:val="0"/>
                <w:sz w:val="24"/>
              </w:rPr>
              <w:t>台</w:t>
            </w:r>
            <w:r>
              <w:rPr>
                <w:rFonts w:hint="eastAsia" w:cs="Times New Roman"/>
                <w:snapToGrid w:val="0"/>
                <w:color w:val="auto"/>
                <w:kern w:val="0"/>
                <w:sz w:val="24"/>
                <w:lang w:val="en-US" w:eastAsia="zh-CN"/>
              </w:rPr>
              <w:t>1</w:t>
            </w:r>
            <w:r>
              <w:rPr>
                <w:rFonts w:hint="default" w:ascii="Times New Roman" w:hAnsi="Times New Roman" w:eastAsia="宋体" w:cs="Times New Roman"/>
                <w:snapToGrid w:val="0"/>
                <w:color w:val="auto"/>
                <w:kern w:val="0"/>
                <w:sz w:val="24"/>
              </w:rPr>
              <w:t>t/h的燃</w:t>
            </w:r>
            <w:r>
              <w:rPr>
                <w:rFonts w:hint="eastAsia" w:cs="Times New Roman"/>
                <w:snapToGrid w:val="0"/>
                <w:color w:val="auto"/>
                <w:kern w:val="0"/>
                <w:sz w:val="24"/>
                <w:lang w:val="en-US" w:eastAsia="zh-CN"/>
              </w:rPr>
              <w:t>生物质</w:t>
            </w:r>
            <w:r>
              <w:rPr>
                <w:rFonts w:hint="default" w:ascii="Times New Roman" w:hAnsi="Times New Roman" w:eastAsia="宋体" w:cs="Times New Roman"/>
                <w:snapToGrid w:val="0"/>
                <w:color w:val="auto"/>
                <w:kern w:val="0"/>
                <w:sz w:val="24"/>
              </w:rPr>
              <w:t>锅炉用于厂区生产用热及供暖。</w:t>
            </w:r>
            <w:r>
              <w:rPr>
                <w:rFonts w:hint="eastAsia" w:cs="Times New Roman"/>
                <w:snapToGrid w:val="0"/>
                <w:color w:val="auto"/>
                <w:kern w:val="0"/>
                <w:sz w:val="24"/>
                <w:lang w:val="en-US" w:eastAsia="zh-CN"/>
              </w:rPr>
              <w:t>生产用热</w:t>
            </w:r>
            <w:r>
              <w:rPr>
                <w:rFonts w:hint="default" w:ascii="Times New Roman" w:hAnsi="Times New Roman" w:eastAsia="宋体" w:cs="Times New Roman"/>
                <w:snapToGrid w:val="0"/>
                <w:color w:val="auto"/>
                <w:kern w:val="0"/>
                <w:sz w:val="24"/>
              </w:rPr>
              <w:t>锅炉年运行</w:t>
            </w:r>
            <w:r>
              <w:rPr>
                <w:rFonts w:hint="eastAsia" w:cs="Times New Roman"/>
                <w:snapToGrid w:val="0"/>
                <w:color w:val="auto"/>
                <w:kern w:val="0"/>
                <w:sz w:val="24"/>
                <w:lang w:val="en-US" w:eastAsia="zh-CN"/>
              </w:rPr>
              <w:t>6240</w:t>
            </w:r>
            <w:r>
              <w:rPr>
                <w:rFonts w:hint="default" w:ascii="Times New Roman" w:hAnsi="Times New Roman" w:eastAsia="宋体" w:cs="Times New Roman"/>
                <w:snapToGrid w:val="0"/>
                <w:color w:val="auto"/>
                <w:kern w:val="0"/>
                <w:sz w:val="24"/>
              </w:rPr>
              <w:t>h</w:t>
            </w:r>
            <w:r>
              <w:rPr>
                <w:rFonts w:hint="eastAsia" w:cs="Times New Roman"/>
                <w:snapToGrid w:val="0"/>
                <w:color w:val="auto"/>
                <w:kern w:val="0"/>
                <w:sz w:val="24"/>
                <w:lang w:eastAsia="zh-CN"/>
              </w:rPr>
              <w:t>，</w:t>
            </w:r>
            <w:r>
              <w:rPr>
                <w:rFonts w:hint="default" w:ascii="Times New Roman" w:hAnsi="Times New Roman" w:eastAsia="宋体" w:cs="Times New Roman"/>
                <w:snapToGrid w:val="0"/>
                <w:color w:val="auto"/>
                <w:kern w:val="0"/>
                <w:sz w:val="24"/>
              </w:rPr>
              <w:t>年需要</w:t>
            </w:r>
            <w:r>
              <w:rPr>
                <w:rFonts w:hint="eastAsia" w:cs="Times New Roman"/>
                <w:snapToGrid w:val="0"/>
                <w:color w:val="auto"/>
                <w:kern w:val="0"/>
                <w:sz w:val="24"/>
                <w:lang w:val="en-US" w:eastAsia="zh-CN"/>
              </w:rPr>
              <w:t>生物质1085.1t；供暖锅炉年运行4320h，年需生物质751.2t</w:t>
            </w:r>
            <w:r>
              <w:rPr>
                <w:rFonts w:hint="default" w:ascii="Times New Roman" w:hAnsi="Times New Roman" w:eastAsia="宋体" w:cs="Times New Roman"/>
                <w:snapToGrid w:val="0"/>
                <w:color w:val="auto"/>
                <w:kern w:val="0"/>
                <w:sz w:val="24"/>
              </w:rPr>
              <w:t>。</w:t>
            </w:r>
          </w:p>
          <w:p>
            <w:pPr>
              <w:pStyle w:val="53"/>
              <w:adjustRightInd/>
              <w:snapToGrid/>
              <w:ind w:firstLine="480"/>
              <w:rPr>
                <w:rFonts w:hint="eastAsia" w:eastAsia="宋体"/>
                <w:lang w:eastAsia="zh-CN"/>
              </w:rPr>
            </w:pPr>
            <w:r>
              <w:rPr>
                <w:rFonts w:hint="default" w:ascii="Times New Roman" w:hAnsi="Times New Roman" w:eastAsia="宋体" w:cs="Times New Roman"/>
                <w:bCs/>
                <w:color w:val="auto"/>
                <w:sz w:val="24"/>
              </w:rPr>
              <w:t>本次工业废气量、</w:t>
            </w:r>
            <w:r>
              <w:rPr>
                <w:rFonts w:hint="eastAsia" w:cs="Times New Roman"/>
                <w:bCs/>
                <w:color w:val="auto"/>
                <w:sz w:val="24"/>
                <w:lang w:val="en-US" w:eastAsia="zh-CN"/>
              </w:rPr>
              <w:t>颗粒物、</w:t>
            </w:r>
            <w:r>
              <w:rPr>
                <w:rFonts w:hint="default" w:ascii="Times New Roman" w:hAnsi="Times New Roman" w:eastAsia="宋体" w:cs="Times New Roman"/>
                <w:bCs/>
                <w:color w:val="auto"/>
                <w:sz w:val="24"/>
              </w:rPr>
              <w:t>SO</w:t>
            </w:r>
            <w:r>
              <w:rPr>
                <w:rFonts w:hint="default" w:ascii="Times New Roman" w:hAnsi="Times New Roman" w:eastAsia="宋体" w:cs="Times New Roman"/>
                <w:bCs/>
                <w:color w:val="auto"/>
                <w:sz w:val="24"/>
                <w:vertAlign w:val="subscript"/>
              </w:rPr>
              <w:t>2</w:t>
            </w:r>
            <w:r>
              <w:rPr>
                <w:rFonts w:hint="default" w:ascii="Times New Roman" w:hAnsi="Times New Roman" w:eastAsia="宋体" w:cs="Times New Roman"/>
                <w:bCs/>
                <w:color w:val="auto"/>
                <w:sz w:val="24"/>
              </w:rPr>
              <w:t>和NO</w:t>
            </w:r>
            <w:r>
              <w:rPr>
                <w:rFonts w:hint="default" w:ascii="Times New Roman" w:hAnsi="Times New Roman" w:eastAsia="宋体" w:cs="Times New Roman"/>
                <w:bCs/>
                <w:color w:val="auto"/>
                <w:sz w:val="24"/>
                <w:vertAlign w:val="subscript"/>
              </w:rPr>
              <w:t>x</w:t>
            </w:r>
            <w:r>
              <w:rPr>
                <w:rFonts w:hint="default" w:ascii="Times New Roman" w:hAnsi="Times New Roman" w:eastAsia="宋体" w:cs="Times New Roman"/>
                <w:bCs/>
                <w:color w:val="auto"/>
                <w:sz w:val="24"/>
              </w:rPr>
              <w:t>产生量</w:t>
            </w:r>
            <w:r>
              <w:rPr>
                <w:rFonts w:hint="default" w:ascii="Times New Roman" w:hAnsi="Times New Roman" w:eastAsia="宋体" w:cs="Times New Roman"/>
                <w:snapToGrid w:val="0"/>
                <w:color w:val="auto"/>
                <w:kern w:val="0"/>
                <w:sz w:val="24"/>
              </w:rPr>
              <w:t>根据《排放源统计调查产排污核算方法和系数手册》（公告 2021年 第24号）中“4430工业锅炉（热力生产和供应行业）产排污系数表”的内容进行计算</w:t>
            </w:r>
            <w:r>
              <w:rPr>
                <w:rFonts w:hint="eastAsia" w:cs="Times New Roman"/>
                <w:snapToGrid w:val="0"/>
                <w:color w:val="auto"/>
                <w:kern w:val="0"/>
                <w:sz w:val="24"/>
                <w:lang w:eastAsia="zh-CN"/>
              </w:rPr>
              <w:t>；</w:t>
            </w:r>
            <w:r>
              <w:rPr>
                <w:rFonts w:hint="eastAsia" w:cs="Times New Roman"/>
                <w:snapToGrid w:val="0"/>
                <w:color w:val="auto"/>
                <w:kern w:val="0"/>
                <w:sz w:val="24"/>
                <w:lang w:val="en-US" w:eastAsia="zh-CN"/>
              </w:rPr>
              <w:t>汞及其化合物</w:t>
            </w:r>
            <w:r>
              <w:t>根据《</w:t>
            </w:r>
            <w:bookmarkStart w:id="52" w:name="_Hlk84960523"/>
            <w:r>
              <w:t>污染源源强核算技术指南 锅炉》（HJ991-2018）</w:t>
            </w:r>
            <w:bookmarkEnd w:id="52"/>
            <w:r>
              <w:t>计算</w:t>
            </w:r>
            <w:r>
              <w:rPr>
                <w:rFonts w:hint="eastAsia"/>
                <w:lang w:eastAsia="zh-CN"/>
              </w:rPr>
              <w:t>。</w:t>
            </w:r>
          </w:p>
          <w:p>
            <w:pPr>
              <w:wordWrap/>
              <w:bidi w:val="0"/>
              <w:adjustRightInd w:val="0"/>
              <w:snapToGrid w:val="0"/>
              <w:spacing w:beforeAutospacing="0" w:afterAutospacing="0" w:line="360" w:lineRule="auto"/>
              <w:ind w:left="0" w:leftChars="0" w:right="0" w:rightChars="0" w:firstLine="442"/>
              <w:outlineLvl w:val="9"/>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计算出本项目污染物产生情况见表4-</w:t>
            </w:r>
            <w:r>
              <w:rPr>
                <w:rFonts w:hint="eastAsia" w:cs="Times New Roman"/>
                <w:bCs/>
                <w:color w:val="auto"/>
                <w:sz w:val="24"/>
                <w:lang w:val="en-US" w:eastAsia="zh-CN"/>
              </w:rPr>
              <w:t>3</w:t>
            </w:r>
            <w:r>
              <w:rPr>
                <w:rFonts w:hint="default" w:ascii="Times New Roman" w:hAnsi="Times New Roman" w:eastAsia="宋体" w:cs="Times New Roman"/>
                <w:bCs/>
                <w:color w:val="auto"/>
                <w:sz w:val="24"/>
              </w:rPr>
              <w:t>。</w:t>
            </w:r>
          </w:p>
          <w:p>
            <w:pPr>
              <w:pStyle w:val="30"/>
              <w:keepNext/>
              <w:keepLines/>
              <w:pageBreakBefore/>
              <w:widowControl w:val="0"/>
              <w:kinsoku/>
              <w:wordWrap/>
              <w:overflowPunct/>
              <w:topLinePunct w:val="0"/>
              <w:autoSpaceDE/>
              <w:autoSpaceDN/>
              <w:bidi w:val="0"/>
              <w:adjustRightInd w:val="0"/>
              <w:snapToGrid w:val="0"/>
              <w:spacing w:beforeAutospacing="0" w:afterAutospacing="0"/>
              <w:ind w:left="0" w:leftChars="0" w:right="0" w:rightChars="0"/>
              <w:jc w:val="center"/>
              <w:textAlignment w:val="auto"/>
              <w:outlineLvl w:val="9"/>
              <w:rPr>
                <w:rFonts w:hint="default" w:ascii="Times New Roman" w:hAnsi="Times New Roman" w:eastAsia="宋体" w:cs="Times New Roman"/>
                <w:color w:val="auto"/>
                <w:sz w:val="24"/>
              </w:rPr>
            </w:pPr>
            <w:bookmarkStart w:id="53" w:name="_Toc28346"/>
            <w:bookmarkStart w:id="54" w:name="_Toc15177"/>
            <w:bookmarkStart w:id="55" w:name="_Toc14050"/>
            <w:r>
              <w:rPr>
                <w:rFonts w:hint="default" w:ascii="Times New Roman" w:hAnsi="Times New Roman" w:eastAsia="宋体" w:cs="Times New Roman"/>
                <w:color w:val="auto"/>
                <w:sz w:val="24"/>
              </w:rPr>
              <w:t>表4-</w:t>
            </w:r>
            <w:r>
              <w:rPr>
                <w:rFonts w:hint="eastAsia" w:ascii="Times New Roman" w:hAnsi="Times New Roman" w:eastAsia="宋体" w:cs="Times New Roman"/>
                <w:color w:val="auto"/>
                <w:sz w:val="24"/>
                <w:lang w:val="en-US" w:eastAsia="zh-CN"/>
              </w:rPr>
              <w:t xml:space="preserve">3 </w:t>
            </w:r>
            <w:r>
              <w:rPr>
                <w:rFonts w:hint="default" w:ascii="Times New Roman" w:hAnsi="Times New Roman" w:eastAsia="宋体" w:cs="Times New Roman"/>
                <w:color w:val="auto"/>
                <w:sz w:val="24"/>
              </w:rPr>
              <w:t xml:space="preserve"> 锅炉废气污染物产生情况一览表</w:t>
            </w:r>
            <w:bookmarkEnd w:id="53"/>
            <w:bookmarkEnd w:id="54"/>
            <w:bookmarkEnd w:id="55"/>
          </w:p>
          <w:tbl>
            <w:tblPr>
              <w:tblStyle w:val="18"/>
              <w:tblpPr w:leftFromText="180" w:rightFromText="180" w:vertAnchor="text" w:horzAnchor="page" w:tblpXSpec="center" w:tblpY="151"/>
              <w:tblOverlap w:val="never"/>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4"/>
              <w:gridCol w:w="1145"/>
              <w:gridCol w:w="357"/>
              <w:gridCol w:w="795"/>
              <w:gridCol w:w="765"/>
              <w:gridCol w:w="900"/>
              <w:gridCol w:w="720"/>
              <w:gridCol w:w="946"/>
              <w:gridCol w:w="795"/>
              <w:gridCol w:w="9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restart"/>
                  <w:noWrap w:val="0"/>
                  <w:vAlign w:val="center"/>
                </w:tcPr>
                <w:p>
                  <w:pPr>
                    <w:keepNext w:val="0"/>
                    <w:keepLines w:val="0"/>
                    <w:pageBreakBefore w:val="0"/>
                    <w:widowControl/>
                    <w:wordWrap/>
                    <w:topLinePunct w:val="0"/>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产污环节</w:t>
                  </w:r>
                </w:p>
              </w:tc>
              <w:tc>
                <w:tcPr>
                  <w:tcW w:w="1145" w:type="dxa"/>
                  <w:vMerge w:val="restart"/>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污染因子</w:t>
                  </w:r>
                </w:p>
              </w:tc>
              <w:tc>
                <w:tcPr>
                  <w:tcW w:w="357" w:type="dxa"/>
                  <w:vMerge w:val="restart"/>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排放形式</w:t>
                  </w:r>
                </w:p>
              </w:tc>
              <w:tc>
                <w:tcPr>
                  <w:tcW w:w="2460" w:type="dxa"/>
                  <w:gridSpan w:val="3"/>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产生情况</w:t>
                  </w:r>
                </w:p>
              </w:tc>
              <w:tc>
                <w:tcPr>
                  <w:tcW w:w="720" w:type="dxa"/>
                  <w:vMerge w:val="restart"/>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治理措施</w:t>
                  </w:r>
                </w:p>
              </w:tc>
              <w:tc>
                <w:tcPr>
                  <w:tcW w:w="2695" w:type="dxa"/>
                  <w:gridSpan w:val="3"/>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1145"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357"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795" w:type="dxa"/>
                  <w:noWrap w:val="0"/>
                  <w:vAlign w:val="center"/>
                </w:tcPr>
                <w:p>
                  <w:pPr>
                    <w:pStyle w:val="43"/>
                    <w:keepNext w:val="0"/>
                    <w:keepLines w:val="0"/>
                    <w:pageBreakBefore w:val="0"/>
                    <w:widowControl/>
                    <w:kinsoku w:val="0"/>
                    <w:wordWrap w:val="0"/>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产生浓度</w:t>
                  </w:r>
                </w:p>
                <w:p>
                  <w:pPr>
                    <w:pStyle w:val="43"/>
                    <w:keepNext w:val="0"/>
                    <w:keepLines w:val="0"/>
                    <w:pageBreakBefore w:val="0"/>
                    <w:widowControl/>
                    <w:kinsoku w:val="0"/>
                    <w:wordWrap w:val="0"/>
                    <w:overflowPunct w:val="0"/>
                    <w:topLinePunct w:val="0"/>
                    <w:autoSpaceDE w:val="0"/>
                    <w:autoSpaceDN w:val="0"/>
                    <w:bidi w:val="0"/>
                    <w:adjustRightInd w:val="0"/>
                    <w:snapToGrid w:val="0"/>
                    <w:spacing w:beforeAutospacing="0" w:after="0" w:afterAutospacing="0"/>
                    <w:ind w:left="0" w:leftChars="0" w:right="0" w:rightChars="0"/>
                    <w:jc w:val="both"/>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76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产生量</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rPr>
                    <w:t>t</w:t>
                  </w:r>
                </w:p>
              </w:tc>
              <w:tc>
                <w:tcPr>
                  <w:tcW w:w="900"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jc w:val="both"/>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产生速率</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rPr>
                    <w:t>kg/h</w:t>
                  </w:r>
                </w:p>
              </w:tc>
              <w:tc>
                <w:tcPr>
                  <w:tcW w:w="720"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jc w:val="both"/>
                    <w:textAlignment w:val="auto"/>
                    <w:rPr>
                      <w:rFonts w:hint="default" w:ascii="Times New Roman" w:hAnsi="Times New Roman" w:eastAsia="宋体" w:cs="Times New Roman"/>
                      <w:color w:val="auto"/>
                      <w:sz w:val="21"/>
                      <w:szCs w:val="21"/>
                    </w:rPr>
                  </w:pPr>
                </w:p>
              </w:tc>
              <w:tc>
                <w:tcPr>
                  <w:tcW w:w="946"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p>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排放量</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rPr>
                    <w:t>t</w:t>
                  </w:r>
                </w:p>
              </w:tc>
              <w:tc>
                <w:tcPr>
                  <w:tcW w:w="954"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restart"/>
                  <w:noWrap w:val="0"/>
                  <w:vAlign w:val="center"/>
                </w:tcPr>
                <w:p>
                  <w:pPr>
                    <w:keepNext w:val="0"/>
                    <w:keepLines w:val="0"/>
                    <w:pageBreakBefore w:val="0"/>
                    <w:widowControl/>
                    <w:wordWrap/>
                    <w:topLinePunct w:val="0"/>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生产用热</w:t>
                  </w:r>
                  <w:r>
                    <w:rPr>
                      <w:rFonts w:hint="default" w:ascii="Times New Roman" w:hAnsi="Times New Roman" w:eastAsia="宋体" w:cs="Times New Roman"/>
                      <w:color w:val="auto"/>
                      <w:sz w:val="21"/>
                      <w:szCs w:val="21"/>
                    </w:rPr>
                    <w:t>锅炉</w:t>
                  </w: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工业废气量</w:t>
                  </w:r>
                </w:p>
              </w:tc>
              <w:tc>
                <w:tcPr>
                  <w:tcW w:w="357" w:type="dxa"/>
                  <w:vMerge w:val="restart"/>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2460" w:type="dxa"/>
                  <w:gridSpan w:val="3"/>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6771024</w:t>
                  </w:r>
                </w:p>
              </w:tc>
              <w:tc>
                <w:tcPr>
                  <w:tcW w:w="720" w:type="dxa"/>
                  <w:vMerge w:val="restart"/>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脉冲除尘器</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25</w:t>
                  </w:r>
                  <w:r>
                    <w:rPr>
                      <w:rFonts w:hint="default" w:ascii="Times New Roman" w:hAnsi="Times New Roman" w:eastAsia="宋体" w:cs="Times New Roman"/>
                      <w:color w:val="auto"/>
                      <w:sz w:val="21"/>
                      <w:szCs w:val="21"/>
                    </w:rPr>
                    <w:t>m高排气筒</w:t>
                  </w:r>
                </w:p>
              </w:tc>
              <w:tc>
                <w:tcPr>
                  <w:tcW w:w="2695" w:type="dxa"/>
                  <w:gridSpan w:val="3"/>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6771024m</w:t>
                  </w:r>
                  <w:r>
                    <w:rPr>
                      <w:rFonts w:hint="default" w:ascii="Times New Roman" w:hAnsi="Times New Roman" w:eastAsia="宋体" w:cs="Times New Roman"/>
                      <w:color w:val="auto"/>
                      <w:sz w:val="21"/>
                      <w:szCs w:val="21"/>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continue"/>
                  <w:noWrap w:val="0"/>
                  <w:vAlign w:val="center"/>
                </w:tcPr>
                <w:p>
                  <w:pPr>
                    <w:keepNext w:val="0"/>
                    <w:keepLines w:val="0"/>
                    <w:pageBreakBefore w:val="0"/>
                    <w:widowControl/>
                    <w:wordWrap/>
                    <w:topLinePunct w:val="0"/>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sz w:val="21"/>
                      <w:szCs w:val="21"/>
                    </w:rPr>
                  </w:pP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357"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79.75</w:t>
                  </w:r>
                </w:p>
              </w:tc>
              <w:tc>
                <w:tcPr>
                  <w:tcW w:w="76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0.54</w:t>
                  </w:r>
                </w:p>
              </w:tc>
              <w:tc>
                <w:tcPr>
                  <w:tcW w:w="900"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0.087</w:t>
                  </w:r>
                </w:p>
              </w:tc>
              <w:tc>
                <w:tcPr>
                  <w:tcW w:w="720"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946"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0.73</w:t>
                  </w: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0.005</w:t>
                  </w:r>
                </w:p>
              </w:tc>
              <w:tc>
                <w:tcPr>
                  <w:tcW w:w="954"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357"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26.58</w:t>
                  </w:r>
                </w:p>
              </w:tc>
              <w:tc>
                <w:tcPr>
                  <w:tcW w:w="76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0.18</w:t>
                  </w:r>
                </w:p>
              </w:tc>
              <w:tc>
                <w:tcPr>
                  <w:tcW w:w="900"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0.029</w:t>
                  </w:r>
                </w:p>
              </w:tc>
              <w:tc>
                <w:tcPr>
                  <w:tcW w:w="720"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946"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26.58</w:t>
                  </w: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0.18</w:t>
                  </w:r>
                </w:p>
              </w:tc>
              <w:tc>
                <w:tcPr>
                  <w:tcW w:w="954"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NO</w:t>
                  </w:r>
                  <w:r>
                    <w:rPr>
                      <w:rFonts w:hint="eastAsia" w:ascii="Times New Roman" w:hAnsi="Times New Roman" w:eastAsia="宋体" w:cs="Times New Roman"/>
                      <w:color w:val="auto"/>
                      <w:sz w:val="21"/>
                      <w:szCs w:val="21"/>
                      <w:vertAlign w:val="subscript"/>
                      <w:lang w:val="en-US" w:eastAsia="zh-CN"/>
                    </w:rPr>
                    <w:t>X</w:t>
                  </w:r>
                </w:p>
              </w:tc>
              <w:tc>
                <w:tcPr>
                  <w:tcW w:w="357"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163.93</w:t>
                  </w:r>
                </w:p>
              </w:tc>
              <w:tc>
                <w:tcPr>
                  <w:tcW w:w="76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1.11</w:t>
                  </w:r>
                </w:p>
              </w:tc>
              <w:tc>
                <w:tcPr>
                  <w:tcW w:w="900"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0.178</w:t>
                  </w:r>
                </w:p>
              </w:tc>
              <w:tc>
                <w:tcPr>
                  <w:tcW w:w="720"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946"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163.93</w:t>
                  </w: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1.11</w:t>
                  </w:r>
                </w:p>
              </w:tc>
              <w:tc>
                <w:tcPr>
                  <w:tcW w:w="954"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汞及其化合物</w:t>
                  </w:r>
                </w:p>
              </w:tc>
              <w:tc>
                <w:tcPr>
                  <w:tcW w:w="357"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7.04</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-3</w:t>
                  </w:r>
                </w:p>
              </w:tc>
              <w:tc>
                <w:tcPr>
                  <w:tcW w:w="76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4.77</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-5</w:t>
                  </w:r>
                </w:p>
              </w:tc>
              <w:tc>
                <w:tcPr>
                  <w:tcW w:w="900"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7.64</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-6</w:t>
                  </w:r>
                </w:p>
              </w:tc>
              <w:tc>
                <w:tcPr>
                  <w:tcW w:w="720"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946"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4.00</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-3</w:t>
                  </w: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2.71</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-5</w:t>
                  </w:r>
                </w:p>
              </w:tc>
              <w:tc>
                <w:tcPr>
                  <w:tcW w:w="954"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4.34</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restart"/>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供暖锅炉</w:t>
                  </w: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工业废气量</w:t>
                  </w:r>
                </w:p>
              </w:tc>
              <w:tc>
                <w:tcPr>
                  <w:tcW w:w="357" w:type="dxa"/>
                  <w:vMerge w:val="restart"/>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有组织</w:t>
                  </w:r>
                </w:p>
              </w:tc>
              <w:tc>
                <w:tcPr>
                  <w:tcW w:w="2460" w:type="dxa"/>
                  <w:gridSpan w:val="3"/>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4687488m</w:t>
                  </w:r>
                  <w:r>
                    <w:rPr>
                      <w:rFonts w:hint="default" w:ascii="Times New Roman" w:hAnsi="Times New Roman" w:eastAsia="宋体" w:cs="Times New Roman"/>
                      <w:color w:val="auto"/>
                      <w:sz w:val="21"/>
                      <w:szCs w:val="21"/>
                      <w:vertAlign w:val="superscript"/>
                      <w:lang w:val="en-US" w:eastAsia="zh-CN"/>
                    </w:rPr>
                    <w:t>3</w:t>
                  </w:r>
                </w:p>
              </w:tc>
              <w:tc>
                <w:tcPr>
                  <w:tcW w:w="720" w:type="dxa"/>
                  <w:vMerge w:val="restart"/>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脉冲除尘器+25m高排气筒</w:t>
                  </w:r>
                </w:p>
              </w:tc>
              <w:tc>
                <w:tcPr>
                  <w:tcW w:w="2695" w:type="dxa"/>
                  <w:gridSpan w:val="3"/>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4687488m</w:t>
                  </w:r>
                  <w:r>
                    <w:rPr>
                      <w:rFonts w:hint="default" w:ascii="Times New Roman" w:hAnsi="Times New Roman" w:eastAsia="宋体" w:cs="Times New Roman"/>
                      <w:color w:val="auto"/>
                      <w:sz w:val="21"/>
                      <w:szCs w:val="21"/>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357"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81.06</w:t>
                  </w:r>
                </w:p>
              </w:tc>
              <w:tc>
                <w:tcPr>
                  <w:tcW w:w="76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0.38</w:t>
                  </w:r>
                </w:p>
              </w:tc>
              <w:tc>
                <w:tcPr>
                  <w:tcW w:w="900"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0.088</w:t>
                  </w:r>
                </w:p>
              </w:tc>
              <w:tc>
                <w:tcPr>
                  <w:tcW w:w="720"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p>
              </w:tc>
              <w:tc>
                <w:tcPr>
                  <w:tcW w:w="946"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0.85</w:t>
                  </w: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0.004</w:t>
                  </w:r>
                </w:p>
              </w:tc>
              <w:tc>
                <w:tcPr>
                  <w:tcW w:w="954"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357"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27.73</w:t>
                  </w:r>
                </w:p>
              </w:tc>
              <w:tc>
                <w:tcPr>
                  <w:tcW w:w="76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0.13</w:t>
                  </w:r>
                </w:p>
              </w:tc>
              <w:tc>
                <w:tcPr>
                  <w:tcW w:w="900"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0.030</w:t>
                  </w:r>
                </w:p>
              </w:tc>
              <w:tc>
                <w:tcPr>
                  <w:tcW w:w="720"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946"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27.73</w:t>
                  </w: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0.13</w:t>
                  </w:r>
                </w:p>
              </w:tc>
              <w:tc>
                <w:tcPr>
                  <w:tcW w:w="954"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NO</w:t>
                  </w:r>
                  <w:r>
                    <w:rPr>
                      <w:rFonts w:hint="eastAsia" w:ascii="Times New Roman" w:hAnsi="Times New Roman" w:eastAsia="宋体" w:cs="Times New Roman"/>
                      <w:color w:val="auto"/>
                      <w:sz w:val="21"/>
                      <w:szCs w:val="21"/>
                      <w:vertAlign w:val="subscript"/>
                      <w:lang w:val="en-US" w:eastAsia="zh-CN"/>
                    </w:rPr>
                    <w:t>X</w:t>
                  </w:r>
                </w:p>
              </w:tc>
              <w:tc>
                <w:tcPr>
                  <w:tcW w:w="357"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166.4</w:t>
                  </w:r>
                </w:p>
              </w:tc>
              <w:tc>
                <w:tcPr>
                  <w:tcW w:w="76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0.78</w:t>
                  </w:r>
                </w:p>
              </w:tc>
              <w:tc>
                <w:tcPr>
                  <w:tcW w:w="900"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0.181</w:t>
                  </w:r>
                </w:p>
              </w:tc>
              <w:tc>
                <w:tcPr>
                  <w:tcW w:w="720"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946"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166.4</w:t>
                  </w: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0.78</w:t>
                  </w:r>
                </w:p>
              </w:tc>
              <w:tc>
                <w:tcPr>
                  <w:tcW w:w="954"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4"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114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汞及其化合物</w:t>
                  </w:r>
                </w:p>
              </w:tc>
              <w:tc>
                <w:tcPr>
                  <w:tcW w:w="357"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7.06</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-3</w:t>
                  </w:r>
                </w:p>
              </w:tc>
              <w:tc>
                <w:tcPr>
                  <w:tcW w:w="76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3.31</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-5</w:t>
                  </w:r>
                </w:p>
              </w:tc>
              <w:tc>
                <w:tcPr>
                  <w:tcW w:w="900"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7.66</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-6</w:t>
                  </w:r>
                </w:p>
              </w:tc>
              <w:tc>
                <w:tcPr>
                  <w:tcW w:w="720" w:type="dxa"/>
                  <w:vMerge w:val="continue"/>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textAlignment w:val="auto"/>
                    <w:rPr>
                      <w:rFonts w:hint="default" w:ascii="Times New Roman" w:hAnsi="Times New Roman" w:eastAsia="宋体" w:cs="Times New Roman"/>
                      <w:color w:val="auto"/>
                      <w:sz w:val="21"/>
                      <w:szCs w:val="21"/>
                    </w:rPr>
                  </w:pPr>
                </w:p>
              </w:tc>
              <w:tc>
                <w:tcPr>
                  <w:tcW w:w="946"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3.99</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-3</w:t>
                  </w:r>
                </w:p>
              </w:tc>
              <w:tc>
                <w:tcPr>
                  <w:tcW w:w="795"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1.87</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-5</w:t>
                  </w:r>
                </w:p>
              </w:tc>
              <w:tc>
                <w:tcPr>
                  <w:tcW w:w="954" w:type="dxa"/>
                  <w:noWrap w:val="0"/>
                  <w:vAlign w:val="center"/>
                </w:tcPr>
                <w:p>
                  <w:pPr>
                    <w:pStyle w:val="43"/>
                    <w:keepNext w:val="0"/>
                    <w:keepLines w:val="0"/>
                    <w:pageBreakBefore w:val="0"/>
                    <w:widowControl/>
                    <w:kinsoku w:val="0"/>
                    <w:wordWrap/>
                    <w:overflowPunct w:val="0"/>
                    <w:topLinePunct w:val="0"/>
                    <w:autoSpaceDE w:val="0"/>
                    <w:autoSpaceDN w:val="0"/>
                    <w:bidi w:val="0"/>
                    <w:adjustRightInd w:val="0"/>
                    <w:snapToGrid w:val="0"/>
                    <w:spacing w:beforeAutospacing="0" w:after="0" w:afterAutospacing="0"/>
                    <w:ind w:left="0" w:leftChars="0" w:right="0" w:rightChars="0"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4.32</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-6</w:t>
                  </w:r>
                </w:p>
              </w:tc>
            </w:tr>
          </w:tbl>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（4）食堂油烟</w:t>
            </w:r>
          </w:p>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kern w:val="0"/>
                <w:sz w:val="24"/>
              </w:rPr>
            </w:pPr>
            <w:r>
              <w:rPr>
                <w:rFonts w:hint="default" w:ascii="Times New Roman" w:hAnsi="Times New Roman" w:eastAsia="宋体" w:cs="Times New Roman"/>
                <w:snapToGrid w:val="0"/>
                <w:color w:val="auto"/>
                <w:kern w:val="0"/>
                <w:sz w:val="24"/>
              </w:rPr>
              <w:t>食堂烹饪油烟产生</w:t>
            </w:r>
            <w:r>
              <w:rPr>
                <w:rFonts w:hint="eastAsia" w:cs="Times New Roman"/>
                <w:snapToGrid w:val="0"/>
                <w:color w:val="auto"/>
                <w:kern w:val="0"/>
                <w:sz w:val="24"/>
                <w:lang w:val="en-US" w:eastAsia="zh-CN"/>
              </w:rPr>
              <w:t>量</w:t>
            </w:r>
            <w:r>
              <w:rPr>
                <w:rFonts w:hint="default" w:ascii="Times New Roman" w:hAnsi="Times New Roman" w:eastAsia="宋体" w:cs="Times New Roman"/>
                <w:snapToGrid w:val="0"/>
                <w:color w:val="auto"/>
                <w:kern w:val="0"/>
                <w:sz w:val="24"/>
              </w:rPr>
              <w:t>根据《排放源统计调查产排污核算方法和系数手册》（公告 2021年 第24号）中“附3生活源-附表1 生活源产排污系数手册”的餐饮油烟内容进行计算。</w:t>
            </w:r>
          </w:p>
          <w:p>
            <w:pPr>
              <w:wordWrap/>
              <w:bidi w:val="0"/>
              <w:adjustRightInd w:val="0"/>
              <w:snapToGrid w:val="0"/>
              <w:spacing w:beforeAutospacing="0" w:afterAutospacing="0" w:line="360" w:lineRule="auto"/>
              <w:ind w:left="0" w:leftChars="0" w:right="0" w:rightChars="0" w:firstLine="480" w:firstLineChars="200"/>
              <w:outlineLvl w:val="9"/>
            </w:pPr>
            <w:r>
              <w:rPr>
                <w:rFonts w:hint="eastAsia" w:cs="Times New Roman"/>
                <w:snapToGrid w:val="0"/>
                <w:color w:val="auto"/>
                <w:kern w:val="0"/>
                <w:sz w:val="24"/>
                <w:lang w:val="en-US" w:eastAsia="zh-CN"/>
              </w:rPr>
              <w:t>本项目</w:t>
            </w:r>
            <w:r>
              <w:rPr>
                <w:rFonts w:hint="default" w:ascii="Times New Roman" w:hAnsi="Times New Roman" w:eastAsia="宋体" w:cs="Times New Roman"/>
                <w:snapToGrid w:val="0"/>
                <w:color w:val="auto"/>
                <w:kern w:val="0"/>
                <w:sz w:val="24"/>
              </w:rPr>
              <w:t>餐饮油烟挥发性有机物产生量为0.0</w:t>
            </w:r>
            <w:r>
              <w:rPr>
                <w:rFonts w:hint="eastAsia" w:cs="Times New Roman"/>
                <w:snapToGrid w:val="0"/>
                <w:color w:val="auto"/>
                <w:kern w:val="0"/>
                <w:sz w:val="24"/>
                <w:lang w:val="en-US" w:eastAsia="zh-CN"/>
              </w:rPr>
              <w:t>04</w:t>
            </w:r>
            <w:r>
              <w:rPr>
                <w:rFonts w:hint="default" w:ascii="Times New Roman" w:hAnsi="Times New Roman" w:eastAsia="宋体" w:cs="Times New Roman"/>
                <w:snapToGrid w:val="0"/>
                <w:color w:val="auto"/>
                <w:kern w:val="0"/>
                <w:sz w:val="24"/>
              </w:rPr>
              <w:t>t，</w:t>
            </w:r>
            <w:r>
              <w:rPr>
                <w:rFonts w:hint="eastAsia" w:cs="Times New Roman"/>
                <w:snapToGrid w:val="0"/>
                <w:color w:val="auto"/>
                <w:kern w:val="0"/>
                <w:sz w:val="24"/>
                <w:lang w:val="en-US" w:eastAsia="zh-CN"/>
              </w:rPr>
              <w:t>本项目</w:t>
            </w:r>
            <w:r>
              <w:rPr>
                <w:rFonts w:hint="default" w:ascii="Times New Roman" w:hAnsi="Times New Roman" w:eastAsia="宋体" w:cs="Times New Roman"/>
                <w:snapToGrid w:val="0"/>
                <w:color w:val="auto"/>
                <w:kern w:val="0"/>
                <w:sz w:val="24"/>
              </w:rPr>
              <w:t>食堂设计基础灶头数2个灶头，运行时间6h/d，单个灶头处理风量为1800m</w:t>
            </w:r>
            <w:r>
              <w:rPr>
                <w:rFonts w:hint="default" w:ascii="Times New Roman" w:hAnsi="Times New Roman" w:eastAsia="宋体" w:cs="Times New Roman"/>
                <w:snapToGrid w:val="0"/>
                <w:color w:val="auto"/>
                <w:kern w:val="0"/>
                <w:sz w:val="24"/>
                <w:vertAlign w:val="superscript"/>
              </w:rPr>
              <w:t>3</w:t>
            </w:r>
            <w:r>
              <w:rPr>
                <w:rFonts w:hint="default" w:ascii="Times New Roman" w:hAnsi="Times New Roman" w:eastAsia="宋体" w:cs="Times New Roman"/>
                <w:snapToGrid w:val="0"/>
                <w:color w:val="auto"/>
                <w:kern w:val="0"/>
                <w:sz w:val="24"/>
              </w:rPr>
              <w:t>/h，油烟产生浓度为</w:t>
            </w:r>
            <w:r>
              <w:rPr>
                <w:rFonts w:hint="eastAsia" w:cs="Times New Roman"/>
                <w:snapToGrid w:val="0"/>
                <w:color w:val="auto"/>
                <w:kern w:val="0"/>
                <w:sz w:val="24"/>
                <w:lang w:val="en-US" w:eastAsia="zh-CN"/>
              </w:rPr>
              <w:t>1.42</w:t>
            </w:r>
            <w:r>
              <w:rPr>
                <w:rFonts w:hint="default" w:ascii="Times New Roman" w:hAnsi="Times New Roman" w:eastAsia="宋体" w:cs="Times New Roman"/>
                <w:snapToGrid w:val="0"/>
                <w:color w:val="auto"/>
                <w:kern w:val="0"/>
                <w:sz w:val="24"/>
              </w:rPr>
              <w:t>mg/m</w:t>
            </w:r>
            <w:r>
              <w:rPr>
                <w:rFonts w:hint="default" w:ascii="Times New Roman" w:hAnsi="Times New Roman" w:eastAsia="宋体" w:cs="Times New Roman"/>
                <w:snapToGrid w:val="0"/>
                <w:color w:val="auto"/>
                <w:kern w:val="0"/>
                <w:sz w:val="24"/>
                <w:vertAlign w:val="superscript"/>
              </w:rPr>
              <w:t>3</w:t>
            </w:r>
            <w:r>
              <w:rPr>
                <w:rFonts w:hint="default" w:ascii="Times New Roman" w:hAnsi="Times New Roman" w:eastAsia="宋体" w:cs="Times New Roman"/>
                <w:snapToGrid w:val="0"/>
                <w:color w:val="auto"/>
                <w:kern w:val="0"/>
                <w:sz w:val="24"/>
              </w:rPr>
              <w:t>，净化措施最低去除效率为60%，油烟排放浓度为</w:t>
            </w:r>
            <w:r>
              <w:rPr>
                <w:rFonts w:hint="eastAsia" w:cs="Times New Roman"/>
                <w:snapToGrid w:val="0"/>
                <w:color w:val="auto"/>
                <w:kern w:val="0"/>
                <w:sz w:val="24"/>
                <w:lang w:val="en-US" w:eastAsia="zh-CN"/>
              </w:rPr>
              <w:t>0.57</w:t>
            </w:r>
            <w:r>
              <w:rPr>
                <w:rFonts w:hint="default" w:ascii="Times New Roman" w:hAnsi="Times New Roman" w:eastAsia="宋体" w:cs="Times New Roman"/>
                <w:snapToGrid w:val="0"/>
                <w:color w:val="auto"/>
                <w:kern w:val="0"/>
                <w:sz w:val="24"/>
              </w:rPr>
              <w:t>mg/m</w:t>
            </w:r>
            <w:r>
              <w:rPr>
                <w:rFonts w:hint="default" w:ascii="Times New Roman" w:hAnsi="Times New Roman" w:eastAsia="宋体" w:cs="Times New Roman"/>
                <w:snapToGrid w:val="0"/>
                <w:color w:val="auto"/>
                <w:kern w:val="0"/>
                <w:sz w:val="24"/>
                <w:vertAlign w:val="superscript"/>
              </w:rPr>
              <w:t>3</w:t>
            </w:r>
            <w:r>
              <w:rPr>
                <w:rFonts w:hint="default" w:ascii="Times New Roman" w:hAnsi="Times New Roman" w:eastAsia="宋体" w:cs="Times New Roman"/>
                <w:snapToGrid w:val="0"/>
                <w:color w:val="auto"/>
                <w:kern w:val="0"/>
                <w:sz w:val="24"/>
              </w:rPr>
              <w:t>，可达《饮食业油烟排放标准》（GB18483-2001）（小型）油烟最高允许排放浓度为2.0mg/m</w:t>
            </w:r>
            <w:r>
              <w:rPr>
                <w:rFonts w:hint="default" w:ascii="Times New Roman" w:hAnsi="Times New Roman" w:eastAsia="宋体" w:cs="Times New Roman"/>
                <w:snapToGrid w:val="0"/>
                <w:color w:val="auto"/>
                <w:kern w:val="0"/>
                <w:sz w:val="24"/>
                <w:vertAlign w:val="superscript"/>
              </w:rPr>
              <w:t>3</w:t>
            </w:r>
            <w:r>
              <w:rPr>
                <w:rFonts w:hint="default" w:ascii="Times New Roman" w:hAnsi="Times New Roman" w:eastAsia="宋体" w:cs="Times New Roman"/>
                <w:snapToGrid w:val="0"/>
                <w:color w:val="auto"/>
                <w:kern w:val="0"/>
                <w:sz w:val="24"/>
              </w:rPr>
              <w:t>的要求，经净化后的油烟经</w:t>
            </w:r>
            <w:r>
              <w:rPr>
                <w:rFonts w:hint="eastAsia" w:ascii="Times New Roman" w:hAnsi="Times New Roman" w:eastAsia="宋体" w:cs="Times New Roman"/>
                <w:snapToGrid w:val="0"/>
                <w:color w:val="auto"/>
                <w:kern w:val="0"/>
                <w:sz w:val="24"/>
                <w:lang w:eastAsia="zh-CN"/>
              </w:rPr>
              <w:t>高于楼顶</w:t>
            </w:r>
            <w:r>
              <w:rPr>
                <w:rFonts w:hint="default" w:ascii="Times New Roman" w:hAnsi="Times New Roman" w:eastAsia="宋体" w:cs="Times New Roman"/>
                <w:snapToGrid w:val="0"/>
                <w:color w:val="auto"/>
                <w:kern w:val="0"/>
                <w:sz w:val="24"/>
              </w:rPr>
              <w:t>专用烟道排出。</w:t>
            </w:r>
          </w:p>
          <w:p>
            <w:pPr>
              <w:pStyle w:val="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（5）生产异味</w:t>
            </w:r>
          </w:p>
          <w:p>
            <w:pPr>
              <w:pStyle w:val="17"/>
              <w:keepNext w:val="0"/>
              <w:keepLines w:val="0"/>
              <w:pageBreakBefore w:val="0"/>
              <w:widowControl w:val="0"/>
              <w:kinsoku/>
              <w:wordWrap/>
              <w:overflowPunct/>
              <w:topLinePunct w:val="0"/>
              <w:autoSpaceDE w:val="0"/>
              <w:autoSpaceDN w:val="0"/>
              <w:bidi w:val="0"/>
              <w:adjustRightInd w:val="0"/>
              <w:snapToGrid/>
              <w:spacing w:before="0" w:beforeLines="0" w:after="0" w:line="360" w:lineRule="auto"/>
              <w:ind w:left="0" w:leftChars="0"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根据《恶臭污染物排放标准》（GB14554-1993）中对恶臭气体的定义，一切刺激嗅觉器官旨起人们不愉快及损坏生活环境的气体均属于恶臭气体。本项目恶臭气体主要来自蒸汽高温制粒和风冷工序，因本项目使用原料为豆粕、玉米等杂粮，因此生产过程中恶臭气体产生量极少，本项目不作定量分析。类比同类项目，外排恶臭气体可满足《恶臭污染物排放标准》（GB14554-93）恶臭污染物排放标准值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本项目厂界外200m范围内建筑均为1层居民民房，高度约为3m，本项目经改造后</w:t>
            </w:r>
            <w:r>
              <w:rPr>
                <w:rFonts w:hint="eastAsia" w:cs="Times New Roman"/>
                <w:snapToGrid w:val="0"/>
                <w:color w:val="auto"/>
                <w:kern w:val="0"/>
                <w:sz w:val="24"/>
                <w:szCs w:val="24"/>
                <w:lang w:val="en-US" w:eastAsia="zh-CN" w:bidi="ar-SA"/>
              </w:rPr>
              <w:t>1t/h生物质蒸汽炉及1t/h锅炉</w:t>
            </w:r>
            <w:r>
              <w:rPr>
                <w:rFonts w:hint="eastAsia" w:ascii="Times New Roman" w:hAnsi="Times New Roman" w:eastAsia="宋体" w:cs="Times New Roman"/>
                <w:snapToGrid w:val="0"/>
                <w:color w:val="auto"/>
                <w:kern w:val="0"/>
                <w:sz w:val="24"/>
                <w:szCs w:val="24"/>
                <w:lang w:val="en-US" w:eastAsia="zh-CN" w:bidi="ar-SA"/>
              </w:rPr>
              <w:t>烟囱高度均为25m，高出周围建筑物3m以上，本项目锅炉烟囱高度可行。本项目东侧厂界12m外现有一居民民房，本项目东侧设置2m高围墙围挡，减少扬尘对周围环境的影响，生产厂房均设置在厂区北侧及西侧，使该居民民房不位于锅炉排气筒下风向。综上所述，本项目建设对其影响较小，本项目环保措施可行。</w:t>
            </w:r>
          </w:p>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b/>
                <w:color w:val="auto"/>
              </w:rPr>
            </w:pPr>
            <w:r>
              <w:rPr>
                <w:rFonts w:hint="default" w:ascii="Times New Roman" w:hAnsi="Times New Roman" w:eastAsia="宋体" w:cs="Times New Roman"/>
                <w:b/>
                <w:color w:val="auto"/>
              </w:rPr>
              <w:t>表4-</w:t>
            </w:r>
            <w:r>
              <w:rPr>
                <w:rFonts w:hint="eastAsia" w:ascii="Times New Roman" w:hAnsi="Times New Roman" w:eastAsia="宋体" w:cs="Times New Roman"/>
                <w:b/>
                <w:color w:val="auto"/>
                <w:lang w:val="en-US" w:eastAsia="zh-CN"/>
              </w:rPr>
              <w:t>4</w:t>
            </w:r>
            <w:r>
              <w:rPr>
                <w:rFonts w:hint="default" w:ascii="Times New Roman" w:hAnsi="Times New Roman" w:eastAsia="宋体" w:cs="Times New Roman"/>
                <w:b/>
                <w:color w:val="auto"/>
              </w:rPr>
              <w:t xml:space="preserve"> 废气排放口基本情况一览表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7"/>
              <w:gridCol w:w="1145"/>
              <w:gridCol w:w="915"/>
              <w:gridCol w:w="945"/>
              <w:gridCol w:w="915"/>
              <w:gridCol w:w="1275"/>
              <w:gridCol w:w="19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2"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编号</w:t>
                  </w:r>
                </w:p>
              </w:tc>
              <w:tc>
                <w:tcPr>
                  <w:tcW w:w="724"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排放口名称</w:t>
                  </w:r>
                </w:p>
              </w:tc>
              <w:tc>
                <w:tcPr>
                  <w:tcW w:w="578"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高度/m</w:t>
                  </w:r>
                </w:p>
              </w:tc>
              <w:tc>
                <w:tcPr>
                  <w:tcW w:w="597"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内径/m</w:t>
                  </w:r>
                </w:p>
              </w:tc>
              <w:tc>
                <w:tcPr>
                  <w:tcW w:w="578"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温度/℃</w:t>
                  </w:r>
                </w:p>
              </w:tc>
              <w:tc>
                <w:tcPr>
                  <w:tcW w:w="806"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类型</w:t>
                  </w:r>
                </w:p>
              </w:tc>
              <w:tc>
                <w:tcPr>
                  <w:tcW w:w="1240"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地理坐标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5000" w:type="pct"/>
                  <w:gridSpan w:val="7"/>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2"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724"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DA0</w:t>
                  </w:r>
                  <w:r>
                    <w:rPr>
                      <w:rFonts w:hint="default" w:ascii="Times New Roman" w:hAnsi="Times New Roman" w:eastAsia="宋体" w:cs="Times New Roman"/>
                      <w:color w:val="auto"/>
                      <w:szCs w:val="21"/>
                      <w:lang w:val="en-US" w:eastAsia="zh-CN"/>
                    </w:rPr>
                    <w:t>0</w:t>
                  </w:r>
                  <w:r>
                    <w:rPr>
                      <w:rFonts w:hint="eastAsia" w:cs="Times New Roman"/>
                      <w:color w:val="auto"/>
                      <w:szCs w:val="21"/>
                      <w:lang w:val="en-US" w:eastAsia="zh-CN"/>
                    </w:rPr>
                    <w:t>1</w:t>
                  </w:r>
                </w:p>
              </w:tc>
              <w:tc>
                <w:tcPr>
                  <w:tcW w:w="578"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25</w:t>
                  </w:r>
                </w:p>
              </w:tc>
              <w:tc>
                <w:tcPr>
                  <w:tcW w:w="597"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w:t>
                  </w:r>
                  <w:r>
                    <w:rPr>
                      <w:rFonts w:hint="eastAsia" w:cs="Times New Roman"/>
                      <w:color w:val="auto"/>
                      <w:szCs w:val="21"/>
                      <w:lang w:val="en-US" w:eastAsia="zh-CN"/>
                    </w:rPr>
                    <w:t>5</w:t>
                  </w:r>
                  <w:r>
                    <w:rPr>
                      <w:rFonts w:hint="default" w:ascii="Times New Roman" w:hAnsi="Times New Roman" w:eastAsia="宋体" w:cs="Times New Roman"/>
                      <w:color w:val="auto"/>
                      <w:szCs w:val="21"/>
                    </w:rPr>
                    <w:t>0</w:t>
                  </w:r>
                </w:p>
              </w:tc>
              <w:tc>
                <w:tcPr>
                  <w:tcW w:w="578" w:type="pct"/>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r>
                    <w:rPr>
                      <w:rFonts w:hint="eastAsia" w:cs="Times New Roman"/>
                      <w:color w:val="auto"/>
                      <w:szCs w:val="21"/>
                      <w:lang w:val="en-US" w:eastAsia="zh-CN"/>
                    </w:rPr>
                    <w:t>1</w:t>
                  </w:r>
                  <w:r>
                    <w:rPr>
                      <w:rFonts w:hint="default" w:ascii="Times New Roman" w:hAnsi="Times New Roman" w:eastAsia="宋体" w:cs="Times New Roman"/>
                      <w:color w:val="auto"/>
                      <w:szCs w:val="21"/>
                    </w:rPr>
                    <w:t>0</w:t>
                  </w:r>
                </w:p>
              </w:tc>
              <w:tc>
                <w:tcPr>
                  <w:tcW w:w="806"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一般排放口</w:t>
                  </w:r>
                </w:p>
              </w:tc>
              <w:tc>
                <w:tcPr>
                  <w:tcW w:w="1240"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经度</w:t>
                  </w:r>
                  <w:r>
                    <w:rPr>
                      <w:rFonts w:hint="eastAsia" w:cs="Times New Roman"/>
                      <w:color w:val="auto"/>
                      <w:szCs w:val="21"/>
                      <w:lang w:eastAsia="zh-CN"/>
                    </w:rPr>
                    <w:t>：</w:t>
                  </w:r>
                  <w:r>
                    <w:rPr>
                      <w:rFonts w:hint="default" w:ascii="Times New Roman" w:hAnsi="Times New Roman" w:eastAsia="宋体" w:cs="Times New Roman"/>
                      <w:color w:val="auto"/>
                      <w:szCs w:val="21"/>
                    </w:rPr>
                    <w:t>126.48420900</w:t>
                  </w:r>
                </w:p>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纬度</w:t>
                  </w:r>
                  <w:r>
                    <w:rPr>
                      <w:rFonts w:hint="eastAsia" w:cs="Times New Roman"/>
                      <w:color w:val="auto"/>
                      <w:szCs w:val="21"/>
                      <w:lang w:eastAsia="zh-CN"/>
                    </w:rPr>
                    <w:t>：</w:t>
                  </w:r>
                  <w:r>
                    <w:rPr>
                      <w:rFonts w:hint="default" w:ascii="Times New Roman" w:hAnsi="Times New Roman" w:eastAsia="宋体" w:cs="Times New Roman"/>
                      <w:color w:val="auto"/>
                      <w:szCs w:val="21"/>
                      <w:lang w:val="en-US" w:eastAsia="zh-CN"/>
                    </w:rPr>
                    <w:t>45.35784683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2"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2</w:t>
                  </w:r>
                </w:p>
              </w:tc>
              <w:tc>
                <w:tcPr>
                  <w:tcW w:w="724"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Cs w:val="21"/>
                    </w:rPr>
                    <w:t>DA0</w:t>
                  </w:r>
                  <w:r>
                    <w:rPr>
                      <w:rFonts w:hint="default" w:ascii="Times New Roman" w:hAnsi="Times New Roman" w:eastAsia="宋体" w:cs="Times New Roman"/>
                      <w:color w:val="auto"/>
                      <w:szCs w:val="21"/>
                      <w:lang w:val="en-US" w:eastAsia="zh-CN"/>
                    </w:rPr>
                    <w:t>0</w:t>
                  </w:r>
                  <w:r>
                    <w:rPr>
                      <w:rFonts w:hint="eastAsia" w:cs="Times New Roman"/>
                      <w:color w:val="auto"/>
                      <w:szCs w:val="21"/>
                      <w:lang w:val="en-US" w:eastAsia="zh-CN"/>
                    </w:rPr>
                    <w:t>2</w:t>
                  </w:r>
                </w:p>
              </w:tc>
              <w:tc>
                <w:tcPr>
                  <w:tcW w:w="578"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25</w:t>
                  </w:r>
                </w:p>
              </w:tc>
              <w:tc>
                <w:tcPr>
                  <w:tcW w:w="597"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0.50</w:t>
                  </w:r>
                </w:p>
              </w:tc>
              <w:tc>
                <w:tcPr>
                  <w:tcW w:w="578" w:type="pct"/>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110</w:t>
                  </w:r>
                </w:p>
              </w:tc>
              <w:tc>
                <w:tcPr>
                  <w:tcW w:w="806" w:type="pc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一般排放口</w:t>
                  </w:r>
                </w:p>
              </w:tc>
              <w:tc>
                <w:tcPr>
                  <w:tcW w:w="1240" w:type="pct"/>
                  <w:noWrap w:val="0"/>
                  <w:vAlign w:val="center"/>
                </w:tcPr>
                <w:p>
                  <w:pPr>
                    <w:wordWrap/>
                    <w:autoSpaceDE w:val="0"/>
                    <w:autoSpaceDN w:val="0"/>
                    <w:bidi w:val="0"/>
                    <w:spacing w:beforeAutospacing="0" w:afterAutospacing="0"/>
                    <w:ind w:left="0" w:leftChars="0" w:right="0" w:rightChars="0"/>
                    <w:contextualSpacing/>
                    <w:jc w:val="left"/>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经度</w:t>
                  </w:r>
                  <w:r>
                    <w:rPr>
                      <w:rFonts w:hint="eastAsia" w:cs="Times New Roman"/>
                      <w:color w:val="auto"/>
                      <w:szCs w:val="21"/>
                      <w:lang w:eastAsia="zh-CN"/>
                    </w:rPr>
                    <w:t>：</w:t>
                  </w:r>
                  <w:r>
                    <w:rPr>
                      <w:rFonts w:hint="default" w:ascii="Times New Roman" w:hAnsi="Times New Roman" w:eastAsia="宋体" w:cs="Times New Roman"/>
                      <w:color w:val="auto"/>
                      <w:szCs w:val="21"/>
                    </w:rPr>
                    <w:t>126.48558766纬度：</w:t>
                  </w:r>
                  <w:r>
                    <w:rPr>
                      <w:rFonts w:hint="default" w:ascii="Times New Roman" w:hAnsi="Times New Roman" w:eastAsia="宋体" w:cs="Times New Roman"/>
                      <w:color w:val="auto"/>
                      <w:szCs w:val="21"/>
                      <w:lang w:val="en-US" w:eastAsia="zh-CN"/>
                    </w:rPr>
                    <w:t>45.35812577</w:t>
                  </w:r>
                </w:p>
              </w:tc>
            </w:tr>
          </w:tbl>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2、本项目非正常工况</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考虑到本项目设备开停机等非正常工况下，造成环保设备不能正常运转，除尘器除尘效率降低到50%。</w:t>
            </w:r>
          </w:p>
          <w:p>
            <w:pPr>
              <w:pStyle w:val="45"/>
              <w:wordWrap/>
              <w:bidi w:val="0"/>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val="en-US" w:eastAsia="zh-CN"/>
              </w:rPr>
              <w:t>表4-</w:t>
            </w:r>
            <w:r>
              <w:rPr>
                <w:rFonts w:hint="eastAsia" w:cs="Times New Roman"/>
                <w:b/>
                <w:color w:val="auto"/>
                <w:lang w:val="en-US" w:eastAsia="zh-CN"/>
              </w:rPr>
              <w:t>5</w:t>
            </w:r>
            <w:r>
              <w:rPr>
                <w:rFonts w:hint="default" w:ascii="Times New Roman" w:hAnsi="Times New Roman" w:eastAsia="宋体" w:cs="Times New Roman"/>
                <w:b/>
                <w:color w:val="auto"/>
                <w:lang w:val="en-US" w:eastAsia="zh-CN"/>
              </w:rPr>
              <w:t xml:space="preserve">  非正常排放参数表</w:t>
            </w:r>
          </w:p>
          <w:tbl>
            <w:tblPr>
              <w:tblStyle w:val="1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52"/>
              <w:gridCol w:w="1529"/>
              <w:gridCol w:w="1231"/>
              <w:gridCol w:w="1233"/>
              <w:gridCol w:w="877"/>
              <w:gridCol w:w="876"/>
              <w:gridCol w:w="110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7" w:hRule="atLeast"/>
                <w:jc w:val="center"/>
              </w:trPr>
              <w:tc>
                <w:tcPr>
                  <w:tcW w:w="665"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非正常排放源</w:t>
                  </w:r>
                </w:p>
              </w:tc>
              <w:tc>
                <w:tcPr>
                  <w:tcW w:w="967"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非正常排放原因</w:t>
                  </w:r>
                </w:p>
              </w:tc>
              <w:tc>
                <w:tcPr>
                  <w:tcW w:w="778"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污染物</w:t>
                  </w:r>
                </w:p>
              </w:tc>
              <w:tc>
                <w:tcPr>
                  <w:tcW w:w="780"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非正常排放速率（kg/h）</w:t>
                  </w:r>
                </w:p>
              </w:tc>
              <w:tc>
                <w:tcPr>
                  <w:tcW w:w="554"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单次持续时间/h</w:t>
                  </w:r>
                </w:p>
              </w:tc>
              <w:tc>
                <w:tcPr>
                  <w:tcW w:w="554"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年发生频次/次</w:t>
                  </w:r>
                </w:p>
              </w:tc>
              <w:tc>
                <w:tcPr>
                  <w:tcW w:w="699" w:type="pct"/>
                  <w:tcBorders>
                    <w:tl2br w:val="nil"/>
                    <w:tr2bl w:val="nil"/>
                  </w:tcBorders>
                  <w:noWrap w:val="0"/>
                  <w:vAlign w:val="center"/>
                </w:tcPr>
                <w:p>
                  <w:pPr>
                    <w:wordWrap/>
                    <w:bidi w:val="0"/>
                    <w:spacing w:beforeAutospacing="0" w:afterAutospacing="0" w:line="0" w:lineRule="atLeast"/>
                    <w:ind w:left="0" w:leftChars="0" w:right="0" w:rightChars="0"/>
                    <w:contextualSpacing/>
                    <w:jc w:val="center"/>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应对措施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 w:hRule="atLeast"/>
                <w:jc w:val="center"/>
              </w:trPr>
              <w:tc>
                <w:tcPr>
                  <w:tcW w:w="5000" w:type="pct"/>
                  <w:gridSpan w:val="7"/>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锅炉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665"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DA0</w:t>
                  </w:r>
                  <w:r>
                    <w:rPr>
                      <w:rFonts w:hint="default" w:ascii="Times New Roman" w:hAnsi="Times New Roman" w:eastAsia="宋体" w:cs="Times New Roman"/>
                      <w:color w:val="auto"/>
                      <w:szCs w:val="21"/>
                      <w:lang w:val="en-US" w:eastAsia="zh-CN"/>
                    </w:rPr>
                    <w:t>0</w:t>
                  </w:r>
                  <w:r>
                    <w:rPr>
                      <w:rFonts w:hint="eastAsia" w:cs="Times New Roman"/>
                      <w:color w:val="auto"/>
                      <w:szCs w:val="21"/>
                      <w:lang w:val="en-US" w:eastAsia="zh-CN"/>
                    </w:rPr>
                    <w:t>1</w:t>
                  </w:r>
                </w:p>
              </w:tc>
              <w:tc>
                <w:tcPr>
                  <w:tcW w:w="967" w:type="pct"/>
                  <w:vMerge w:val="restar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生产设施开停机等非正常情况下，造成环保设备不能正常运转</w:t>
                  </w:r>
                </w:p>
              </w:tc>
              <w:tc>
                <w:tcPr>
                  <w:tcW w:w="778"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780" w:type="pct"/>
                  <w:tcBorders>
                    <w:tl2br w:val="nil"/>
                    <w:tr2bl w:val="nil"/>
                  </w:tcBorders>
                  <w:noWrap w:val="0"/>
                  <w:vAlign w:val="center"/>
                </w:tcPr>
                <w:p>
                  <w:pPr>
                    <w:pStyle w:val="43"/>
                    <w:kinsoku w:val="0"/>
                    <w:wordWrap/>
                    <w:overflowPunct w:val="0"/>
                    <w:autoSpaceDE w:val="0"/>
                    <w:autoSpaceDN w:val="0"/>
                    <w:bidi w:val="0"/>
                    <w:spacing w:beforeAutospacing="0" w:afterAutospacing="0"/>
                    <w:ind w:left="0" w:leftChars="0" w:right="0" w:rightChars="0" w:firstLine="0" w:firstLineChars="0"/>
                    <w:outlineLvl w:val="9"/>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0.0009</w:t>
                  </w:r>
                </w:p>
              </w:tc>
              <w:tc>
                <w:tcPr>
                  <w:tcW w:w="554" w:type="pct"/>
                  <w:vMerge w:val="restar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54" w:type="pct"/>
                  <w:vMerge w:val="restar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699" w:type="pct"/>
                  <w:vMerge w:val="restart"/>
                  <w:tcBorders>
                    <w:tl2br w:val="nil"/>
                    <w:tr2bl w:val="nil"/>
                  </w:tcBorders>
                  <w:noWrap w:val="0"/>
                  <w:vAlign w:val="center"/>
                </w:tcPr>
                <w:p>
                  <w:pPr>
                    <w:wordWrap/>
                    <w:bidi w:val="0"/>
                    <w:spacing w:beforeAutospacing="0" w:afterAutospacing="0" w:line="0" w:lineRule="atLeast"/>
                    <w:ind w:left="0" w:leftChars="0" w:right="0" w:rightChars="0"/>
                    <w:contextualSpacing/>
                    <w:jc w:val="center"/>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及时检修，加强维护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2" w:hRule="atLeast"/>
                <w:jc w:val="center"/>
              </w:trPr>
              <w:tc>
                <w:tcPr>
                  <w:tcW w:w="66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967"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778"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SO</w:t>
                  </w:r>
                  <w:r>
                    <w:rPr>
                      <w:rFonts w:hint="default" w:ascii="Times New Roman" w:hAnsi="Times New Roman" w:eastAsia="宋体" w:cs="Times New Roman"/>
                      <w:color w:val="auto"/>
                      <w:sz w:val="21"/>
                      <w:szCs w:val="21"/>
                      <w:vertAlign w:val="subscript"/>
                      <w:lang w:val="en-US" w:eastAsia="zh-CN"/>
                    </w:rPr>
                    <w:t>2</w:t>
                  </w:r>
                </w:p>
              </w:tc>
              <w:tc>
                <w:tcPr>
                  <w:tcW w:w="780" w:type="pct"/>
                  <w:tcBorders>
                    <w:tl2br w:val="nil"/>
                    <w:tr2bl w:val="nil"/>
                  </w:tcBorders>
                  <w:noWrap w:val="0"/>
                  <w:vAlign w:val="center"/>
                </w:tcPr>
                <w:p>
                  <w:pPr>
                    <w:pStyle w:val="43"/>
                    <w:kinsoku w:val="0"/>
                    <w:wordWrap/>
                    <w:overflowPunct w:val="0"/>
                    <w:autoSpaceDE w:val="0"/>
                    <w:autoSpaceDN w:val="0"/>
                    <w:bidi w:val="0"/>
                    <w:spacing w:beforeAutospacing="0" w:afterAutospacing="0"/>
                    <w:ind w:left="0" w:leftChars="0" w:right="0" w:rightChars="0" w:firstLine="0" w:firstLineChars="0"/>
                    <w:outlineLvl w:val="9"/>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0.015</w:t>
                  </w: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699"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2" w:hRule="atLeast"/>
                <w:jc w:val="center"/>
              </w:trPr>
              <w:tc>
                <w:tcPr>
                  <w:tcW w:w="66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967"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778"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NO</w:t>
                  </w:r>
                  <w:r>
                    <w:rPr>
                      <w:rFonts w:hint="default" w:ascii="Times New Roman" w:hAnsi="Times New Roman" w:eastAsia="宋体" w:cs="Times New Roman"/>
                      <w:strike/>
                      <w:color w:val="auto"/>
                      <w:sz w:val="21"/>
                      <w:szCs w:val="21"/>
                      <w:vertAlign w:val="subscript"/>
                      <w:lang w:val="en-US" w:eastAsia="zh-CN"/>
                    </w:rPr>
                    <w:t>X</w:t>
                  </w:r>
                </w:p>
              </w:tc>
              <w:tc>
                <w:tcPr>
                  <w:tcW w:w="780" w:type="pct"/>
                  <w:tcBorders>
                    <w:tl2br w:val="nil"/>
                    <w:tr2bl w:val="nil"/>
                  </w:tcBorders>
                  <w:noWrap w:val="0"/>
                  <w:vAlign w:val="center"/>
                </w:tcPr>
                <w:p>
                  <w:pPr>
                    <w:pStyle w:val="43"/>
                    <w:kinsoku w:val="0"/>
                    <w:wordWrap/>
                    <w:overflowPunct w:val="0"/>
                    <w:autoSpaceDE w:val="0"/>
                    <w:autoSpaceDN w:val="0"/>
                    <w:bidi w:val="0"/>
                    <w:spacing w:beforeAutospacing="0" w:afterAutospacing="0"/>
                    <w:ind w:left="0" w:leftChars="0" w:right="0" w:rightChars="0" w:firstLine="0" w:firstLineChars="0"/>
                    <w:outlineLvl w:val="9"/>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0.089</w:t>
                  </w: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699"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2" w:hRule="atLeast"/>
                <w:jc w:val="center"/>
              </w:trPr>
              <w:tc>
                <w:tcPr>
                  <w:tcW w:w="66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967"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778"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sz w:val="21"/>
                      <w:szCs w:val="21"/>
                      <w:lang w:eastAsia="zh-CN"/>
                    </w:rPr>
                    <w:t>汞及其化合物</w:t>
                  </w:r>
                </w:p>
              </w:tc>
              <w:tc>
                <w:tcPr>
                  <w:tcW w:w="780" w:type="pct"/>
                  <w:tcBorders>
                    <w:tl2br w:val="nil"/>
                    <w:tr2bl w:val="nil"/>
                  </w:tcBorders>
                  <w:noWrap w:val="0"/>
                  <w:vAlign w:val="center"/>
                </w:tcPr>
                <w:p>
                  <w:pPr>
                    <w:pStyle w:val="43"/>
                    <w:kinsoku w:val="0"/>
                    <w:wordWrap/>
                    <w:overflowPunct w:val="0"/>
                    <w:autoSpaceDE w:val="0"/>
                    <w:autoSpaceDN w:val="0"/>
                    <w:bidi w:val="0"/>
                    <w:spacing w:beforeAutospacing="0" w:afterAutospacing="0"/>
                    <w:ind w:left="0" w:leftChars="0" w:right="0" w:rightChars="0" w:firstLine="0" w:firstLineChars="0"/>
                    <w:outlineLvl w:val="9"/>
                    <w:rPr>
                      <w:rFonts w:hint="eastAsia" w:cs="Times New Roman"/>
                      <w:color w:val="auto"/>
                      <w:szCs w:val="21"/>
                      <w:lang w:val="en-US" w:eastAsia="zh-CN"/>
                    </w:rPr>
                  </w:pPr>
                  <w:r>
                    <w:rPr>
                      <w:rFonts w:hint="eastAsia" w:ascii="Times New Roman" w:hAnsi="Times New Roman" w:eastAsia="宋体"/>
                      <w:b w:val="0"/>
                      <w:bCs/>
                      <w:sz w:val="21"/>
                      <w:szCs w:val="21"/>
                      <w:lang w:val="en-US" w:eastAsia="zh-CN"/>
                    </w:rPr>
                    <w:t>3.82</w:t>
                  </w:r>
                  <w:r>
                    <w:rPr>
                      <w:rFonts w:ascii="Times New Roman" w:hAnsi="Times New Roman" w:eastAsia="宋体"/>
                      <w:b w:val="0"/>
                      <w:bCs/>
                      <w:sz w:val="21"/>
                      <w:szCs w:val="21"/>
                    </w:rPr>
                    <w:t>×10</w:t>
                  </w:r>
                  <w:r>
                    <w:rPr>
                      <w:rFonts w:ascii="Times New Roman" w:hAnsi="Times New Roman" w:eastAsia="宋体"/>
                      <w:b w:val="0"/>
                      <w:bCs/>
                      <w:sz w:val="21"/>
                      <w:szCs w:val="21"/>
                      <w:vertAlign w:val="superscript"/>
                    </w:rPr>
                    <w:t>-</w:t>
                  </w:r>
                  <w:r>
                    <w:rPr>
                      <w:rFonts w:hint="eastAsia" w:ascii="Times New Roman" w:hAnsi="Times New Roman" w:eastAsia="宋体"/>
                      <w:b w:val="0"/>
                      <w:bCs/>
                      <w:sz w:val="21"/>
                      <w:szCs w:val="21"/>
                      <w:vertAlign w:val="superscript"/>
                      <w:lang w:val="en-US" w:eastAsia="zh-CN"/>
                    </w:rPr>
                    <w:t>6</w:t>
                  </w: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699"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0" w:hRule="atLeast"/>
                <w:jc w:val="center"/>
              </w:trPr>
              <w:tc>
                <w:tcPr>
                  <w:tcW w:w="665"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DA0</w:t>
                  </w:r>
                  <w:r>
                    <w:rPr>
                      <w:rFonts w:hint="default" w:ascii="Times New Roman" w:hAnsi="Times New Roman" w:eastAsia="宋体" w:cs="Times New Roman"/>
                      <w:color w:val="auto"/>
                      <w:szCs w:val="21"/>
                      <w:lang w:val="en-US" w:eastAsia="zh-CN"/>
                    </w:rPr>
                    <w:t>0</w:t>
                  </w:r>
                  <w:r>
                    <w:rPr>
                      <w:rFonts w:hint="eastAsia" w:cs="Times New Roman"/>
                      <w:color w:val="auto"/>
                      <w:szCs w:val="21"/>
                      <w:lang w:val="en-US" w:eastAsia="zh-CN"/>
                    </w:rPr>
                    <w:t>2</w:t>
                  </w:r>
                </w:p>
              </w:tc>
              <w:tc>
                <w:tcPr>
                  <w:tcW w:w="967" w:type="pct"/>
                  <w:vMerge w:val="restar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生产设施开停机等非正常情况下，造成环保设备不能正常运转</w:t>
                  </w:r>
                </w:p>
              </w:tc>
              <w:tc>
                <w:tcPr>
                  <w:tcW w:w="778"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21"/>
                      <w:szCs w:val="21"/>
                      <w:lang w:val="en-US" w:eastAsia="zh-CN"/>
                    </w:rPr>
                    <w:t>颗粒物</w:t>
                  </w:r>
                </w:p>
              </w:tc>
              <w:tc>
                <w:tcPr>
                  <w:tcW w:w="780" w:type="pct"/>
                  <w:tcBorders>
                    <w:tl2br w:val="nil"/>
                    <w:tr2bl w:val="nil"/>
                  </w:tcBorders>
                  <w:noWrap w:val="0"/>
                  <w:vAlign w:val="center"/>
                </w:tcPr>
                <w:p>
                  <w:pPr>
                    <w:pStyle w:val="43"/>
                    <w:kinsoku w:val="0"/>
                    <w:wordWrap/>
                    <w:overflowPunct w:val="0"/>
                    <w:autoSpaceDE w:val="0"/>
                    <w:autoSpaceDN w:val="0"/>
                    <w:bidi w:val="0"/>
                    <w:spacing w:beforeAutospacing="0" w:afterAutospacing="0"/>
                    <w:ind w:left="0" w:leftChars="0" w:right="0" w:rightChars="0" w:firstLine="0" w:firstLineChars="0"/>
                    <w:jc w:val="center"/>
                    <w:outlineLvl w:val="9"/>
                    <w:rPr>
                      <w:rFonts w:hint="default" w:cs="Times New Roman"/>
                      <w:color w:val="auto"/>
                      <w:szCs w:val="21"/>
                      <w:lang w:val="en-US" w:eastAsia="zh-CN"/>
                    </w:rPr>
                  </w:pPr>
                  <w:r>
                    <w:rPr>
                      <w:rFonts w:hint="eastAsia" w:cs="Times New Roman"/>
                      <w:color w:val="auto"/>
                      <w:szCs w:val="21"/>
                      <w:lang w:val="en-US" w:eastAsia="zh-CN"/>
                    </w:rPr>
                    <w:t>0.0006</w:t>
                  </w:r>
                </w:p>
              </w:tc>
              <w:tc>
                <w:tcPr>
                  <w:tcW w:w="554" w:type="pct"/>
                  <w:vMerge w:val="restar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54" w:type="pct"/>
                  <w:vMerge w:val="restar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699" w:type="pct"/>
                  <w:vMerge w:val="restart"/>
                  <w:tcBorders>
                    <w:tl2br w:val="nil"/>
                    <w:tr2bl w:val="nil"/>
                  </w:tcBorders>
                  <w:noWrap w:val="0"/>
                  <w:vAlign w:val="center"/>
                </w:tcPr>
                <w:p>
                  <w:pPr>
                    <w:wordWrap/>
                    <w:bidi w:val="0"/>
                    <w:spacing w:beforeAutospacing="0" w:afterAutospacing="0" w:line="0" w:lineRule="atLeast"/>
                    <w:ind w:left="0" w:leftChars="0" w:right="0" w:rightChars="0"/>
                    <w:contextualSpacing/>
                    <w:jc w:val="center"/>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及时检修，加强维护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5" w:hRule="atLeast"/>
                <w:jc w:val="center"/>
              </w:trPr>
              <w:tc>
                <w:tcPr>
                  <w:tcW w:w="66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967"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778"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21"/>
                      <w:szCs w:val="21"/>
                      <w:lang w:val="en-US" w:eastAsia="zh-CN"/>
                    </w:rPr>
                    <w:t>SO</w:t>
                  </w:r>
                  <w:r>
                    <w:rPr>
                      <w:rFonts w:hint="default" w:ascii="Times New Roman" w:hAnsi="Times New Roman" w:eastAsia="宋体" w:cs="Times New Roman"/>
                      <w:color w:val="auto"/>
                      <w:sz w:val="21"/>
                      <w:szCs w:val="21"/>
                      <w:vertAlign w:val="subscript"/>
                      <w:lang w:val="en-US" w:eastAsia="zh-CN"/>
                    </w:rPr>
                    <w:t>2</w:t>
                  </w:r>
                </w:p>
              </w:tc>
              <w:tc>
                <w:tcPr>
                  <w:tcW w:w="780" w:type="pct"/>
                  <w:tcBorders>
                    <w:tl2br w:val="nil"/>
                    <w:tr2bl w:val="nil"/>
                  </w:tcBorders>
                  <w:noWrap w:val="0"/>
                  <w:vAlign w:val="center"/>
                </w:tcPr>
                <w:p>
                  <w:pPr>
                    <w:pStyle w:val="43"/>
                    <w:kinsoku w:val="0"/>
                    <w:wordWrap/>
                    <w:overflowPunct w:val="0"/>
                    <w:autoSpaceDE w:val="0"/>
                    <w:autoSpaceDN w:val="0"/>
                    <w:bidi w:val="0"/>
                    <w:spacing w:beforeAutospacing="0" w:afterAutospacing="0"/>
                    <w:ind w:left="0" w:leftChars="0" w:right="0" w:rightChars="0" w:firstLine="0" w:firstLineChars="0"/>
                    <w:jc w:val="center"/>
                    <w:outlineLvl w:val="9"/>
                    <w:rPr>
                      <w:rFonts w:hint="default" w:cs="Times New Roman"/>
                      <w:color w:val="auto"/>
                      <w:szCs w:val="21"/>
                      <w:lang w:val="en-US" w:eastAsia="zh-CN"/>
                    </w:rPr>
                  </w:pPr>
                  <w:r>
                    <w:rPr>
                      <w:rFonts w:hint="eastAsia" w:cs="Times New Roman"/>
                      <w:color w:val="auto"/>
                      <w:szCs w:val="21"/>
                      <w:lang w:val="en-US" w:eastAsia="zh-CN"/>
                    </w:rPr>
                    <w:t>0.015</w:t>
                  </w: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699"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5" w:hRule="atLeast"/>
                <w:jc w:val="center"/>
              </w:trPr>
              <w:tc>
                <w:tcPr>
                  <w:tcW w:w="66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967"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778"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21"/>
                      <w:szCs w:val="21"/>
                      <w:lang w:val="en-US" w:eastAsia="zh-CN"/>
                    </w:rPr>
                    <w:t>NO</w:t>
                  </w:r>
                  <w:r>
                    <w:rPr>
                      <w:rFonts w:hint="default" w:ascii="Times New Roman" w:hAnsi="Times New Roman" w:eastAsia="宋体" w:cs="Times New Roman"/>
                      <w:strike/>
                      <w:color w:val="auto"/>
                      <w:sz w:val="21"/>
                      <w:szCs w:val="21"/>
                      <w:vertAlign w:val="subscript"/>
                      <w:lang w:val="en-US" w:eastAsia="zh-CN"/>
                    </w:rPr>
                    <w:t>X</w:t>
                  </w:r>
                </w:p>
              </w:tc>
              <w:tc>
                <w:tcPr>
                  <w:tcW w:w="780" w:type="pct"/>
                  <w:tcBorders>
                    <w:tl2br w:val="nil"/>
                    <w:tr2bl w:val="nil"/>
                  </w:tcBorders>
                  <w:noWrap w:val="0"/>
                  <w:vAlign w:val="center"/>
                </w:tcPr>
                <w:p>
                  <w:pPr>
                    <w:pStyle w:val="43"/>
                    <w:kinsoku w:val="0"/>
                    <w:wordWrap/>
                    <w:overflowPunct w:val="0"/>
                    <w:autoSpaceDE w:val="0"/>
                    <w:autoSpaceDN w:val="0"/>
                    <w:bidi w:val="0"/>
                    <w:spacing w:beforeAutospacing="0" w:afterAutospacing="0"/>
                    <w:ind w:left="0" w:leftChars="0" w:right="0" w:rightChars="0" w:firstLine="0" w:firstLineChars="0"/>
                    <w:jc w:val="center"/>
                    <w:outlineLvl w:val="9"/>
                    <w:rPr>
                      <w:rFonts w:hint="default" w:cs="Times New Roman"/>
                      <w:color w:val="auto"/>
                      <w:szCs w:val="21"/>
                      <w:lang w:val="en-US" w:eastAsia="zh-CN"/>
                    </w:rPr>
                  </w:pPr>
                  <w:r>
                    <w:rPr>
                      <w:rFonts w:hint="eastAsia" w:cs="Times New Roman"/>
                      <w:color w:val="auto"/>
                      <w:szCs w:val="21"/>
                      <w:lang w:val="en-US" w:eastAsia="zh-CN"/>
                    </w:rPr>
                    <w:t>0.091</w:t>
                  </w: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699"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5" w:hRule="atLeast"/>
                <w:jc w:val="center"/>
              </w:trPr>
              <w:tc>
                <w:tcPr>
                  <w:tcW w:w="66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967"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778" w:type="pct"/>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sz w:val="21"/>
                      <w:szCs w:val="21"/>
                      <w:lang w:eastAsia="zh-CN"/>
                    </w:rPr>
                    <w:t>汞及其化合物</w:t>
                  </w:r>
                </w:p>
              </w:tc>
              <w:tc>
                <w:tcPr>
                  <w:tcW w:w="780" w:type="pct"/>
                  <w:tcBorders>
                    <w:tl2br w:val="nil"/>
                    <w:tr2bl w:val="nil"/>
                  </w:tcBorders>
                  <w:noWrap w:val="0"/>
                  <w:vAlign w:val="center"/>
                </w:tcPr>
                <w:p>
                  <w:pPr>
                    <w:pStyle w:val="43"/>
                    <w:kinsoku w:val="0"/>
                    <w:wordWrap/>
                    <w:overflowPunct w:val="0"/>
                    <w:autoSpaceDE w:val="0"/>
                    <w:autoSpaceDN w:val="0"/>
                    <w:bidi w:val="0"/>
                    <w:spacing w:beforeAutospacing="0" w:afterAutospacing="0"/>
                    <w:ind w:left="0" w:leftChars="0" w:right="0" w:rightChars="0" w:firstLine="0" w:firstLineChars="0"/>
                    <w:jc w:val="center"/>
                    <w:outlineLvl w:val="9"/>
                    <w:rPr>
                      <w:rFonts w:hint="eastAsia" w:cs="Times New Roman"/>
                      <w:color w:val="auto"/>
                      <w:szCs w:val="21"/>
                      <w:lang w:val="en-US" w:eastAsia="zh-CN"/>
                    </w:rPr>
                  </w:pPr>
                  <w:r>
                    <w:rPr>
                      <w:rFonts w:hint="eastAsia" w:ascii="Times New Roman" w:hAnsi="Times New Roman" w:eastAsia="宋体"/>
                      <w:b w:val="0"/>
                      <w:bCs/>
                      <w:sz w:val="21"/>
                      <w:szCs w:val="21"/>
                      <w:lang w:val="en-US" w:eastAsia="zh-CN"/>
                    </w:rPr>
                    <w:t>3.83</w:t>
                  </w:r>
                  <w:r>
                    <w:rPr>
                      <w:rFonts w:ascii="Times New Roman" w:hAnsi="Times New Roman" w:eastAsia="宋体"/>
                      <w:b w:val="0"/>
                      <w:bCs/>
                      <w:sz w:val="21"/>
                      <w:szCs w:val="21"/>
                    </w:rPr>
                    <w:t>×10</w:t>
                  </w:r>
                  <w:r>
                    <w:rPr>
                      <w:rFonts w:ascii="Times New Roman" w:hAnsi="Times New Roman" w:eastAsia="宋体"/>
                      <w:b w:val="0"/>
                      <w:bCs/>
                      <w:sz w:val="21"/>
                      <w:szCs w:val="21"/>
                      <w:vertAlign w:val="superscript"/>
                    </w:rPr>
                    <w:t>-</w:t>
                  </w:r>
                  <w:r>
                    <w:rPr>
                      <w:rFonts w:hint="eastAsia" w:ascii="Times New Roman" w:hAnsi="Times New Roman" w:eastAsia="宋体"/>
                      <w:b w:val="0"/>
                      <w:bCs/>
                      <w:sz w:val="21"/>
                      <w:szCs w:val="21"/>
                      <w:vertAlign w:val="superscript"/>
                      <w:lang w:val="en-US" w:eastAsia="zh-CN"/>
                    </w:rPr>
                    <w:t>6</w:t>
                  </w: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554"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699" w:type="pct"/>
                  <w:vMerge w:val="continue"/>
                  <w:tcBorders>
                    <w:tl2br w:val="nil"/>
                    <w:tr2bl w:val="nil"/>
                  </w:tcBorders>
                  <w:noWrap w:val="0"/>
                  <w:vAlign w:val="center"/>
                </w:tcPr>
                <w:p>
                  <w:pPr>
                    <w:pStyle w:val="45"/>
                    <w:wordWrap/>
                    <w:bidi w:val="0"/>
                    <w:spacing w:beforeAutospacing="0" w:afterAutospacing="0"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r>
          </w:tbl>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bCs/>
                <w:color w:val="auto"/>
                <w:sz w:val="24"/>
              </w:rPr>
            </w:pPr>
            <w:r>
              <w:rPr>
                <w:rFonts w:hint="eastAsia" w:cs="Times New Roman"/>
                <w:b/>
                <w:bCs/>
                <w:color w:val="auto"/>
                <w:sz w:val="24"/>
                <w:lang w:val="en-US" w:eastAsia="zh-CN"/>
              </w:rPr>
              <w:t>3</w:t>
            </w:r>
            <w:r>
              <w:rPr>
                <w:rFonts w:hint="default" w:ascii="Times New Roman" w:hAnsi="Times New Roman" w:eastAsia="宋体" w:cs="Times New Roman"/>
                <w:b/>
                <w:bCs/>
                <w:color w:val="auto"/>
                <w:sz w:val="24"/>
              </w:rPr>
              <w:t>、大气监测计划</w:t>
            </w:r>
          </w:p>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根据《排污单位自行监测技术指南 农副食品加工业(HJ 986-2018)》、《排污单位自行监测技术指南 火力发电及锅炉》（HJ820-2017）和《排污许可证申请与核发技术规范 总则》（HJ819-2017），制定本项目大气监测计划如下。</w:t>
            </w:r>
          </w:p>
          <w:p>
            <w:pPr>
              <w:wordWrap/>
              <w:bidi w:val="0"/>
              <w:spacing w:beforeAutospacing="0" w:afterAutospacing="0" w:line="240" w:lineRule="auto"/>
              <w:ind w:left="0" w:leftChars="0" w:right="0" w:rightChars="0"/>
              <w:jc w:val="center"/>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w:t>
            </w:r>
            <w:r>
              <w:rPr>
                <w:rFonts w:hint="default" w:ascii="Times New Roman" w:hAnsi="Times New Roman" w:eastAsia="宋体" w:cs="Times New Roman"/>
                <w:b/>
                <w:color w:val="auto"/>
                <w:sz w:val="24"/>
                <w:lang w:val="en-US" w:eastAsia="zh-CN"/>
              </w:rPr>
              <w:t>4-</w:t>
            </w:r>
            <w:r>
              <w:rPr>
                <w:rFonts w:hint="eastAsia" w:cs="Times New Roman"/>
                <w:b/>
                <w:color w:val="auto"/>
                <w:sz w:val="24"/>
                <w:lang w:val="en-US" w:eastAsia="zh-CN"/>
              </w:rPr>
              <w:t>6</w:t>
            </w:r>
            <w:r>
              <w:rPr>
                <w:rFonts w:hint="default" w:ascii="Times New Roman" w:hAnsi="Times New Roman" w:eastAsia="宋体" w:cs="Times New Roman"/>
                <w:b/>
                <w:color w:val="auto"/>
                <w:sz w:val="24"/>
              </w:rPr>
              <w:t xml:space="preserve"> 废气监测方案</w:t>
            </w:r>
          </w:p>
          <w:tbl>
            <w:tblPr>
              <w:tblStyle w:val="18"/>
              <w:tblW w:w="494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2343"/>
              <w:gridCol w:w="2186"/>
              <w:gridCol w:w="18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927" w:type="pct"/>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w:t>
                  </w:r>
                </w:p>
              </w:tc>
              <w:tc>
                <w:tcPr>
                  <w:tcW w:w="1499" w:type="pct"/>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监测点位</w:t>
                  </w:r>
                </w:p>
              </w:tc>
              <w:tc>
                <w:tcPr>
                  <w:tcW w:w="1398" w:type="pct"/>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监测指标</w:t>
                  </w:r>
                </w:p>
              </w:tc>
              <w:tc>
                <w:tcPr>
                  <w:tcW w:w="1174" w:type="pct"/>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927" w:type="pct"/>
                  <w:vMerge w:val="restart"/>
                  <w:noWrap w:val="0"/>
                  <w:vAlign w:val="center"/>
                </w:tcPr>
                <w:p>
                  <w:pPr>
                    <w:wordWrap/>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大气</w:t>
                  </w:r>
                </w:p>
              </w:tc>
              <w:tc>
                <w:tcPr>
                  <w:tcW w:w="1499" w:type="pct"/>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厂界上风向</w:t>
                  </w:r>
                </w:p>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厂界下风向</w:t>
                  </w:r>
                </w:p>
              </w:tc>
              <w:tc>
                <w:tcPr>
                  <w:tcW w:w="1398" w:type="pct"/>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颗粒物、硫酸雾</w:t>
                  </w:r>
                </w:p>
              </w:tc>
              <w:tc>
                <w:tcPr>
                  <w:tcW w:w="1174" w:type="pct"/>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1次/半年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927" w:type="pct"/>
                  <w:vMerge w:val="continue"/>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1499" w:type="pct"/>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eastAsia" w:cs="Times New Roman"/>
                      <w:color w:val="auto"/>
                      <w:szCs w:val="21"/>
                      <w:lang w:val="en-US" w:eastAsia="zh-CN"/>
                    </w:rPr>
                    <w:t>食堂</w:t>
                  </w:r>
                  <w:r>
                    <w:rPr>
                      <w:rFonts w:hint="default" w:ascii="Times New Roman" w:hAnsi="Times New Roman" w:eastAsia="宋体" w:cs="Times New Roman"/>
                      <w:color w:val="auto"/>
                      <w:szCs w:val="21"/>
                    </w:rPr>
                    <w:t>烟道</w:t>
                  </w:r>
                </w:p>
              </w:tc>
              <w:tc>
                <w:tcPr>
                  <w:tcW w:w="1398" w:type="pct"/>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油烟</w:t>
                  </w:r>
                </w:p>
              </w:tc>
              <w:tc>
                <w:tcPr>
                  <w:tcW w:w="1174" w:type="pct"/>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1次/</w:t>
                  </w:r>
                  <w:r>
                    <w:rPr>
                      <w:rFonts w:hint="eastAsia" w:cs="Times New Roman"/>
                      <w:color w:val="auto"/>
                      <w:szCs w:val="21"/>
                      <w:lang w:val="en-US" w:eastAsia="zh-CN"/>
                    </w:rPr>
                    <w:t>半</w:t>
                  </w:r>
                  <w:r>
                    <w:rPr>
                      <w:rFonts w:hint="default" w:ascii="Times New Roman" w:hAnsi="Times New Roman" w:eastAsia="宋体" w:cs="Times New Roman"/>
                      <w:color w:val="auto"/>
                      <w:szCs w:val="21"/>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927" w:type="pct"/>
                  <w:vMerge w:val="continue"/>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1499" w:type="pct"/>
                  <w:vMerge w:val="restart"/>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DA0</w:t>
                  </w:r>
                  <w:r>
                    <w:rPr>
                      <w:rFonts w:hint="default" w:ascii="Times New Roman" w:hAnsi="Times New Roman" w:eastAsia="宋体" w:cs="Times New Roman"/>
                      <w:color w:val="auto"/>
                      <w:szCs w:val="21"/>
                      <w:lang w:val="en-US" w:eastAsia="zh-CN"/>
                    </w:rPr>
                    <w:t>0</w:t>
                  </w:r>
                  <w:r>
                    <w:rPr>
                      <w:rFonts w:hint="eastAsia" w:cs="Times New Roman"/>
                      <w:color w:val="auto"/>
                      <w:szCs w:val="21"/>
                      <w:lang w:val="en-US" w:eastAsia="zh-CN"/>
                    </w:rPr>
                    <w:t>1-DA002</w:t>
                  </w:r>
                </w:p>
              </w:tc>
              <w:tc>
                <w:tcPr>
                  <w:tcW w:w="1398" w:type="pct"/>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snapToGrid w:val="0"/>
                      <w:color w:val="auto"/>
                      <w:szCs w:val="21"/>
                    </w:rPr>
                    <w:t>颗粒物</w:t>
                  </w:r>
                </w:p>
              </w:tc>
              <w:tc>
                <w:tcPr>
                  <w:tcW w:w="1835"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snapToGrid w:val="0"/>
                      <w:color w:val="auto"/>
                      <w:sz w:val="21"/>
                      <w:szCs w:val="21"/>
                    </w:rPr>
                    <w:t>1次/</w:t>
                  </w:r>
                  <w:r>
                    <w:rPr>
                      <w:rFonts w:hint="eastAsia" w:ascii="Times New Roman" w:hAnsi="Times New Roman" w:cs="Times New Roman"/>
                      <w:snapToGrid w:val="0"/>
                      <w:color w:val="auto"/>
                      <w:sz w:val="21"/>
                      <w:szCs w:val="21"/>
                      <w:lang w:val="en-US" w:eastAsia="zh-CN"/>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927" w:type="pct"/>
                  <w:vMerge w:val="continue"/>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1499" w:type="pct"/>
                  <w:vMerge w:val="continue"/>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1398" w:type="pct"/>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snapToGrid w:val="0"/>
                      <w:color w:val="auto"/>
                      <w:szCs w:val="21"/>
                    </w:rPr>
                    <w:t>SO</w:t>
                  </w:r>
                  <w:r>
                    <w:rPr>
                      <w:rFonts w:hint="default" w:ascii="Times New Roman" w:hAnsi="Times New Roman" w:eastAsia="宋体" w:cs="Times New Roman"/>
                      <w:snapToGrid w:val="0"/>
                      <w:color w:val="auto"/>
                      <w:szCs w:val="21"/>
                      <w:vertAlign w:val="subscript"/>
                    </w:rPr>
                    <w:t>2</w:t>
                  </w:r>
                </w:p>
              </w:tc>
              <w:tc>
                <w:tcPr>
                  <w:tcW w:w="1835"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snapToGrid w:val="0"/>
                      <w:color w:val="auto"/>
                      <w:sz w:val="21"/>
                      <w:szCs w:val="21"/>
                    </w:rPr>
                    <w:t>1次/</w:t>
                  </w:r>
                  <w:r>
                    <w:rPr>
                      <w:rFonts w:hint="eastAsia" w:ascii="Times New Roman" w:hAnsi="Times New Roman" w:cs="Times New Roman"/>
                      <w:snapToGrid w:val="0"/>
                      <w:color w:val="auto"/>
                      <w:sz w:val="21"/>
                      <w:szCs w:val="21"/>
                      <w:lang w:val="en-US" w:eastAsia="zh-CN"/>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927" w:type="pct"/>
                  <w:vMerge w:val="continue"/>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1499" w:type="pct"/>
                  <w:vMerge w:val="continue"/>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1398" w:type="pct"/>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snapToGrid w:val="0"/>
                      <w:color w:val="auto"/>
                      <w:szCs w:val="21"/>
                    </w:rPr>
                    <w:t>NOx</w:t>
                  </w:r>
                </w:p>
              </w:tc>
              <w:tc>
                <w:tcPr>
                  <w:tcW w:w="1835"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snapToGrid w:val="0"/>
                      <w:color w:val="auto"/>
                      <w:sz w:val="21"/>
                      <w:szCs w:val="21"/>
                    </w:rPr>
                    <w:t>1次/月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927" w:type="pct"/>
                  <w:vMerge w:val="continue"/>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1499" w:type="pct"/>
                  <w:vMerge w:val="continue"/>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Cs w:val="21"/>
                    </w:rPr>
                  </w:pPr>
                </w:p>
              </w:tc>
              <w:tc>
                <w:tcPr>
                  <w:tcW w:w="1398" w:type="pct"/>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林格曼黑度</w:t>
                  </w:r>
                </w:p>
              </w:tc>
              <w:tc>
                <w:tcPr>
                  <w:tcW w:w="1835"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snapToGrid w:val="0"/>
                      <w:color w:val="auto"/>
                      <w:sz w:val="21"/>
                      <w:szCs w:val="21"/>
                    </w:rPr>
                    <w:t>1次/</w:t>
                  </w:r>
                  <w:r>
                    <w:rPr>
                      <w:rFonts w:hint="eastAsia" w:ascii="Times New Roman" w:hAnsi="Times New Roman" w:cs="Times New Roman"/>
                      <w:snapToGrid w:val="0"/>
                      <w:color w:val="auto"/>
                      <w:sz w:val="21"/>
                      <w:szCs w:val="21"/>
                      <w:lang w:val="en-US" w:eastAsia="zh-CN"/>
                    </w:rPr>
                    <w:t>月</w:t>
                  </w:r>
                </w:p>
              </w:tc>
            </w:tr>
          </w:tbl>
          <w:p>
            <w:pPr>
              <w:numPr>
                <w:ilvl w:val="0"/>
                <w:numId w:val="0"/>
              </w:numPr>
              <w:wordWrap/>
              <w:bidi w:val="0"/>
              <w:spacing w:beforeAutospacing="0" w:afterAutospacing="0" w:line="360" w:lineRule="auto"/>
              <w:ind w:leftChars="200" w:right="0" w:rightChars="0"/>
              <w:contextualSpacing/>
              <w:outlineLvl w:val="9"/>
              <w:rPr>
                <w:rFonts w:hint="default" w:ascii="Times New Roman" w:hAnsi="Times New Roman" w:eastAsia="宋体" w:cs="Times New Roman"/>
                <w:b/>
                <w:color w:val="auto"/>
                <w:sz w:val="24"/>
              </w:rPr>
            </w:pPr>
            <w:r>
              <w:rPr>
                <w:rFonts w:hint="eastAsia" w:cs="Times New Roman"/>
                <w:b/>
                <w:color w:val="auto"/>
                <w:sz w:val="24"/>
                <w:lang w:val="en-US" w:eastAsia="zh-CN"/>
              </w:rPr>
              <w:t>4、</w:t>
            </w:r>
            <w:r>
              <w:rPr>
                <w:rFonts w:hint="default" w:ascii="Times New Roman" w:hAnsi="Times New Roman" w:eastAsia="宋体" w:cs="Times New Roman"/>
                <w:b/>
                <w:color w:val="auto"/>
                <w:sz w:val="24"/>
              </w:rPr>
              <w:t>环保措施的可行性分析</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根据《排污许可证申请与核发技术规范 农副食品加工业-饲料加工、植物油加工工业》（HJ 1110-2020），清理筛，风选机、破碎机、粉碎机、混合机、调制器、制粒机、破粒机、分级筛、包装机产生的颗粒物的可行技术为“旋风除尘；电除尘；袋式除尘；除尘组合工艺”，本项目采用脉冲</w:t>
            </w:r>
            <w:r>
              <w:rPr>
                <w:rFonts w:hint="eastAsia" w:cs="Times New Roman"/>
                <w:bCs/>
                <w:color w:val="auto"/>
                <w:sz w:val="24"/>
                <w:lang w:val="en-US" w:eastAsia="zh-CN"/>
              </w:rPr>
              <w:t>除尘</w:t>
            </w:r>
            <w:r>
              <w:rPr>
                <w:rFonts w:hint="default" w:ascii="Times New Roman" w:hAnsi="Times New Roman" w:eastAsia="宋体" w:cs="Times New Roman"/>
                <w:bCs/>
                <w:color w:val="auto"/>
                <w:sz w:val="24"/>
              </w:rPr>
              <w:t>器，属于废气治理可行技术。</w:t>
            </w:r>
          </w:p>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二、废水</w:t>
            </w:r>
          </w:p>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1、废水源强</w:t>
            </w:r>
          </w:p>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本项目废水为</w:t>
            </w:r>
            <w:r>
              <w:rPr>
                <w:rFonts w:hint="eastAsia" w:cs="Times New Roman"/>
                <w:color w:val="auto"/>
                <w:sz w:val="24"/>
                <w:lang w:eastAsia="zh-CN"/>
              </w:rPr>
              <w:t>食堂废水</w:t>
            </w:r>
            <w:r>
              <w:rPr>
                <w:rFonts w:hint="default" w:ascii="Times New Roman" w:hAnsi="Times New Roman" w:eastAsia="宋体" w:cs="Times New Roman"/>
                <w:color w:val="auto"/>
                <w:sz w:val="24"/>
              </w:rPr>
              <w:t>、生活污水、锅炉排污水及软化处理废水、化验室器皿清洗废水。</w:t>
            </w:r>
          </w:p>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生活污水产生量为</w:t>
            </w:r>
            <w:r>
              <w:rPr>
                <w:rFonts w:hint="eastAsia" w:cs="Times New Roman"/>
                <w:color w:val="auto"/>
                <w:sz w:val="24"/>
                <w:lang w:val="en-US" w:eastAsia="zh-CN"/>
              </w:rPr>
              <w:t>199.7</w:t>
            </w:r>
            <w:r>
              <w:rPr>
                <w:rFonts w:hint="default" w:ascii="Times New Roman" w:hAnsi="Times New Roman" w:eastAsia="宋体" w:cs="Times New Roman"/>
                <w:color w:val="auto"/>
                <w:sz w:val="24"/>
              </w:rPr>
              <w:t>t/a，主要污染物为COD、氨氮、SS，产生浓度COD为300mg/L、SS为200mg/L，氨氮为30mg/L、动植物油为50mg/L。COD产生量为0.</w:t>
            </w:r>
            <w:r>
              <w:rPr>
                <w:rFonts w:hint="eastAsia" w:cs="Times New Roman"/>
                <w:color w:val="auto"/>
                <w:sz w:val="24"/>
                <w:lang w:val="en-US" w:eastAsia="zh-CN"/>
              </w:rPr>
              <w:t>06</w:t>
            </w:r>
            <w:r>
              <w:rPr>
                <w:rFonts w:hint="default" w:ascii="Times New Roman" w:hAnsi="Times New Roman" w:eastAsia="宋体" w:cs="Times New Roman"/>
                <w:color w:val="auto"/>
                <w:sz w:val="24"/>
              </w:rPr>
              <w:t>t/a、SS产生量为</w:t>
            </w:r>
            <w:r>
              <w:rPr>
                <w:rFonts w:hint="eastAsia" w:cs="Times New Roman"/>
                <w:color w:val="auto"/>
                <w:sz w:val="24"/>
                <w:lang w:val="en-US" w:eastAsia="zh-CN"/>
              </w:rPr>
              <w:t>0.04</w:t>
            </w:r>
            <w:r>
              <w:rPr>
                <w:rFonts w:hint="default" w:ascii="Times New Roman" w:hAnsi="Times New Roman" w:eastAsia="宋体" w:cs="Times New Roman"/>
                <w:color w:val="auto"/>
                <w:sz w:val="24"/>
              </w:rPr>
              <w:t>t/a、氨氮产生量为0.0</w:t>
            </w:r>
            <w:r>
              <w:rPr>
                <w:rFonts w:hint="eastAsia" w:cs="Times New Roman"/>
                <w:color w:val="auto"/>
                <w:sz w:val="24"/>
                <w:lang w:val="en-US" w:eastAsia="zh-CN"/>
              </w:rPr>
              <w:t>06</w:t>
            </w:r>
            <w:r>
              <w:rPr>
                <w:rFonts w:hint="default" w:ascii="Times New Roman" w:hAnsi="Times New Roman" w:eastAsia="宋体" w:cs="Times New Roman"/>
                <w:color w:val="auto"/>
                <w:sz w:val="24"/>
              </w:rPr>
              <w:t>t/a、动植物油产生量为0.</w:t>
            </w:r>
            <w:r>
              <w:rPr>
                <w:rFonts w:hint="default" w:ascii="Times New Roman" w:hAnsi="Times New Roman" w:eastAsia="宋体" w:cs="Times New Roman"/>
                <w:color w:val="auto"/>
                <w:sz w:val="24"/>
                <w:lang w:val="en-US" w:eastAsia="zh-CN"/>
              </w:rPr>
              <w:t>0</w:t>
            </w:r>
            <w:r>
              <w:rPr>
                <w:rFonts w:hint="eastAsia" w:cs="Times New Roman"/>
                <w:color w:val="auto"/>
                <w:sz w:val="24"/>
                <w:lang w:val="en-US" w:eastAsia="zh-CN"/>
              </w:rPr>
              <w:t>10</w:t>
            </w:r>
            <w:r>
              <w:rPr>
                <w:rFonts w:hint="default" w:ascii="Times New Roman" w:hAnsi="Times New Roman" w:eastAsia="宋体" w:cs="Times New Roman"/>
                <w:color w:val="auto"/>
                <w:sz w:val="24"/>
              </w:rPr>
              <w:t>t/a。</w:t>
            </w:r>
          </w:p>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snapToGrid w:val="0"/>
                <w:color w:val="auto"/>
                <w:sz w:val="24"/>
                <w:lang w:val="en-US" w:eastAsia="zh-CN"/>
              </w:rPr>
            </w:pPr>
            <w:r>
              <w:rPr>
                <w:rFonts w:hint="eastAsia" w:ascii="Times New Roman" w:hAnsi="Times New Roman" w:eastAsia="宋体" w:cs="Times New Roman"/>
                <w:snapToGrid w:val="0"/>
                <w:color w:val="auto"/>
                <w:sz w:val="24"/>
                <w:lang w:eastAsia="zh-CN"/>
              </w:rPr>
              <w:t>食堂废水产生量为</w:t>
            </w:r>
            <w:r>
              <w:rPr>
                <w:rFonts w:hint="eastAsia" w:cs="Times New Roman"/>
                <w:snapToGrid w:val="0"/>
                <w:color w:val="auto"/>
                <w:sz w:val="24"/>
                <w:lang w:val="en-US" w:eastAsia="zh-CN"/>
              </w:rPr>
              <w:t>149.8</w:t>
            </w:r>
            <w:r>
              <w:rPr>
                <w:rFonts w:hint="eastAsia" w:ascii="Times New Roman" w:hAnsi="Times New Roman" w:eastAsia="宋体" w:cs="Times New Roman"/>
                <w:snapToGrid w:val="0"/>
                <w:color w:val="auto"/>
                <w:sz w:val="24"/>
                <w:lang w:val="en-US" w:eastAsia="zh-CN"/>
              </w:rPr>
              <w:t>t/a，</w:t>
            </w:r>
            <w:r>
              <w:rPr>
                <w:rFonts w:hint="default" w:ascii="Times New Roman" w:hAnsi="Times New Roman" w:eastAsia="宋体" w:cs="Times New Roman"/>
                <w:color w:val="auto"/>
                <w:sz w:val="24"/>
              </w:rPr>
              <w:t>主要污染物为COD、氨氮、SS，产生浓度COD为300mg/L、SS为200mg/L，氨氮为30mg/L、动植物油为50mg/L。COD产生量为0.</w:t>
            </w:r>
            <w:r>
              <w:rPr>
                <w:rFonts w:hint="eastAsia" w:ascii="Times New Roman" w:hAnsi="Times New Roman" w:eastAsia="宋体" w:cs="Times New Roman"/>
                <w:color w:val="auto"/>
                <w:sz w:val="24"/>
                <w:lang w:val="en-US" w:eastAsia="zh-CN"/>
              </w:rPr>
              <w:t>0</w:t>
            </w:r>
            <w:r>
              <w:rPr>
                <w:rFonts w:hint="eastAsia" w:cs="Times New Roman"/>
                <w:color w:val="auto"/>
                <w:sz w:val="24"/>
                <w:lang w:val="en-US" w:eastAsia="zh-CN"/>
              </w:rPr>
              <w:t>45</w:t>
            </w:r>
            <w:r>
              <w:rPr>
                <w:rFonts w:hint="default" w:ascii="Times New Roman" w:hAnsi="Times New Roman" w:eastAsia="宋体" w:cs="Times New Roman"/>
                <w:color w:val="auto"/>
                <w:sz w:val="24"/>
              </w:rPr>
              <w:t>t/a、SS产生量为0.</w:t>
            </w:r>
            <w:r>
              <w:rPr>
                <w:rFonts w:hint="eastAsia" w:ascii="Times New Roman" w:hAnsi="Times New Roman" w:eastAsia="宋体" w:cs="Times New Roman"/>
                <w:color w:val="auto"/>
                <w:sz w:val="24"/>
                <w:lang w:val="en-US" w:eastAsia="zh-CN"/>
              </w:rPr>
              <w:t>0</w:t>
            </w:r>
            <w:r>
              <w:rPr>
                <w:rFonts w:hint="eastAsia" w:cs="Times New Roman"/>
                <w:color w:val="auto"/>
                <w:sz w:val="24"/>
                <w:lang w:val="en-US" w:eastAsia="zh-CN"/>
              </w:rPr>
              <w:t>30</w:t>
            </w:r>
            <w:r>
              <w:rPr>
                <w:rFonts w:hint="default" w:ascii="Times New Roman" w:hAnsi="Times New Roman" w:eastAsia="宋体" w:cs="Times New Roman"/>
                <w:color w:val="auto"/>
                <w:sz w:val="24"/>
              </w:rPr>
              <w:t>t/a、氨氮产生量为0.0</w:t>
            </w:r>
            <w:r>
              <w:rPr>
                <w:rFonts w:hint="eastAsia" w:ascii="Times New Roman" w:hAnsi="Times New Roman" w:eastAsia="宋体" w:cs="Times New Roman"/>
                <w:color w:val="auto"/>
                <w:sz w:val="24"/>
                <w:lang w:val="en-US" w:eastAsia="zh-CN"/>
              </w:rPr>
              <w:t>0</w:t>
            </w:r>
            <w:r>
              <w:rPr>
                <w:rFonts w:hint="eastAsia" w:cs="Times New Roman"/>
                <w:color w:val="auto"/>
                <w:sz w:val="24"/>
                <w:lang w:val="en-US" w:eastAsia="zh-CN"/>
              </w:rPr>
              <w:t>5</w:t>
            </w:r>
            <w:r>
              <w:rPr>
                <w:rFonts w:hint="default" w:ascii="Times New Roman" w:hAnsi="Times New Roman" w:eastAsia="宋体" w:cs="Times New Roman"/>
                <w:color w:val="auto"/>
                <w:sz w:val="24"/>
              </w:rPr>
              <w:t>t/a、动植物油产生量为0.</w:t>
            </w:r>
            <w:r>
              <w:rPr>
                <w:rFonts w:hint="default" w:ascii="Times New Roman" w:hAnsi="Times New Roman" w:eastAsia="宋体" w:cs="Times New Roman"/>
                <w:color w:val="auto"/>
                <w:sz w:val="24"/>
                <w:lang w:val="en-US" w:eastAsia="zh-CN"/>
              </w:rPr>
              <w:t>0</w:t>
            </w:r>
            <w:r>
              <w:rPr>
                <w:rFonts w:hint="eastAsia" w:cs="Times New Roman"/>
                <w:color w:val="auto"/>
                <w:sz w:val="24"/>
                <w:lang w:val="en-US" w:eastAsia="zh-CN"/>
              </w:rPr>
              <w:t>07</w:t>
            </w:r>
            <w:r>
              <w:rPr>
                <w:rFonts w:hint="default" w:ascii="Times New Roman" w:hAnsi="Times New Roman" w:eastAsia="宋体" w:cs="Times New Roman"/>
                <w:color w:val="auto"/>
                <w:sz w:val="24"/>
              </w:rPr>
              <w:t>t/a。</w:t>
            </w:r>
          </w:p>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snapToGrid w:val="0"/>
                <w:color w:val="auto"/>
                <w:sz w:val="24"/>
              </w:rPr>
              <w:t>本项目锅炉采用锅外水处理。锅炉排污水及软化处理废水量为</w:t>
            </w:r>
            <w:r>
              <w:rPr>
                <w:rFonts w:hint="eastAsia" w:cs="Times New Roman"/>
                <w:snapToGrid w:val="0"/>
                <w:color w:val="auto"/>
                <w:sz w:val="24"/>
                <w:lang w:val="en-US" w:eastAsia="zh-CN"/>
              </w:rPr>
              <w:t>653.7</w:t>
            </w:r>
            <w:r>
              <w:rPr>
                <w:rFonts w:hint="default" w:ascii="Times New Roman" w:hAnsi="Times New Roman" w:eastAsia="宋体" w:cs="Times New Roman"/>
                <w:snapToGrid w:val="0"/>
                <w:color w:val="auto"/>
                <w:sz w:val="24"/>
              </w:rPr>
              <w:t>t/a。</w:t>
            </w:r>
            <w:r>
              <w:rPr>
                <w:rFonts w:hint="default" w:ascii="Times New Roman" w:hAnsi="Times New Roman" w:eastAsia="宋体" w:cs="Times New Roman"/>
                <w:color w:val="auto"/>
                <w:sz w:val="24"/>
              </w:rPr>
              <w:t>软化处理废水和锅炉排污水水质比较清洁，污染物浓度较低，主要成分为CaC</w:t>
            </w:r>
            <w:r>
              <w:rPr>
                <w:rFonts w:hint="default" w:ascii="Times New Roman" w:hAnsi="Times New Roman" w:eastAsia="宋体" w:cs="Times New Roman"/>
                <w:color w:val="auto"/>
                <w:sz w:val="24"/>
                <w:lang w:val="en-US" w:eastAsia="zh-CN"/>
              </w:rPr>
              <w:t>l</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、MgC</w:t>
            </w:r>
            <w:r>
              <w:rPr>
                <w:rFonts w:hint="default" w:ascii="Times New Roman" w:hAnsi="Times New Roman" w:eastAsia="宋体" w:cs="Times New Roman"/>
                <w:color w:val="auto"/>
                <w:sz w:val="24"/>
                <w:lang w:val="en-US" w:eastAsia="zh-CN"/>
              </w:rPr>
              <w:t>l</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等可溶性盐类。根据《排放源统计调查产排污核算方法和系数手册》（公告2021年第24号）中“4430工业锅炉（热力生产和供应行业）产排污系数表”的内容，燃气锅炉（锅炉排污水＋软化处理废水）COD产生系数为</w:t>
            </w:r>
            <w:r>
              <w:rPr>
                <w:rFonts w:hint="eastAsia" w:cs="Times New Roman"/>
                <w:color w:val="auto"/>
                <w:sz w:val="24"/>
                <w:lang w:val="en-US" w:eastAsia="zh-CN"/>
              </w:rPr>
              <w:t>30</w:t>
            </w:r>
            <w:r>
              <w:rPr>
                <w:rFonts w:hint="default" w:ascii="Times New Roman" w:hAnsi="Times New Roman" w:eastAsia="宋体" w:cs="Times New Roman"/>
                <w:color w:val="auto"/>
                <w:sz w:val="24"/>
              </w:rPr>
              <w:t>克/</w:t>
            </w:r>
            <w:r>
              <w:rPr>
                <w:rFonts w:hint="eastAsia" w:cs="Times New Roman"/>
                <w:color w:val="auto"/>
                <w:sz w:val="24"/>
                <w:lang w:val="en-US" w:eastAsia="zh-CN"/>
              </w:rPr>
              <w:t>吨</w:t>
            </w:r>
            <w:r>
              <w:rPr>
                <w:rFonts w:hint="default" w:ascii="Times New Roman" w:hAnsi="Times New Roman" w:eastAsia="宋体" w:cs="Times New Roman"/>
                <w:color w:val="auto"/>
                <w:sz w:val="24"/>
              </w:rPr>
              <w:t>-原料，项目</w:t>
            </w:r>
            <w:r>
              <w:rPr>
                <w:rFonts w:hint="eastAsia" w:cs="Times New Roman"/>
                <w:color w:val="auto"/>
                <w:sz w:val="24"/>
                <w:lang w:val="en-US" w:eastAsia="zh-CN"/>
              </w:rPr>
              <w:t>生物质</w:t>
            </w:r>
            <w:r>
              <w:rPr>
                <w:rFonts w:hint="default" w:ascii="Times New Roman" w:hAnsi="Times New Roman" w:eastAsia="宋体" w:cs="Times New Roman"/>
                <w:color w:val="auto"/>
                <w:sz w:val="24"/>
              </w:rPr>
              <w:t>用量为</w:t>
            </w:r>
            <w:r>
              <w:rPr>
                <w:rFonts w:hint="eastAsia" w:cs="Times New Roman"/>
                <w:color w:val="auto"/>
                <w:sz w:val="24"/>
                <w:lang w:val="en-US" w:eastAsia="zh-CN"/>
              </w:rPr>
              <w:t>1836.3t</w:t>
            </w:r>
            <w:r>
              <w:rPr>
                <w:rFonts w:hint="default" w:ascii="Times New Roman" w:hAnsi="Times New Roman" w:eastAsia="宋体" w:cs="Times New Roman"/>
                <w:color w:val="auto"/>
                <w:sz w:val="24"/>
              </w:rPr>
              <w:t>/a，则COD产生量/排放量为0.</w:t>
            </w:r>
            <w:r>
              <w:rPr>
                <w:rFonts w:hint="default" w:ascii="Times New Roman" w:hAnsi="Times New Roman" w:eastAsia="宋体" w:cs="Times New Roman"/>
                <w:color w:val="auto"/>
                <w:sz w:val="24"/>
                <w:lang w:val="en-US" w:eastAsia="zh-CN"/>
              </w:rPr>
              <w:t>0</w:t>
            </w:r>
            <w:r>
              <w:rPr>
                <w:rFonts w:hint="eastAsia" w:cs="Times New Roman"/>
                <w:color w:val="auto"/>
                <w:sz w:val="24"/>
                <w:lang w:val="en-US" w:eastAsia="zh-CN"/>
              </w:rPr>
              <w:t>55</w:t>
            </w:r>
            <w:r>
              <w:rPr>
                <w:rFonts w:hint="default" w:ascii="Times New Roman" w:hAnsi="Times New Roman" w:eastAsia="宋体" w:cs="Times New Roman"/>
                <w:color w:val="auto"/>
                <w:sz w:val="24"/>
              </w:rPr>
              <w:t>t/a。</w:t>
            </w:r>
          </w:p>
          <w:p>
            <w:pPr>
              <w:pStyle w:val="16"/>
              <w:wordWrap/>
              <w:bidi w:val="0"/>
              <w:spacing w:beforeAutospacing="0" w:after="0" w:afterAutospacing="0" w:line="360" w:lineRule="auto"/>
              <w:ind w:left="0" w:leftChars="0" w:right="0" w:rightChars="0" w:firstLine="480" w:firstLineChars="200"/>
              <w:outlineLvl w:val="9"/>
              <w:rPr>
                <w:rFonts w:hint="default" w:ascii="Times New Roman" w:hAnsi="Times New Roman" w:eastAsia="宋体" w:cs="Times New Roman"/>
                <w:color w:val="auto"/>
                <w:spacing w:val="0"/>
                <w:kern w:val="2"/>
                <w:sz w:val="24"/>
              </w:rPr>
            </w:pPr>
            <w:r>
              <w:rPr>
                <w:rFonts w:hint="default" w:ascii="Times New Roman" w:hAnsi="Times New Roman" w:eastAsia="宋体" w:cs="Times New Roman"/>
                <w:color w:val="auto"/>
                <w:spacing w:val="0"/>
                <w:kern w:val="2"/>
                <w:sz w:val="24"/>
              </w:rPr>
              <w:t>化验室器皿清洗废水排放量约为0.016t/d，5.</w:t>
            </w:r>
            <w:r>
              <w:rPr>
                <w:rFonts w:hint="default" w:ascii="Times New Roman" w:hAnsi="Times New Roman" w:eastAsia="宋体" w:cs="Times New Roman"/>
                <w:color w:val="auto"/>
                <w:spacing w:val="0"/>
                <w:kern w:val="2"/>
                <w:sz w:val="24"/>
                <w:lang w:val="en-US" w:eastAsia="zh-CN"/>
              </w:rPr>
              <w:t>44</w:t>
            </w:r>
            <w:r>
              <w:rPr>
                <w:rFonts w:hint="default" w:ascii="Times New Roman" w:hAnsi="Times New Roman" w:eastAsia="宋体" w:cs="Times New Roman"/>
                <w:color w:val="auto"/>
                <w:spacing w:val="0"/>
                <w:kern w:val="2"/>
                <w:sz w:val="24"/>
              </w:rPr>
              <w:t>t/a。实验器皿清洗废水水质污染物较少，但可能含有酸、碱污染物，先经中和池（位于常规分析室，容积为0.2m</w:t>
            </w:r>
            <w:r>
              <w:rPr>
                <w:rFonts w:hint="default" w:ascii="Times New Roman" w:hAnsi="Times New Roman" w:eastAsia="宋体" w:cs="Times New Roman"/>
                <w:color w:val="auto"/>
                <w:spacing w:val="0"/>
                <w:kern w:val="2"/>
                <w:sz w:val="24"/>
                <w:vertAlign w:val="superscript"/>
              </w:rPr>
              <w:t>3</w:t>
            </w:r>
            <w:r>
              <w:rPr>
                <w:rFonts w:hint="default" w:ascii="Times New Roman" w:hAnsi="Times New Roman" w:eastAsia="宋体" w:cs="Times New Roman"/>
                <w:color w:val="auto"/>
                <w:spacing w:val="0"/>
                <w:kern w:val="2"/>
                <w:sz w:val="24"/>
              </w:rPr>
              <w:t>）调节pH至6~9后，再与生活污水、锅炉排污水一起排入市政污水管网。类比黑龙江龙测检测股份有限公司于2020年5月18日-5月19日对原黑龙江省华裕检测技术有限公司的废水监测报告，实验室清洗废水COD、氨氮最大产生浓度分别为164mg/L、10.6mg/L，则本项目化验室清洗废水污染物产生量分别为 COD：0.0008</w:t>
            </w:r>
            <w:r>
              <w:rPr>
                <w:rFonts w:hint="default" w:ascii="Times New Roman" w:hAnsi="Times New Roman" w:eastAsia="宋体" w:cs="Times New Roman"/>
                <w:color w:val="auto"/>
                <w:spacing w:val="0"/>
                <w:kern w:val="2"/>
                <w:sz w:val="24"/>
                <w:lang w:val="en-US" w:eastAsia="zh-CN"/>
              </w:rPr>
              <w:t>9</w:t>
            </w:r>
            <w:r>
              <w:rPr>
                <w:rFonts w:hint="default" w:ascii="Times New Roman" w:hAnsi="Times New Roman" w:eastAsia="宋体" w:cs="Times New Roman"/>
                <w:color w:val="auto"/>
                <w:spacing w:val="0"/>
                <w:kern w:val="2"/>
                <w:sz w:val="24"/>
              </w:rPr>
              <w:t>t/a、NH</w:t>
            </w:r>
            <w:r>
              <w:rPr>
                <w:rFonts w:hint="default" w:ascii="Times New Roman" w:hAnsi="Times New Roman" w:eastAsia="宋体" w:cs="Times New Roman"/>
                <w:color w:val="auto"/>
                <w:spacing w:val="0"/>
                <w:kern w:val="2"/>
                <w:sz w:val="24"/>
                <w:vertAlign w:val="subscript"/>
              </w:rPr>
              <w:t>3</w:t>
            </w:r>
            <w:r>
              <w:rPr>
                <w:rFonts w:hint="default" w:ascii="Times New Roman" w:hAnsi="Times New Roman" w:eastAsia="宋体" w:cs="Times New Roman"/>
                <w:color w:val="auto"/>
                <w:spacing w:val="0"/>
                <w:kern w:val="2"/>
                <w:sz w:val="24"/>
              </w:rPr>
              <w:t>-N：0.00005</w:t>
            </w:r>
            <w:r>
              <w:rPr>
                <w:rFonts w:hint="default" w:ascii="Times New Roman" w:hAnsi="Times New Roman" w:eastAsia="宋体" w:cs="Times New Roman"/>
                <w:color w:val="auto"/>
                <w:spacing w:val="0"/>
                <w:kern w:val="2"/>
                <w:sz w:val="24"/>
                <w:lang w:val="en-US" w:eastAsia="zh-CN"/>
              </w:rPr>
              <w:t>8</w:t>
            </w:r>
            <w:r>
              <w:rPr>
                <w:rFonts w:hint="default" w:ascii="Times New Roman" w:hAnsi="Times New Roman" w:eastAsia="宋体" w:cs="Times New Roman"/>
                <w:color w:val="auto"/>
                <w:spacing w:val="0"/>
                <w:kern w:val="2"/>
                <w:sz w:val="24"/>
              </w:rPr>
              <w:t>t/a。</w:t>
            </w:r>
          </w:p>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b/>
                <w:color w:val="auto"/>
              </w:rPr>
            </w:pPr>
            <w:r>
              <w:rPr>
                <w:rFonts w:hint="default" w:ascii="Times New Roman" w:hAnsi="Times New Roman" w:eastAsia="宋体" w:cs="Times New Roman"/>
                <w:color w:val="auto"/>
                <w:sz w:val="24"/>
              </w:rPr>
              <w:t>废水产生源强见表</w:t>
            </w:r>
            <w:r>
              <w:rPr>
                <w:rFonts w:hint="default" w:ascii="Times New Roman" w:hAnsi="Times New Roman" w:eastAsia="宋体" w:cs="Times New Roman"/>
                <w:color w:val="auto"/>
                <w:sz w:val="24"/>
                <w:lang w:val="en-US" w:eastAsia="zh-CN"/>
              </w:rPr>
              <w:t>4-</w:t>
            </w:r>
            <w:r>
              <w:rPr>
                <w:rFonts w:hint="eastAsia" w:cs="Times New Roman"/>
                <w:color w:val="auto"/>
                <w:sz w:val="24"/>
                <w:lang w:val="en-US" w:eastAsia="zh-CN"/>
              </w:rPr>
              <w:t>9</w:t>
            </w:r>
            <w:r>
              <w:rPr>
                <w:rFonts w:hint="default" w:ascii="Times New Roman" w:hAnsi="Times New Roman" w:eastAsia="宋体" w:cs="Times New Roman"/>
                <w:color w:val="auto"/>
                <w:sz w:val="24"/>
              </w:rPr>
              <w:t>。</w:t>
            </w:r>
          </w:p>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b/>
                <w:color w:val="auto"/>
              </w:rPr>
            </w:pPr>
            <w:r>
              <w:rPr>
                <w:rFonts w:hint="default" w:ascii="Times New Roman" w:hAnsi="Times New Roman" w:eastAsia="宋体" w:cs="Times New Roman"/>
                <w:b/>
                <w:color w:val="auto"/>
              </w:rPr>
              <w:t>表</w:t>
            </w:r>
            <w:r>
              <w:rPr>
                <w:rFonts w:hint="default" w:ascii="Times New Roman" w:hAnsi="Times New Roman" w:eastAsia="宋体" w:cs="Times New Roman"/>
                <w:b/>
                <w:color w:val="auto"/>
                <w:lang w:val="en-US" w:eastAsia="zh-CN"/>
              </w:rPr>
              <w:t>4-</w:t>
            </w:r>
            <w:r>
              <w:rPr>
                <w:rFonts w:hint="eastAsia" w:ascii="Times New Roman" w:hAnsi="Times New Roman" w:eastAsia="宋体" w:cs="Times New Roman"/>
                <w:b/>
                <w:color w:val="auto"/>
                <w:lang w:val="en-US" w:eastAsia="zh-CN"/>
              </w:rPr>
              <w:t>7</w:t>
            </w:r>
            <w:r>
              <w:rPr>
                <w:rFonts w:hint="default" w:ascii="Times New Roman" w:hAnsi="Times New Roman" w:eastAsia="宋体" w:cs="Times New Roman"/>
                <w:b/>
                <w:color w:val="auto"/>
              </w:rPr>
              <w:t xml:space="preserve">  废水污染源源强核算结果及相关参数一览表</w:t>
            </w:r>
          </w:p>
          <w:tbl>
            <w:tblPr>
              <w:tblStyle w:val="18"/>
              <w:tblW w:w="78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4"/>
              <w:gridCol w:w="427"/>
              <w:gridCol w:w="625"/>
              <w:gridCol w:w="674"/>
              <w:gridCol w:w="461"/>
              <w:gridCol w:w="608"/>
              <w:gridCol w:w="708"/>
              <w:gridCol w:w="627"/>
              <w:gridCol w:w="429"/>
              <w:gridCol w:w="531"/>
              <w:gridCol w:w="538"/>
              <w:gridCol w:w="691"/>
              <w:gridCol w:w="742"/>
              <w:gridCol w:w="4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restart"/>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工序/生产线</w:t>
                  </w:r>
                </w:p>
              </w:tc>
              <w:tc>
                <w:tcPr>
                  <w:tcW w:w="427" w:type="dxa"/>
                  <w:vMerge w:val="restart"/>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装置</w:t>
                  </w:r>
                </w:p>
              </w:tc>
              <w:tc>
                <w:tcPr>
                  <w:tcW w:w="625"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污染源</w:t>
                  </w:r>
                </w:p>
              </w:tc>
              <w:tc>
                <w:tcPr>
                  <w:tcW w:w="674"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污染物</w:t>
                  </w:r>
                </w:p>
              </w:tc>
              <w:tc>
                <w:tcPr>
                  <w:tcW w:w="2404" w:type="dxa"/>
                  <w:gridSpan w:val="4"/>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污染物产生</w:t>
                  </w:r>
                </w:p>
              </w:tc>
              <w:tc>
                <w:tcPr>
                  <w:tcW w:w="960" w:type="dxa"/>
                  <w:gridSpan w:val="2"/>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治理措施</w:t>
                  </w:r>
                </w:p>
              </w:tc>
              <w:tc>
                <w:tcPr>
                  <w:tcW w:w="1971" w:type="dxa"/>
                  <w:gridSpan w:val="3"/>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污染物排放</w:t>
                  </w:r>
                </w:p>
              </w:tc>
              <w:tc>
                <w:tcPr>
                  <w:tcW w:w="460"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6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核算方法</w:t>
                  </w:r>
                </w:p>
              </w:tc>
              <w:tc>
                <w:tcPr>
                  <w:tcW w:w="608" w:type="dxa"/>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废水产生量t/a</w:t>
                  </w:r>
                </w:p>
              </w:tc>
              <w:tc>
                <w:tcPr>
                  <w:tcW w:w="708" w:type="dxa"/>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产生浓度mg/L</w:t>
                  </w:r>
                </w:p>
              </w:tc>
              <w:tc>
                <w:tcPr>
                  <w:tcW w:w="627" w:type="dxa"/>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产生量</w:t>
                  </w:r>
                </w:p>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t/a</w:t>
                  </w:r>
                </w:p>
              </w:tc>
              <w:tc>
                <w:tcPr>
                  <w:tcW w:w="429"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工艺</w:t>
                  </w:r>
                </w:p>
              </w:tc>
              <w:tc>
                <w:tcPr>
                  <w:tcW w:w="53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效率</w:t>
                  </w:r>
                </w:p>
              </w:tc>
              <w:tc>
                <w:tcPr>
                  <w:tcW w:w="53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核算方法</w:t>
                  </w:r>
                </w:p>
              </w:tc>
              <w:tc>
                <w:tcPr>
                  <w:tcW w:w="691" w:type="dxa"/>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排放浓度mg/L</w:t>
                  </w:r>
                </w:p>
              </w:tc>
              <w:tc>
                <w:tcPr>
                  <w:tcW w:w="742" w:type="dxa"/>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排放量t/a</w:t>
                  </w:r>
                </w:p>
              </w:tc>
              <w:tc>
                <w:tcPr>
                  <w:tcW w:w="460" w:type="dxa"/>
                  <w:vMerge w:val="continue"/>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rPr>
                    <w:t>员工生活</w:t>
                  </w:r>
                  <w:r>
                    <w:rPr>
                      <w:rFonts w:hint="eastAsia" w:ascii="Times New Roman" w:hAnsi="Times New Roman" w:eastAsia="宋体" w:cs="Times New Roman"/>
                      <w:color w:val="auto"/>
                      <w:sz w:val="18"/>
                      <w:szCs w:val="18"/>
                      <w:lang w:eastAsia="zh-CN"/>
                    </w:rPr>
                    <w:t>废水</w:t>
                  </w:r>
                </w:p>
              </w:tc>
              <w:tc>
                <w:tcPr>
                  <w:tcW w:w="427"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员工</w:t>
                  </w:r>
                </w:p>
              </w:tc>
              <w:tc>
                <w:tcPr>
                  <w:tcW w:w="625" w:type="dxa"/>
                  <w:vMerge w:val="restart"/>
                  <w:noWrap w:val="0"/>
                  <w:vAlign w:val="center"/>
                </w:tcPr>
                <w:p>
                  <w:pPr>
                    <w:widowControl/>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生活污水</w:t>
                  </w: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COD</w:t>
                  </w:r>
                </w:p>
              </w:tc>
              <w:tc>
                <w:tcPr>
                  <w:tcW w:w="461"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608"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199.7</w:t>
                  </w: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300</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0.06</w:t>
                  </w:r>
                </w:p>
              </w:tc>
              <w:tc>
                <w:tcPr>
                  <w:tcW w:w="429" w:type="dxa"/>
                  <w:vMerge w:val="restart"/>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防渗化粪池</w:t>
                  </w: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vMerge w:val="restart"/>
                  <w:tcBorders>
                    <w:top w:val="single" w:color="auto" w:sz="2" w:space="0"/>
                  </w:tcBorders>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300</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0.06</w:t>
                  </w:r>
                </w:p>
              </w:tc>
              <w:tc>
                <w:tcPr>
                  <w:tcW w:w="460"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lang w:val="en-US" w:eastAsia="zh-CN"/>
                    </w:rPr>
                  </w:pPr>
                  <w:r>
                    <w:rPr>
                      <w:rFonts w:hint="eastAsia" w:cs="Times New Roman"/>
                      <w:color w:val="auto"/>
                      <w:lang w:val="en-US" w:eastAsia="zh-CN"/>
                    </w:rPr>
                    <w:t>6240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氨氮</w:t>
                  </w:r>
                </w:p>
              </w:tc>
              <w:tc>
                <w:tcPr>
                  <w:tcW w:w="461"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30</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0.006</w:t>
                  </w:r>
                </w:p>
              </w:tc>
              <w:tc>
                <w:tcPr>
                  <w:tcW w:w="429"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30</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0.04</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SS</w:t>
                  </w:r>
                </w:p>
              </w:tc>
              <w:tc>
                <w:tcPr>
                  <w:tcW w:w="461"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200</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0.04</w:t>
                  </w:r>
                </w:p>
              </w:tc>
              <w:tc>
                <w:tcPr>
                  <w:tcW w:w="429"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200</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0.006</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动植物油</w:t>
                  </w:r>
                </w:p>
              </w:tc>
              <w:tc>
                <w:tcPr>
                  <w:tcW w:w="461" w:type="dxa"/>
                  <w:vMerge w:val="continue"/>
                  <w:tcBorders>
                    <w:bottom w:val="single" w:color="auto" w:sz="2"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50</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0.010</w:t>
                  </w:r>
                </w:p>
              </w:tc>
              <w:tc>
                <w:tcPr>
                  <w:tcW w:w="429"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eastAsia" w:ascii="Times New Roman" w:hAnsi="Times New Roman" w:eastAsia="宋体" w:cs="Times New Roman"/>
                      <w:bCs/>
                      <w:color w:val="auto"/>
                      <w:sz w:val="18"/>
                      <w:szCs w:val="18"/>
                      <w:lang w:eastAsia="zh-CN"/>
                    </w:rPr>
                  </w:pPr>
                  <w:r>
                    <w:rPr>
                      <w:rFonts w:hint="eastAsia" w:ascii="Times New Roman" w:hAnsi="Times New Roman" w:eastAsia="宋体" w:cs="Times New Roman"/>
                      <w:bCs/>
                      <w:color w:val="auto"/>
                      <w:sz w:val="18"/>
                      <w:szCs w:val="18"/>
                      <w:lang w:val="en-US" w:eastAsia="zh-CN"/>
                    </w:rPr>
                    <w:t>/</w:t>
                  </w:r>
                </w:p>
              </w:tc>
              <w:tc>
                <w:tcPr>
                  <w:tcW w:w="538" w:type="dxa"/>
                  <w:vMerge w:val="continue"/>
                  <w:tcBorders>
                    <w:bottom w:val="single" w:color="auto" w:sz="2"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50</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0.010</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食堂废水</w:t>
                  </w:r>
                </w:p>
              </w:tc>
              <w:tc>
                <w:tcPr>
                  <w:tcW w:w="427"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食堂</w:t>
                  </w:r>
                </w:p>
              </w:tc>
              <w:tc>
                <w:tcPr>
                  <w:tcW w:w="625"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食堂废水</w:t>
                  </w: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COD</w:t>
                  </w:r>
                </w:p>
              </w:tc>
              <w:tc>
                <w:tcPr>
                  <w:tcW w:w="461"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608"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149.8</w:t>
                  </w: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300</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0.045</w:t>
                  </w:r>
                </w:p>
              </w:tc>
              <w:tc>
                <w:tcPr>
                  <w:tcW w:w="429"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隔油池</w:t>
                  </w: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eastAsia"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w:t>
                  </w:r>
                </w:p>
              </w:tc>
              <w:tc>
                <w:tcPr>
                  <w:tcW w:w="538"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300</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0.045</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氨氮</w:t>
                  </w:r>
                </w:p>
              </w:tc>
              <w:tc>
                <w:tcPr>
                  <w:tcW w:w="461"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30</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0.005</w:t>
                  </w:r>
                </w:p>
              </w:tc>
              <w:tc>
                <w:tcPr>
                  <w:tcW w:w="429"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eastAsia"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w:t>
                  </w:r>
                </w:p>
              </w:tc>
              <w:tc>
                <w:tcPr>
                  <w:tcW w:w="53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30</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0.030</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SS</w:t>
                  </w:r>
                </w:p>
              </w:tc>
              <w:tc>
                <w:tcPr>
                  <w:tcW w:w="461"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200</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0.030</w:t>
                  </w:r>
                </w:p>
              </w:tc>
              <w:tc>
                <w:tcPr>
                  <w:tcW w:w="429"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eastAsia"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w:t>
                  </w:r>
                </w:p>
              </w:tc>
              <w:tc>
                <w:tcPr>
                  <w:tcW w:w="53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200</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0.005</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动植物油</w:t>
                  </w:r>
                </w:p>
              </w:tc>
              <w:tc>
                <w:tcPr>
                  <w:tcW w:w="461" w:type="dxa"/>
                  <w:vMerge w:val="continue"/>
                  <w:tcBorders>
                    <w:bottom w:val="single" w:color="auto" w:sz="2"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50</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0.007</w:t>
                  </w:r>
                </w:p>
              </w:tc>
              <w:tc>
                <w:tcPr>
                  <w:tcW w:w="429"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50%</w:t>
                  </w:r>
                </w:p>
              </w:tc>
              <w:tc>
                <w:tcPr>
                  <w:tcW w:w="538" w:type="dxa"/>
                  <w:vMerge w:val="continue"/>
                  <w:tcBorders>
                    <w:bottom w:val="single" w:color="auto" w:sz="2"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25</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0.004</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noWrap w:val="0"/>
                  <w:vAlign w:val="center"/>
                </w:tcPr>
                <w:p>
                  <w:pPr>
                    <w:wordWrap/>
                    <w:autoSpaceDE w:val="0"/>
                    <w:autoSpaceDN w:val="0"/>
                    <w:bidi w:val="0"/>
                    <w:spacing w:beforeAutospacing="0" w:afterAutospacing="0"/>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锅炉</w:t>
                  </w:r>
                </w:p>
              </w:tc>
              <w:tc>
                <w:tcPr>
                  <w:tcW w:w="4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软化水装置、锅炉</w:t>
                  </w:r>
                </w:p>
              </w:tc>
              <w:tc>
                <w:tcPr>
                  <w:tcW w:w="625" w:type="dxa"/>
                  <w:noWrap w:val="0"/>
                  <w:vAlign w:val="center"/>
                </w:tcPr>
                <w:p>
                  <w:pPr>
                    <w:tabs>
                      <w:tab w:val="left" w:pos="212"/>
                    </w:tabs>
                    <w:wordWrap/>
                    <w:autoSpaceDE w:val="0"/>
                    <w:autoSpaceDN w:val="0"/>
                    <w:bidi w:val="0"/>
                    <w:spacing w:beforeAutospacing="0" w:afterAutospacing="0"/>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软化水处理废水和锅炉排污水</w:t>
                  </w: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COD</w:t>
                  </w:r>
                </w:p>
              </w:tc>
              <w:tc>
                <w:tcPr>
                  <w:tcW w:w="461" w:type="dxa"/>
                  <w:tcBorders>
                    <w:top w:val="single" w:color="auto" w:sz="2" w:space="0"/>
                    <w:bottom w:val="single" w:color="auto" w:sz="2"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排污系数法</w:t>
                  </w:r>
                </w:p>
              </w:tc>
              <w:tc>
                <w:tcPr>
                  <w:tcW w:w="6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653.7</w:t>
                  </w: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30g/t</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0.055</w:t>
                  </w:r>
                </w:p>
              </w:tc>
              <w:tc>
                <w:tcPr>
                  <w:tcW w:w="429" w:type="dxa"/>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防渗化粪池</w:t>
                  </w: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tcBorders>
                    <w:top w:val="single" w:color="auto" w:sz="2" w:space="0"/>
                    <w:bottom w:val="single" w:color="auto" w:sz="2" w:space="0"/>
                  </w:tcBorders>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排污系数法</w:t>
                  </w: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30g/t</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0.055</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restart"/>
                  <w:noWrap w:val="0"/>
                  <w:vAlign w:val="center"/>
                </w:tcPr>
                <w:p>
                  <w:pPr>
                    <w:wordWrap/>
                    <w:autoSpaceDE w:val="0"/>
                    <w:autoSpaceDN w:val="0"/>
                    <w:bidi w:val="0"/>
                    <w:spacing w:beforeAutospacing="0" w:afterAutospacing="0"/>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化验室</w:t>
                  </w:r>
                </w:p>
              </w:tc>
              <w:tc>
                <w:tcPr>
                  <w:tcW w:w="427"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仪器</w:t>
                  </w:r>
                </w:p>
              </w:tc>
              <w:tc>
                <w:tcPr>
                  <w:tcW w:w="625" w:type="dxa"/>
                  <w:vMerge w:val="restart"/>
                  <w:noWrap w:val="0"/>
                  <w:vAlign w:val="center"/>
                </w:tcPr>
                <w:p>
                  <w:pPr>
                    <w:tabs>
                      <w:tab w:val="left" w:pos="212"/>
                    </w:tabs>
                    <w:wordWrap/>
                    <w:autoSpaceDE w:val="0"/>
                    <w:autoSpaceDN w:val="0"/>
                    <w:bidi w:val="0"/>
                    <w:spacing w:beforeAutospacing="0" w:afterAutospacing="0"/>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清洗废水</w:t>
                  </w:r>
                </w:p>
              </w:tc>
              <w:tc>
                <w:tcPr>
                  <w:tcW w:w="674" w:type="dxa"/>
                  <w:tcBorders>
                    <w:bottom w:val="single" w:color="auto" w:sz="4" w:space="0"/>
                  </w:tcBorders>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pH</w:t>
                  </w:r>
                </w:p>
              </w:tc>
              <w:tc>
                <w:tcPr>
                  <w:tcW w:w="461" w:type="dxa"/>
                  <w:vMerge w:val="restart"/>
                  <w:tcBorders>
                    <w:top w:val="single" w:color="auto" w:sz="2"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608"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5.</w:t>
                  </w:r>
                  <w:r>
                    <w:rPr>
                      <w:rFonts w:hint="eastAsia" w:ascii="Times New Roman" w:hAnsi="Times New Roman" w:eastAsia="宋体" w:cs="Times New Roman"/>
                      <w:color w:val="auto"/>
                      <w:sz w:val="18"/>
                      <w:szCs w:val="18"/>
                      <w:lang w:val="en-US" w:eastAsia="zh-CN"/>
                    </w:rPr>
                    <w:t>44</w:t>
                  </w:r>
                </w:p>
              </w:tc>
              <w:tc>
                <w:tcPr>
                  <w:tcW w:w="708" w:type="dxa"/>
                  <w:tcBorders>
                    <w:bottom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3~11</w:t>
                  </w:r>
                </w:p>
              </w:tc>
              <w:tc>
                <w:tcPr>
                  <w:tcW w:w="627" w:type="dxa"/>
                  <w:tcBorders>
                    <w:bottom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29" w:type="dxa"/>
                  <w:vMerge w:val="restart"/>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中和</w:t>
                  </w:r>
                </w:p>
              </w:tc>
              <w:tc>
                <w:tcPr>
                  <w:tcW w:w="531" w:type="dxa"/>
                  <w:tcBorders>
                    <w:bottom w:val="single" w:color="auto" w:sz="4" w:space="0"/>
                  </w:tcBorders>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vMerge w:val="restart"/>
                  <w:tcBorders>
                    <w:top w:val="single" w:color="auto" w:sz="2" w:space="0"/>
                  </w:tcBorders>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691" w:type="dxa"/>
                  <w:tcBorders>
                    <w:bottom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6~9</w:t>
                  </w:r>
                </w:p>
              </w:tc>
              <w:tc>
                <w:tcPr>
                  <w:tcW w:w="742" w:type="dxa"/>
                  <w:tcBorders>
                    <w:bottom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tabs>
                      <w:tab w:val="left" w:pos="212"/>
                    </w:tabs>
                    <w:wordWrap/>
                    <w:autoSpaceDE w:val="0"/>
                    <w:autoSpaceDN w:val="0"/>
                    <w:bidi w:val="0"/>
                    <w:spacing w:beforeAutospacing="0" w:afterAutospacing="0"/>
                    <w:ind w:left="0" w:leftChars="0" w:right="0" w:rightChars="0"/>
                    <w:contextualSpacing/>
                    <w:outlineLvl w:val="9"/>
                    <w:rPr>
                      <w:rFonts w:hint="default" w:ascii="Times New Roman" w:hAnsi="Times New Roman" w:eastAsia="宋体" w:cs="Times New Roman"/>
                      <w:color w:val="auto"/>
                      <w:sz w:val="18"/>
                      <w:szCs w:val="18"/>
                    </w:rPr>
                  </w:pPr>
                </w:p>
              </w:tc>
              <w:tc>
                <w:tcPr>
                  <w:tcW w:w="674" w:type="dxa"/>
                  <w:tcBorders>
                    <w:top w:val="single" w:color="auto" w:sz="4" w:space="0"/>
                    <w:bottom w:val="single" w:color="auto" w:sz="4" w:space="0"/>
                  </w:tcBorders>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COD</w:t>
                  </w:r>
                </w:p>
              </w:tc>
              <w:tc>
                <w:tcPr>
                  <w:tcW w:w="461"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tcBorders>
                    <w:top w:val="single" w:color="auto" w:sz="4" w:space="0"/>
                    <w:bottom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164</w:t>
                  </w:r>
                </w:p>
              </w:tc>
              <w:tc>
                <w:tcPr>
                  <w:tcW w:w="627" w:type="dxa"/>
                  <w:tcBorders>
                    <w:top w:val="single" w:color="auto" w:sz="4" w:space="0"/>
                    <w:bottom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0.00087</w:t>
                  </w:r>
                </w:p>
              </w:tc>
              <w:tc>
                <w:tcPr>
                  <w:tcW w:w="429" w:type="dxa"/>
                  <w:vMerge w:val="continue"/>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p>
              </w:tc>
              <w:tc>
                <w:tcPr>
                  <w:tcW w:w="531" w:type="dxa"/>
                  <w:tcBorders>
                    <w:top w:val="single" w:color="auto" w:sz="4" w:space="0"/>
                    <w:bottom w:val="single" w:color="auto" w:sz="4" w:space="0"/>
                  </w:tcBorders>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vMerge w:val="continue"/>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p>
              </w:tc>
              <w:tc>
                <w:tcPr>
                  <w:tcW w:w="691" w:type="dxa"/>
                  <w:tcBorders>
                    <w:top w:val="single" w:color="auto" w:sz="4" w:space="0"/>
                    <w:bottom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164</w:t>
                  </w:r>
                </w:p>
              </w:tc>
              <w:tc>
                <w:tcPr>
                  <w:tcW w:w="742" w:type="dxa"/>
                  <w:tcBorders>
                    <w:top w:val="single" w:color="auto" w:sz="4" w:space="0"/>
                    <w:bottom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0.00087</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tabs>
                      <w:tab w:val="left" w:pos="212"/>
                    </w:tabs>
                    <w:wordWrap/>
                    <w:autoSpaceDE w:val="0"/>
                    <w:autoSpaceDN w:val="0"/>
                    <w:bidi w:val="0"/>
                    <w:spacing w:beforeAutospacing="0" w:afterAutospacing="0"/>
                    <w:ind w:left="0" w:leftChars="0" w:right="0" w:rightChars="0"/>
                    <w:contextualSpacing/>
                    <w:outlineLvl w:val="9"/>
                    <w:rPr>
                      <w:rFonts w:hint="default" w:ascii="Times New Roman" w:hAnsi="Times New Roman" w:eastAsia="宋体" w:cs="Times New Roman"/>
                      <w:color w:val="auto"/>
                      <w:sz w:val="18"/>
                      <w:szCs w:val="18"/>
                    </w:rPr>
                  </w:pPr>
                </w:p>
              </w:tc>
              <w:tc>
                <w:tcPr>
                  <w:tcW w:w="674" w:type="dxa"/>
                  <w:tcBorders>
                    <w:top w:val="single" w:color="auto" w:sz="4" w:space="0"/>
                  </w:tcBorders>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氨氮</w:t>
                  </w:r>
                </w:p>
              </w:tc>
              <w:tc>
                <w:tcPr>
                  <w:tcW w:w="461" w:type="dxa"/>
                  <w:vMerge w:val="continue"/>
                  <w:tcBorders>
                    <w:bottom w:val="single" w:color="auto" w:sz="2"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tcBorders>
                    <w:top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10.6</w:t>
                  </w:r>
                </w:p>
              </w:tc>
              <w:tc>
                <w:tcPr>
                  <w:tcW w:w="627" w:type="dxa"/>
                  <w:tcBorders>
                    <w:top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0.000056</w:t>
                  </w:r>
                </w:p>
              </w:tc>
              <w:tc>
                <w:tcPr>
                  <w:tcW w:w="429" w:type="dxa"/>
                  <w:vMerge w:val="continue"/>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p>
              </w:tc>
              <w:tc>
                <w:tcPr>
                  <w:tcW w:w="531" w:type="dxa"/>
                  <w:tcBorders>
                    <w:top w:val="single" w:color="auto" w:sz="4" w:space="0"/>
                  </w:tcBorders>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vMerge w:val="continue"/>
                  <w:tcBorders>
                    <w:bottom w:val="single" w:color="auto" w:sz="2" w:space="0"/>
                  </w:tcBorders>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p>
              </w:tc>
              <w:tc>
                <w:tcPr>
                  <w:tcW w:w="691" w:type="dxa"/>
                  <w:tcBorders>
                    <w:top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10.6</w:t>
                  </w:r>
                </w:p>
              </w:tc>
              <w:tc>
                <w:tcPr>
                  <w:tcW w:w="742" w:type="dxa"/>
                  <w:tcBorders>
                    <w:top w:val="single" w:color="auto" w:sz="4"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0.000056</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综合废水</w:t>
                  </w:r>
                </w:p>
              </w:tc>
              <w:tc>
                <w:tcPr>
                  <w:tcW w:w="427"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污水总排口</w:t>
                  </w:r>
                </w:p>
              </w:tc>
              <w:tc>
                <w:tcPr>
                  <w:tcW w:w="625"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综合污水</w:t>
                  </w: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pH</w:t>
                  </w:r>
                </w:p>
              </w:tc>
              <w:tc>
                <w:tcPr>
                  <w:tcW w:w="461" w:type="dxa"/>
                  <w:vMerge w:val="restart"/>
                  <w:tcBorders>
                    <w:top w:val="single" w:color="auto" w:sz="2"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608" w:type="dxa"/>
                  <w:vMerge w:val="restart"/>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1008.6</w:t>
                  </w: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3~11</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29" w:type="dxa"/>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w:t>
                  </w: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vMerge w:val="restart"/>
                  <w:tcBorders>
                    <w:top w:val="single" w:color="auto" w:sz="2" w:space="0"/>
                  </w:tcBorders>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6~9</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COD</w:t>
                  </w:r>
                </w:p>
              </w:tc>
              <w:tc>
                <w:tcPr>
                  <w:tcW w:w="461" w:type="dxa"/>
                  <w:vMerge w:val="continue"/>
                  <w:tcBorders>
                    <w:top w:val="single" w:color="auto" w:sz="2" w:space="0"/>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159.6</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0.</w:t>
                  </w:r>
                  <w:r>
                    <w:rPr>
                      <w:rFonts w:hint="eastAsia" w:cs="Times New Roman"/>
                      <w:color w:val="auto"/>
                      <w:sz w:val="18"/>
                      <w:szCs w:val="18"/>
                      <w:lang w:val="en-US" w:eastAsia="zh-CN"/>
                    </w:rPr>
                    <w:t>161</w:t>
                  </w:r>
                </w:p>
              </w:tc>
              <w:tc>
                <w:tcPr>
                  <w:tcW w:w="429" w:type="dxa"/>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vMerge w:val="continue"/>
                  <w:tcBorders>
                    <w:top w:val="single" w:color="auto" w:sz="2" w:space="0"/>
                  </w:tcBorders>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159.6</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rPr>
                    <w:t>0.</w:t>
                  </w:r>
                  <w:r>
                    <w:rPr>
                      <w:rFonts w:hint="eastAsia" w:cs="Times New Roman"/>
                      <w:color w:val="auto"/>
                      <w:sz w:val="18"/>
                      <w:szCs w:val="18"/>
                      <w:lang w:val="en-US" w:eastAsia="zh-CN"/>
                    </w:rPr>
                    <w:t>161</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氨氮</w:t>
                  </w:r>
                </w:p>
              </w:tc>
              <w:tc>
                <w:tcPr>
                  <w:tcW w:w="461"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10.91</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0.0</w:t>
                  </w:r>
                  <w:r>
                    <w:rPr>
                      <w:rFonts w:hint="eastAsia" w:cs="Times New Roman"/>
                      <w:color w:val="auto"/>
                      <w:sz w:val="18"/>
                      <w:szCs w:val="18"/>
                      <w:lang w:val="en-US" w:eastAsia="zh-CN"/>
                    </w:rPr>
                    <w:t>11</w:t>
                  </w:r>
                </w:p>
              </w:tc>
              <w:tc>
                <w:tcPr>
                  <w:tcW w:w="429" w:type="dxa"/>
                  <w:noWrap w:val="0"/>
                  <w:vAlign w:val="center"/>
                </w:tcPr>
                <w:p>
                  <w:pPr>
                    <w:pStyle w:val="41"/>
                    <w:wordWrap/>
                    <w:bidi w:val="0"/>
                    <w:spacing w:beforeAutospacing="0" w:afterAutospacing="0" w:line="240" w:lineRule="auto"/>
                    <w:ind w:left="0" w:leftChars="0" w:right="0" w:rightChars="0"/>
                    <w:contextualSpacing/>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w:t>
                  </w:r>
                </w:p>
              </w:tc>
              <w:tc>
                <w:tcPr>
                  <w:tcW w:w="538" w:type="dxa"/>
                  <w:vMerge w:val="continue"/>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10.91</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0.0</w:t>
                  </w:r>
                  <w:r>
                    <w:rPr>
                      <w:rFonts w:hint="eastAsia" w:cs="Times New Roman"/>
                      <w:color w:val="auto"/>
                      <w:sz w:val="18"/>
                      <w:szCs w:val="18"/>
                      <w:lang w:val="en-US" w:eastAsia="zh-CN"/>
                    </w:rPr>
                    <w:t>11</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SS</w:t>
                  </w:r>
                </w:p>
              </w:tc>
              <w:tc>
                <w:tcPr>
                  <w:tcW w:w="461"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69.4</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w:t>
                  </w:r>
                  <w:r>
                    <w:rPr>
                      <w:rFonts w:hint="eastAsia" w:cs="Times New Roman"/>
                      <w:color w:val="auto"/>
                      <w:sz w:val="18"/>
                      <w:szCs w:val="18"/>
                      <w:lang w:val="en-US" w:eastAsia="zh-CN"/>
                    </w:rPr>
                    <w:t>07</w:t>
                  </w:r>
                </w:p>
              </w:tc>
              <w:tc>
                <w:tcPr>
                  <w:tcW w:w="429" w:type="dxa"/>
                  <w:noWrap w:val="0"/>
                  <w:vAlign w:val="center"/>
                </w:tcPr>
                <w:p>
                  <w:pPr>
                    <w:pStyle w:val="41"/>
                    <w:wordWrap/>
                    <w:bidi w:val="0"/>
                    <w:spacing w:beforeAutospacing="0" w:afterAutospacing="0" w:line="240" w:lineRule="auto"/>
                    <w:ind w:left="0" w:leftChars="0" w:right="0" w:rightChars="0"/>
                    <w:contextualSpacing/>
                    <w:outlineLvl w:val="9"/>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eastAsia" w:ascii="Times New Roman" w:hAnsi="Times New Roman" w:eastAsia="宋体" w:cs="Times New Roman"/>
                      <w:bCs/>
                      <w:color w:val="auto"/>
                      <w:sz w:val="18"/>
                      <w:szCs w:val="18"/>
                      <w:lang w:val="en-US" w:eastAsia="zh-CN"/>
                    </w:rPr>
                  </w:pPr>
                  <w:r>
                    <w:rPr>
                      <w:rFonts w:hint="eastAsia" w:cs="Times New Roman"/>
                      <w:bCs/>
                      <w:color w:val="auto"/>
                      <w:sz w:val="18"/>
                      <w:szCs w:val="18"/>
                      <w:lang w:val="en-US" w:eastAsia="zh-CN"/>
                    </w:rPr>
                    <w:t>/</w:t>
                  </w:r>
                </w:p>
              </w:tc>
              <w:tc>
                <w:tcPr>
                  <w:tcW w:w="538" w:type="dxa"/>
                  <w:vMerge w:val="continue"/>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69.4</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eastAsia="zh-CN"/>
                    </w:rPr>
                    <w:t>0.</w:t>
                  </w:r>
                  <w:r>
                    <w:rPr>
                      <w:rFonts w:hint="eastAsia" w:cs="Times New Roman"/>
                      <w:color w:val="auto"/>
                      <w:sz w:val="18"/>
                      <w:szCs w:val="18"/>
                      <w:lang w:val="en-US" w:eastAsia="zh-CN"/>
                    </w:rPr>
                    <w:t>07</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4"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27"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25"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74" w:type="dxa"/>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动植物油</w:t>
                  </w:r>
                </w:p>
              </w:tc>
              <w:tc>
                <w:tcPr>
                  <w:tcW w:w="461"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608"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70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16.86</w:t>
                  </w:r>
                </w:p>
              </w:tc>
              <w:tc>
                <w:tcPr>
                  <w:tcW w:w="62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w:t>
                  </w:r>
                  <w:r>
                    <w:rPr>
                      <w:rFonts w:hint="eastAsia" w:cs="Times New Roman"/>
                      <w:color w:val="auto"/>
                      <w:sz w:val="18"/>
                      <w:szCs w:val="18"/>
                      <w:lang w:val="en-US" w:eastAsia="zh-CN"/>
                    </w:rPr>
                    <w:t>17</w:t>
                  </w:r>
                </w:p>
              </w:tc>
              <w:tc>
                <w:tcPr>
                  <w:tcW w:w="429" w:type="dxa"/>
                  <w:noWrap w:val="0"/>
                  <w:vAlign w:val="center"/>
                </w:tcPr>
                <w:p>
                  <w:pPr>
                    <w:pStyle w:val="41"/>
                    <w:wordWrap/>
                    <w:bidi w:val="0"/>
                    <w:spacing w:beforeAutospacing="0" w:afterAutospacing="0" w:line="240" w:lineRule="auto"/>
                    <w:ind w:left="0" w:leftChars="0" w:right="0" w:rightChars="0"/>
                    <w:contextualSpacing/>
                    <w:outlineLvl w:val="9"/>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w:t>
                  </w:r>
                </w:p>
              </w:tc>
              <w:tc>
                <w:tcPr>
                  <w:tcW w:w="531" w:type="dxa"/>
                  <w:noWrap w:val="0"/>
                  <w:vAlign w:val="center"/>
                </w:tcPr>
                <w:p>
                  <w:pPr>
                    <w:pStyle w:val="40"/>
                    <w:wordWrap/>
                    <w:bidi w:val="0"/>
                    <w:adjustRightInd/>
                    <w:snapToGrid/>
                    <w:spacing w:beforeAutospacing="0" w:afterAutospacing="0" w:line="240" w:lineRule="auto"/>
                    <w:ind w:left="0" w:leftChars="0" w:right="0" w:rightChars="0" w:firstLine="0" w:firstLineChars="0"/>
                    <w:contextualSpacing/>
                    <w:jc w:val="center"/>
                    <w:outlineLvl w:val="9"/>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50%</w:t>
                  </w:r>
                </w:p>
              </w:tc>
              <w:tc>
                <w:tcPr>
                  <w:tcW w:w="538" w:type="dxa"/>
                  <w:vMerge w:val="continue"/>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p>
              </w:tc>
              <w:tc>
                <w:tcPr>
                  <w:tcW w:w="691"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16.86</w:t>
                  </w:r>
                </w:p>
              </w:tc>
              <w:tc>
                <w:tcPr>
                  <w:tcW w:w="74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0.0</w:t>
                  </w:r>
                  <w:r>
                    <w:rPr>
                      <w:rFonts w:hint="eastAsia" w:cs="Times New Roman"/>
                      <w:color w:val="auto"/>
                      <w:sz w:val="18"/>
                      <w:szCs w:val="18"/>
                      <w:lang w:val="en-US" w:eastAsia="zh-CN"/>
                    </w:rPr>
                    <w:t>14</w:t>
                  </w:r>
                </w:p>
              </w:tc>
              <w:tc>
                <w:tcPr>
                  <w:tcW w:w="460" w:type="dxa"/>
                  <w:vMerge w:val="continue"/>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bl>
          <w:p>
            <w:pPr>
              <w:wordWrap/>
              <w:bidi w:val="0"/>
              <w:spacing w:beforeAutospacing="0" w:afterAutospacing="0" w:line="240" w:lineRule="auto"/>
              <w:ind w:left="0" w:leftChars="0" w:right="0" w:rightChars="0" w:firstLine="487" w:firstLineChars="202"/>
              <w:jc w:val="center"/>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w:t>
            </w:r>
            <w:r>
              <w:rPr>
                <w:rFonts w:hint="default" w:ascii="Times New Roman" w:hAnsi="Times New Roman" w:eastAsia="宋体" w:cs="Times New Roman"/>
                <w:b/>
                <w:color w:val="auto"/>
                <w:sz w:val="24"/>
                <w:lang w:val="en-US" w:eastAsia="zh-CN"/>
              </w:rPr>
              <w:t>4-</w:t>
            </w:r>
            <w:r>
              <w:rPr>
                <w:rFonts w:hint="eastAsia" w:cs="Times New Roman"/>
                <w:b/>
                <w:color w:val="auto"/>
                <w:sz w:val="24"/>
                <w:lang w:val="en-US" w:eastAsia="zh-CN"/>
              </w:rPr>
              <w:t>8</w:t>
            </w:r>
            <w:r>
              <w:rPr>
                <w:rFonts w:hint="default" w:ascii="Times New Roman" w:hAnsi="Times New Roman" w:eastAsia="宋体" w:cs="Times New Roman"/>
                <w:b/>
                <w:color w:val="auto"/>
                <w:sz w:val="24"/>
              </w:rPr>
              <w:t xml:space="preserve">  废水类别、污染物及污染治理设施信息表</w:t>
            </w:r>
          </w:p>
          <w:tbl>
            <w:tblPr>
              <w:tblStyle w:val="18"/>
              <w:tblW w:w="78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8"/>
              <w:gridCol w:w="691"/>
              <w:gridCol w:w="736"/>
              <w:gridCol w:w="491"/>
              <w:gridCol w:w="613"/>
              <w:gridCol w:w="737"/>
              <w:gridCol w:w="859"/>
              <w:gridCol w:w="737"/>
              <w:gridCol w:w="631"/>
              <w:gridCol w:w="825"/>
              <w:gridCol w:w="11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8" w:type="dxa"/>
                  <w:vMerge w:val="restart"/>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691" w:type="dxa"/>
                  <w:vMerge w:val="restart"/>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废水类别</w:t>
                  </w:r>
                </w:p>
              </w:tc>
              <w:tc>
                <w:tcPr>
                  <w:tcW w:w="736" w:type="dxa"/>
                  <w:vMerge w:val="restart"/>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污染物种类</w:t>
                  </w:r>
                </w:p>
              </w:tc>
              <w:tc>
                <w:tcPr>
                  <w:tcW w:w="491" w:type="dxa"/>
                  <w:vMerge w:val="restart"/>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排放去向</w:t>
                  </w:r>
                </w:p>
              </w:tc>
              <w:tc>
                <w:tcPr>
                  <w:tcW w:w="613" w:type="dxa"/>
                  <w:vMerge w:val="restart"/>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排放规律</w:t>
                  </w:r>
                </w:p>
              </w:tc>
              <w:tc>
                <w:tcPr>
                  <w:tcW w:w="2333" w:type="dxa"/>
                  <w:gridSpan w:val="3"/>
                  <w:noWrap w:val="0"/>
                  <w:vAlign w:val="center"/>
                </w:tcPr>
                <w:p>
                  <w:pPr>
                    <w:wordWrap/>
                    <w:bidi w:val="0"/>
                    <w:spacing w:beforeAutospacing="0" w:afterAutospacing="0" w:line="220" w:lineRule="exact"/>
                    <w:ind w:left="0" w:leftChars="0" w:right="0" w:rightChars="0" w:firstLine="167"/>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污染治理措施</w:t>
                  </w:r>
                </w:p>
              </w:tc>
              <w:tc>
                <w:tcPr>
                  <w:tcW w:w="631" w:type="dxa"/>
                  <w:vMerge w:val="restart"/>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排放口编号</w:t>
                  </w:r>
                </w:p>
              </w:tc>
              <w:tc>
                <w:tcPr>
                  <w:tcW w:w="825" w:type="dxa"/>
                  <w:vMerge w:val="restart"/>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排放口设置是否符合要求</w:t>
                  </w:r>
                </w:p>
              </w:tc>
              <w:tc>
                <w:tcPr>
                  <w:tcW w:w="1137" w:type="dxa"/>
                  <w:vMerge w:val="restart"/>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8" w:type="dxa"/>
                  <w:vMerge w:val="continue"/>
                  <w:noWrap w:val="0"/>
                  <w:vAlign w:val="center"/>
                </w:tcPr>
                <w:p>
                  <w:pPr>
                    <w:wordWrap/>
                    <w:bidi w:val="0"/>
                    <w:spacing w:beforeAutospacing="0" w:afterAutospacing="0" w:line="220" w:lineRule="exact"/>
                    <w:ind w:left="0" w:leftChars="0" w:right="0" w:rightChars="0" w:firstLine="167"/>
                    <w:jc w:val="center"/>
                    <w:outlineLvl w:val="9"/>
                    <w:rPr>
                      <w:rFonts w:hint="default" w:ascii="Times New Roman" w:hAnsi="Times New Roman" w:eastAsia="宋体" w:cs="Times New Roman"/>
                      <w:color w:val="auto"/>
                      <w:szCs w:val="21"/>
                    </w:rPr>
                  </w:pPr>
                </w:p>
              </w:tc>
              <w:tc>
                <w:tcPr>
                  <w:tcW w:w="691" w:type="dxa"/>
                  <w:vMerge w:val="continue"/>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p>
              </w:tc>
              <w:tc>
                <w:tcPr>
                  <w:tcW w:w="736" w:type="dxa"/>
                  <w:vMerge w:val="continue"/>
                  <w:noWrap w:val="0"/>
                  <w:vAlign w:val="center"/>
                </w:tcPr>
                <w:p>
                  <w:pPr>
                    <w:wordWrap/>
                    <w:bidi w:val="0"/>
                    <w:spacing w:beforeAutospacing="0" w:afterAutospacing="0" w:line="220" w:lineRule="exact"/>
                    <w:ind w:left="0" w:leftChars="0" w:right="0" w:rightChars="0" w:firstLine="167"/>
                    <w:jc w:val="center"/>
                    <w:outlineLvl w:val="9"/>
                    <w:rPr>
                      <w:rFonts w:hint="default" w:ascii="Times New Roman" w:hAnsi="Times New Roman" w:eastAsia="宋体" w:cs="Times New Roman"/>
                      <w:color w:val="auto"/>
                      <w:szCs w:val="21"/>
                    </w:rPr>
                  </w:pPr>
                </w:p>
              </w:tc>
              <w:tc>
                <w:tcPr>
                  <w:tcW w:w="491" w:type="dxa"/>
                  <w:vMerge w:val="continue"/>
                  <w:noWrap w:val="0"/>
                  <w:vAlign w:val="center"/>
                </w:tcPr>
                <w:p>
                  <w:pPr>
                    <w:wordWrap/>
                    <w:bidi w:val="0"/>
                    <w:spacing w:beforeAutospacing="0" w:afterAutospacing="0" w:line="220" w:lineRule="exact"/>
                    <w:ind w:left="0" w:leftChars="0" w:right="0" w:rightChars="0" w:firstLine="167"/>
                    <w:jc w:val="center"/>
                    <w:outlineLvl w:val="9"/>
                    <w:rPr>
                      <w:rFonts w:hint="default" w:ascii="Times New Roman" w:hAnsi="Times New Roman" w:eastAsia="宋体" w:cs="Times New Roman"/>
                      <w:color w:val="auto"/>
                      <w:szCs w:val="21"/>
                    </w:rPr>
                  </w:pPr>
                </w:p>
              </w:tc>
              <w:tc>
                <w:tcPr>
                  <w:tcW w:w="613" w:type="dxa"/>
                  <w:vMerge w:val="continue"/>
                  <w:noWrap w:val="0"/>
                  <w:vAlign w:val="center"/>
                </w:tcPr>
                <w:p>
                  <w:pPr>
                    <w:wordWrap/>
                    <w:bidi w:val="0"/>
                    <w:spacing w:beforeAutospacing="0" w:afterAutospacing="0" w:line="220" w:lineRule="exact"/>
                    <w:ind w:left="0" w:leftChars="0" w:right="0" w:rightChars="0" w:firstLine="167"/>
                    <w:jc w:val="center"/>
                    <w:outlineLvl w:val="9"/>
                    <w:rPr>
                      <w:rFonts w:hint="default" w:ascii="Times New Roman" w:hAnsi="Times New Roman" w:eastAsia="宋体" w:cs="Times New Roman"/>
                      <w:color w:val="auto"/>
                      <w:szCs w:val="21"/>
                    </w:rPr>
                  </w:pPr>
                </w:p>
              </w:tc>
              <w:tc>
                <w:tcPr>
                  <w:tcW w:w="737" w:type="dxa"/>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污染治理设施编号</w:t>
                  </w:r>
                </w:p>
              </w:tc>
              <w:tc>
                <w:tcPr>
                  <w:tcW w:w="859" w:type="dxa"/>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污染治理设施名称</w:t>
                  </w:r>
                </w:p>
              </w:tc>
              <w:tc>
                <w:tcPr>
                  <w:tcW w:w="737" w:type="dxa"/>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污染治理设施工艺</w:t>
                  </w:r>
                </w:p>
              </w:tc>
              <w:tc>
                <w:tcPr>
                  <w:tcW w:w="631" w:type="dxa"/>
                  <w:vMerge w:val="continue"/>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p>
              </w:tc>
              <w:tc>
                <w:tcPr>
                  <w:tcW w:w="825" w:type="dxa"/>
                  <w:vMerge w:val="continue"/>
                  <w:noWrap w:val="0"/>
                  <w:vAlign w:val="center"/>
                </w:tcPr>
                <w:p>
                  <w:pPr>
                    <w:wordWrap/>
                    <w:bidi w:val="0"/>
                    <w:spacing w:beforeAutospacing="0" w:afterAutospacing="0" w:line="220" w:lineRule="exact"/>
                    <w:ind w:left="0" w:leftChars="0" w:right="0" w:rightChars="0"/>
                    <w:jc w:val="center"/>
                    <w:outlineLvl w:val="9"/>
                    <w:rPr>
                      <w:rFonts w:hint="default" w:ascii="Times New Roman" w:hAnsi="Times New Roman" w:eastAsia="宋体" w:cs="Times New Roman"/>
                      <w:color w:val="auto"/>
                      <w:szCs w:val="21"/>
                    </w:rPr>
                  </w:pPr>
                </w:p>
              </w:tc>
              <w:tc>
                <w:tcPr>
                  <w:tcW w:w="1137" w:type="dxa"/>
                  <w:vMerge w:val="continue"/>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8" w:type="dxa"/>
                  <w:vMerge w:val="restart"/>
                  <w:noWrap w:val="0"/>
                  <w:vAlign w:val="center"/>
                </w:tcPr>
                <w:p>
                  <w:pPr>
                    <w:wordWrap/>
                    <w:bidi w:val="0"/>
                    <w:spacing w:beforeAutospacing="0" w:afterAutospacing="0" w:line="260" w:lineRule="exact"/>
                    <w:ind w:left="210" w:leftChars="0" w:right="0" w:rightChars="0" w:hanging="210" w:hangingChars="10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691" w:type="dxa"/>
                  <w:vMerge w:val="restart"/>
                  <w:noWrap w:val="0"/>
                  <w:vAlign w:val="center"/>
                </w:tcPr>
                <w:p>
                  <w:pPr>
                    <w:wordWrap/>
                    <w:bidi w:val="0"/>
                    <w:spacing w:beforeAutospacing="0" w:afterAutospacing="0" w:line="26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生活污水（含</w:t>
                  </w:r>
                  <w:r>
                    <w:rPr>
                      <w:rFonts w:hint="eastAsia" w:cs="Times New Roman"/>
                      <w:color w:val="auto"/>
                      <w:szCs w:val="21"/>
                      <w:lang w:eastAsia="zh-CN"/>
                    </w:rPr>
                    <w:t>食堂废水</w:t>
                  </w:r>
                  <w:r>
                    <w:rPr>
                      <w:rFonts w:hint="default" w:ascii="Times New Roman" w:hAnsi="Times New Roman" w:eastAsia="宋体" w:cs="Times New Roman"/>
                      <w:color w:val="auto"/>
                      <w:szCs w:val="21"/>
                    </w:rPr>
                    <w:t>）</w:t>
                  </w:r>
                </w:p>
              </w:tc>
              <w:tc>
                <w:tcPr>
                  <w:tcW w:w="736"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COD、NH</w:t>
                  </w:r>
                  <w:r>
                    <w:rPr>
                      <w:rFonts w:hint="default" w:ascii="Times New Roman" w:hAnsi="Times New Roman" w:eastAsia="宋体" w:cs="Times New Roman"/>
                      <w:color w:val="auto"/>
                      <w:szCs w:val="21"/>
                      <w:vertAlign w:val="subscript"/>
                    </w:rPr>
                    <w:t>3</w:t>
                  </w:r>
                  <w:r>
                    <w:rPr>
                      <w:rFonts w:hint="default" w:ascii="Times New Roman" w:hAnsi="Times New Roman" w:eastAsia="宋体" w:cs="Times New Roman"/>
                      <w:color w:val="auto"/>
                      <w:szCs w:val="21"/>
                    </w:rPr>
                    <w:t>-N、SS</w:t>
                  </w:r>
                </w:p>
              </w:tc>
              <w:tc>
                <w:tcPr>
                  <w:tcW w:w="491" w:type="dxa"/>
                  <w:vMerge w:val="restart"/>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eastAsia" w:cs="Times New Roman"/>
                      <w:color w:val="auto"/>
                      <w:szCs w:val="21"/>
                      <w:lang w:val="en-US" w:eastAsia="zh-CN"/>
                    </w:rPr>
                    <w:t>双城</w:t>
                  </w:r>
                  <w:r>
                    <w:rPr>
                      <w:rFonts w:hint="default" w:ascii="Times New Roman" w:hAnsi="Times New Roman" w:eastAsia="宋体" w:cs="Times New Roman"/>
                      <w:color w:val="auto"/>
                      <w:szCs w:val="21"/>
                    </w:rPr>
                    <w:t>污水处理厂</w:t>
                  </w:r>
                </w:p>
              </w:tc>
              <w:tc>
                <w:tcPr>
                  <w:tcW w:w="613" w:type="dxa"/>
                  <w:vMerge w:val="restart"/>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间歇排放，流量不稳定</w:t>
                  </w:r>
                </w:p>
              </w:tc>
              <w:tc>
                <w:tcPr>
                  <w:tcW w:w="737"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TW001</w:t>
                  </w:r>
                </w:p>
              </w:tc>
              <w:tc>
                <w:tcPr>
                  <w:tcW w:w="859"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防渗化粪池</w:t>
                  </w:r>
                </w:p>
              </w:tc>
              <w:tc>
                <w:tcPr>
                  <w:tcW w:w="737"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沉淀</w:t>
                  </w:r>
                </w:p>
              </w:tc>
              <w:tc>
                <w:tcPr>
                  <w:tcW w:w="631" w:type="dxa"/>
                  <w:vMerge w:val="restart"/>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DW001</w:t>
                  </w:r>
                </w:p>
              </w:tc>
              <w:tc>
                <w:tcPr>
                  <w:tcW w:w="825" w:type="dxa"/>
                  <w:vMerge w:val="restart"/>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w:t>
                  </w:r>
                </w:p>
                <w:p>
                  <w:pPr>
                    <w:pStyle w:val="23"/>
                    <w:wordWrap/>
                    <w:bidi w:val="0"/>
                    <w:spacing w:beforeAutospacing="0" w:afterAutospacing="0"/>
                    <w:ind w:right="0" w:right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sym w:font="Wingdings 2" w:char="00A3"/>
                  </w:r>
                  <w:r>
                    <w:rPr>
                      <w:rFonts w:hint="default" w:ascii="Times New Roman" w:hAnsi="Times New Roman" w:eastAsia="宋体" w:cs="Times New Roman"/>
                      <w:color w:val="auto"/>
                      <w:kern w:val="2"/>
                      <w:sz w:val="21"/>
                      <w:szCs w:val="21"/>
                      <w:lang w:val="en-US" w:eastAsia="zh-CN" w:bidi="ar-SA"/>
                    </w:rPr>
                    <w:t>否</w:t>
                  </w:r>
                </w:p>
              </w:tc>
              <w:tc>
                <w:tcPr>
                  <w:tcW w:w="1137" w:type="dxa"/>
                  <w:vMerge w:val="restart"/>
                  <w:noWrap w:val="0"/>
                  <w:vAlign w:val="center"/>
                </w:tcPr>
                <w:p>
                  <w:pPr>
                    <w:wordWrap/>
                    <w:bidi w:val="0"/>
                    <w:spacing w:beforeAutospacing="0" w:afterAutospacing="0"/>
                    <w:ind w:left="0" w:leftChars="0" w:right="0" w:rightChars="0"/>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□企业总排</w:t>
                  </w:r>
                </w:p>
                <w:p>
                  <w:pPr>
                    <w:pStyle w:val="23"/>
                    <w:wordWrap/>
                    <w:bidi w:val="0"/>
                    <w:adjustRightInd/>
                    <w:spacing w:beforeAutospacing="0" w:afterAutospacing="0"/>
                    <w:ind w:left="0" w:leftChars="0" w:right="0" w:rightChars="0"/>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□雨水排放</w:t>
                  </w:r>
                </w:p>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r>
                    <w:rPr>
                      <w:rFonts w:hint="default" w:ascii="Times New Roman" w:hAnsi="Times New Roman" w:eastAsia="宋体" w:cs="Times New Roman"/>
                      <w:color w:val="auto"/>
                      <w:spacing w:val="-11"/>
                      <w:szCs w:val="21"/>
                    </w:rPr>
                    <w:t>清净下水排放</w:t>
                  </w:r>
                </w:p>
                <w:p>
                  <w:pPr>
                    <w:pStyle w:val="23"/>
                    <w:wordWrap/>
                    <w:bidi w:val="0"/>
                    <w:adjustRightInd/>
                    <w:spacing w:beforeAutospacing="0" w:afterAutospacing="0"/>
                    <w:ind w:left="0" w:leftChars="0" w:right="0" w:right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□温排水排放</w:t>
                  </w:r>
                </w:p>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r>
                    <w:rPr>
                      <w:rFonts w:hint="default" w:ascii="Times New Roman" w:hAnsi="Times New Roman" w:eastAsia="宋体" w:cs="Times New Roman"/>
                      <w:color w:val="auto"/>
                      <w:spacing w:val="-11"/>
                      <w:szCs w:val="21"/>
                    </w:rPr>
                    <w:t>车间或车间处理设施排放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8" w:type="dxa"/>
                  <w:vMerge w:val="continue"/>
                  <w:noWrap w:val="0"/>
                  <w:vAlign w:val="center"/>
                </w:tcPr>
                <w:p>
                  <w:pPr>
                    <w:wordWrap/>
                    <w:bidi w:val="0"/>
                    <w:spacing w:beforeAutospacing="0" w:afterAutospacing="0" w:line="260" w:lineRule="exact"/>
                    <w:ind w:left="210" w:leftChars="0" w:right="0" w:rightChars="0" w:hanging="210" w:hangingChars="100"/>
                    <w:jc w:val="center"/>
                    <w:outlineLvl w:val="9"/>
                    <w:rPr>
                      <w:rFonts w:hint="default" w:ascii="Times New Roman" w:hAnsi="Times New Roman" w:eastAsia="宋体" w:cs="Times New Roman"/>
                      <w:color w:val="auto"/>
                      <w:szCs w:val="21"/>
                    </w:rPr>
                  </w:pPr>
                </w:p>
              </w:tc>
              <w:tc>
                <w:tcPr>
                  <w:tcW w:w="691" w:type="dxa"/>
                  <w:vMerge w:val="continue"/>
                  <w:noWrap w:val="0"/>
                  <w:vAlign w:val="center"/>
                </w:tcPr>
                <w:p>
                  <w:pPr>
                    <w:wordWrap/>
                    <w:bidi w:val="0"/>
                    <w:spacing w:beforeAutospacing="0" w:afterAutospacing="0" w:line="260" w:lineRule="exact"/>
                    <w:ind w:left="0" w:leftChars="0" w:right="0" w:rightChars="0"/>
                    <w:jc w:val="center"/>
                    <w:outlineLvl w:val="9"/>
                    <w:rPr>
                      <w:rFonts w:hint="default" w:ascii="Times New Roman" w:hAnsi="Times New Roman" w:eastAsia="宋体" w:cs="Times New Roman"/>
                      <w:color w:val="auto"/>
                      <w:szCs w:val="21"/>
                    </w:rPr>
                  </w:pPr>
                </w:p>
              </w:tc>
              <w:tc>
                <w:tcPr>
                  <w:tcW w:w="736"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动植物油</w:t>
                  </w:r>
                </w:p>
              </w:tc>
              <w:tc>
                <w:tcPr>
                  <w:tcW w:w="491" w:type="dxa"/>
                  <w:vMerge w:val="continue"/>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p>
              </w:tc>
              <w:tc>
                <w:tcPr>
                  <w:tcW w:w="613" w:type="dxa"/>
                  <w:vMerge w:val="continue"/>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p>
              </w:tc>
              <w:tc>
                <w:tcPr>
                  <w:tcW w:w="737"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TW002</w:t>
                  </w:r>
                </w:p>
              </w:tc>
              <w:tc>
                <w:tcPr>
                  <w:tcW w:w="859"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隔油池</w:t>
                  </w:r>
                </w:p>
              </w:tc>
              <w:tc>
                <w:tcPr>
                  <w:tcW w:w="737"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隔油</w:t>
                  </w:r>
                </w:p>
              </w:tc>
              <w:tc>
                <w:tcPr>
                  <w:tcW w:w="631" w:type="dxa"/>
                  <w:vMerge w:val="continue"/>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p>
              </w:tc>
              <w:tc>
                <w:tcPr>
                  <w:tcW w:w="825" w:type="dxa"/>
                  <w:vMerge w:val="continue"/>
                  <w:noWrap w:val="0"/>
                  <w:vAlign w:val="center"/>
                </w:tcPr>
                <w:p>
                  <w:pPr>
                    <w:pStyle w:val="23"/>
                    <w:wordWrap/>
                    <w:bidi w:val="0"/>
                    <w:spacing w:beforeAutospacing="0" w:afterAutospacing="0"/>
                    <w:ind w:left="0" w:leftChars="0" w:right="0" w:rightChars="0" w:firstLine="210" w:firstLineChars="100"/>
                    <w:outlineLvl w:val="9"/>
                    <w:rPr>
                      <w:rFonts w:hint="default" w:ascii="Times New Roman" w:hAnsi="Times New Roman" w:eastAsia="宋体" w:cs="Times New Roman"/>
                      <w:color w:val="auto"/>
                      <w:sz w:val="21"/>
                      <w:szCs w:val="21"/>
                    </w:rPr>
                  </w:pPr>
                </w:p>
              </w:tc>
              <w:tc>
                <w:tcPr>
                  <w:tcW w:w="1137" w:type="dxa"/>
                  <w:vMerge w:val="continue"/>
                  <w:noWrap w:val="0"/>
                  <w:vAlign w:val="center"/>
                </w:tcPr>
                <w:p>
                  <w:pPr>
                    <w:wordWrap/>
                    <w:bidi w:val="0"/>
                    <w:spacing w:beforeAutospacing="0" w:afterAutospacing="0" w:line="300" w:lineRule="exact"/>
                    <w:ind w:left="0" w:leftChars="0" w:right="0" w:rightChars="0"/>
                    <w:jc w:val="center"/>
                    <w:outlineLvl w:val="9"/>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8" w:type="dxa"/>
                  <w:noWrap w:val="0"/>
                  <w:vAlign w:val="center"/>
                </w:tcPr>
                <w:p>
                  <w:pPr>
                    <w:wordWrap/>
                    <w:bidi w:val="0"/>
                    <w:spacing w:beforeAutospacing="0" w:afterAutospacing="0" w:line="260" w:lineRule="exact"/>
                    <w:ind w:left="210" w:leftChars="0" w:right="0" w:rightChars="0" w:hanging="210" w:hangingChars="10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691" w:type="dxa"/>
                  <w:noWrap w:val="0"/>
                  <w:vAlign w:val="center"/>
                </w:tcPr>
                <w:p>
                  <w:pPr>
                    <w:wordWrap/>
                    <w:bidi w:val="0"/>
                    <w:spacing w:beforeAutospacing="0" w:afterAutospacing="0" w:line="26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软化水处理废水和锅炉排污水</w:t>
                  </w:r>
                </w:p>
              </w:tc>
              <w:tc>
                <w:tcPr>
                  <w:tcW w:w="736"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COD</w:t>
                  </w:r>
                </w:p>
              </w:tc>
              <w:tc>
                <w:tcPr>
                  <w:tcW w:w="491" w:type="dxa"/>
                  <w:vMerge w:val="continue"/>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p>
              </w:tc>
              <w:tc>
                <w:tcPr>
                  <w:tcW w:w="613" w:type="dxa"/>
                  <w:vMerge w:val="continue"/>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p>
              </w:tc>
              <w:tc>
                <w:tcPr>
                  <w:tcW w:w="737"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TW001</w:t>
                  </w:r>
                </w:p>
              </w:tc>
              <w:tc>
                <w:tcPr>
                  <w:tcW w:w="859"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737"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631" w:type="dxa"/>
                  <w:vMerge w:val="continue"/>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p>
              </w:tc>
              <w:tc>
                <w:tcPr>
                  <w:tcW w:w="825" w:type="dxa"/>
                  <w:vMerge w:val="continue"/>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p>
              </w:tc>
              <w:tc>
                <w:tcPr>
                  <w:tcW w:w="1137" w:type="dxa"/>
                  <w:vMerge w:val="continue"/>
                  <w:noWrap w:val="0"/>
                  <w:vAlign w:val="center"/>
                </w:tcPr>
                <w:p>
                  <w:pPr>
                    <w:wordWrap/>
                    <w:bidi w:val="0"/>
                    <w:spacing w:beforeAutospacing="0" w:afterAutospacing="0" w:line="300" w:lineRule="exact"/>
                    <w:ind w:left="0" w:leftChars="0" w:right="0" w:rightChars="0" w:firstLine="210" w:firstLineChars="100"/>
                    <w:outlineLvl w:val="9"/>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8" w:type="dxa"/>
                  <w:noWrap w:val="0"/>
                  <w:vAlign w:val="center"/>
                </w:tcPr>
                <w:p>
                  <w:pPr>
                    <w:wordWrap/>
                    <w:bidi w:val="0"/>
                    <w:spacing w:beforeAutospacing="0" w:afterAutospacing="0" w:line="260" w:lineRule="exact"/>
                    <w:ind w:left="210" w:leftChars="0" w:right="0" w:rightChars="0" w:hanging="210" w:hangingChars="10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w:t>
                  </w:r>
                </w:p>
              </w:tc>
              <w:tc>
                <w:tcPr>
                  <w:tcW w:w="691" w:type="dxa"/>
                  <w:noWrap w:val="0"/>
                  <w:vAlign w:val="center"/>
                </w:tcPr>
                <w:p>
                  <w:pPr>
                    <w:wordWrap/>
                    <w:bidi w:val="0"/>
                    <w:spacing w:beforeAutospacing="0" w:afterAutospacing="0" w:line="260" w:lineRule="exac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化验室废水</w:t>
                  </w:r>
                </w:p>
              </w:tc>
              <w:tc>
                <w:tcPr>
                  <w:tcW w:w="736"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COD、NH</w:t>
                  </w:r>
                  <w:r>
                    <w:rPr>
                      <w:rFonts w:hint="default" w:ascii="Times New Roman" w:hAnsi="Times New Roman" w:eastAsia="宋体" w:cs="Times New Roman"/>
                      <w:color w:val="auto"/>
                      <w:szCs w:val="21"/>
                      <w:vertAlign w:val="subscript"/>
                    </w:rPr>
                    <w:t>3</w:t>
                  </w:r>
                  <w:r>
                    <w:rPr>
                      <w:rFonts w:hint="default" w:ascii="Times New Roman" w:hAnsi="Times New Roman" w:eastAsia="宋体" w:cs="Times New Roman"/>
                      <w:color w:val="auto"/>
                      <w:szCs w:val="21"/>
                    </w:rPr>
                    <w:t>-N、</w:t>
                  </w:r>
                </w:p>
              </w:tc>
              <w:tc>
                <w:tcPr>
                  <w:tcW w:w="491" w:type="dxa"/>
                  <w:vMerge w:val="continue"/>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p>
              </w:tc>
              <w:tc>
                <w:tcPr>
                  <w:tcW w:w="613" w:type="dxa"/>
                  <w:vMerge w:val="continue"/>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p>
              </w:tc>
              <w:tc>
                <w:tcPr>
                  <w:tcW w:w="737"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TW003</w:t>
                  </w:r>
                </w:p>
              </w:tc>
              <w:tc>
                <w:tcPr>
                  <w:tcW w:w="859"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中和池</w:t>
                  </w:r>
                </w:p>
              </w:tc>
              <w:tc>
                <w:tcPr>
                  <w:tcW w:w="737" w:type="dxa"/>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中和</w:t>
                  </w:r>
                </w:p>
              </w:tc>
              <w:tc>
                <w:tcPr>
                  <w:tcW w:w="631" w:type="dxa"/>
                  <w:vMerge w:val="continue"/>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p>
              </w:tc>
              <w:tc>
                <w:tcPr>
                  <w:tcW w:w="825" w:type="dxa"/>
                  <w:vMerge w:val="continue"/>
                  <w:noWrap w:val="0"/>
                  <w:vAlign w:val="center"/>
                </w:tcPr>
                <w:p>
                  <w:pPr>
                    <w:wordWrap/>
                    <w:bidi w:val="0"/>
                    <w:spacing w:beforeAutospacing="0" w:afterAutospacing="0" w:line="240" w:lineRule="atLeast"/>
                    <w:ind w:left="0" w:leftChars="0" w:right="0" w:rightChars="0"/>
                    <w:jc w:val="center"/>
                    <w:outlineLvl w:val="9"/>
                    <w:rPr>
                      <w:rFonts w:hint="default" w:ascii="Times New Roman" w:hAnsi="Times New Roman" w:eastAsia="宋体" w:cs="Times New Roman"/>
                      <w:color w:val="auto"/>
                      <w:szCs w:val="21"/>
                    </w:rPr>
                  </w:pPr>
                </w:p>
              </w:tc>
              <w:tc>
                <w:tcPr>
                  <w:tcW w:w="1137" w:type="dxa"/>
                  <w:vMerge w:val="continue"/>
                  <w:noWrap w:val="0"/>
                  <w:vAlign w:val="center"/>
                </w:tcPr>
                <w:p>
                  <w:pPr>
                    <w:wordWrap/>
                    <w:bidi w:val="0"/>
                    <w:spacing w:beforeAutospacing="0" w:afterAutospacing="0" w:line="300" w:lineRule="exact"/>
                    <w:ind w:left="0" w:leftChars="0" w:right="0" w:rightChars="0" w:firstLine="210" w:firstLineChars="100"/>
                    <w:outlineLvl w:val="9"/>
                    <w:rPr>
                      <w:rFonts w:hint="default" w:ascii="Times New Roman" w:hAnsi="Times New Roman" w:eastAsia="宋体" w:cs="Times New Roman"/>
                      <w:color w:val="auto"/>
                      <w:szCs w:val="21"/>
                    </w:rPr>
                  </w:pPr>
                </w:p>
              </w:tc>
            </w:tr>
          </w:tbl>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2、依托可行性</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b/>
                <w:color w:val="auto"/>
                <w:sz w:val="24"/>
              </w:rPr>
            </w:pPr>
            <w:r>
              <w:rPr>
                <w:rFonts w:hint="eastAsia" w:cs="Times New Roman"/>
                <w:color w:val="auto"/>
                <w:sz w:val="24"/>
                <w:lang w:val="en-US" w:eastAsia="zh-CN"/>
              </w:rPr>
              <w:t>双城</w:t>
            </w:r>
            <w:r>
              <w:rPr>
                <w:rFonts w:hint="default" w:ascii="Times New Roman" w:hAnsi="Times New Roman" w:eastAsia="宋体" w:cs="Times New Roman"/>
                <w:color w:val="auto"/>
                <w:sz w:val="24"/>
              </w:rPr>
              <w:t>污水处理厂处理能力为</w:t>
            </w:r>
            <w:r>
              <w:rPr>
                <w:rFonts w:hint="eastAsia" w:cs="Times New Roman"/>
                <w:color w:val="auto"/>
                <w:sz w:val="24"/>
                <w:lang w:val="en-US" w:eastAsia="zh-CN"/>
              </w:rPr>
              <w:t>3</w:t>
            </w:r>
            <w:r>
              <w:rPr>
                <w:rFonts w:hint="default" w:ascii="Times New Roman" w:hAnsi="Times New Roman" w:eastAsia="宋体" w:cs="Times New Roman"/>
                <w:color w:val="auto"/>
                <w:sz w:val="24"/>
              </w:rPr>
              <w:t>万m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/d，处理工艺为</w:t>
            </w:r>
            <w:r>
              <w:rPr>
                <w:rFonts w:hint="default" w:ascii="Times New Roman" w:hAnsi="Times New Roman" w:eastAsia="宋体" w:cs="Times New Roman"/>
                <w:color w:val="auto"/>
                <w:sz w:val="24"/>
                <w:lang w:val="en-US" w:eastAsia="zh-CN"/>
              </w:rPr>
              <w:t>A</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val="en-US" w:eastAsia="zh-CN"/>
              </w:rPr>
              <w:t>O</w:t>
            </w:r>
            <w:r>
              <w:rPr>
                <w:rFonts w:hint="default" w:ascii="Times New Roman" w:hAnsi="Times New Roman" w:eastAsia="宋体" w:cs="Times New Roman"/>
                <w:color w:val="auto"/>
                <w:sz w:val="24"/>
              </w:rPr>
              <w:t>工艺。</w:t>
            </w:r>
            <w:r>
              <w:rPr>
                <w:rFonts w:hint="default" w:ascii="Times New Roman" w:hAnsi="Times New Roman" w:eastAsia="宋体" w:cs="Times New Roman"/>
                <w:bCs/>
                <w:color w:val="auto"/>
                <w:sz w:val="24"/>
              </w:rPr>
              <w:t>设计污染物进水水质为COD≤</w:t>
            </w:r>
            <w:r>
              <w:rPr>
                <w:rFonts w:hint="eastAsia" w:cs="Times New Roman"/>
                <w:bCs/>
                <w:color w:val="auto"/>
                <w:sz w:val="24"/>
                <w:lang w:val="en-US" w:eastAsia="zh-CN"/>
              </w:rPr>
              <w:t>350</w:t>
            </w:r>
            <w:r>
              <w:rPr>
                <w:rFonts w:hint="default" w:ascii="Times New Roman" w:hAnsi="Times New Roman" w:eastAsia="宋体" w:cs="Times New Roman"/>
                <w:bCs/>
                <w:color w:val="auto"/>
                <w:sz w:val="24"/>
              </w:rPr>
              <w:t>mg/L，氨氮≤</w:t>
            </w:r>
            <w:r>
              <w:rPr>
                <w:rFonts w:hint="eastAsia" w:cs="Times New Roman"/>
                <w:bCs/>
                <w:color w:val="auto"/>
                <w:sz w:val="24"/>
                <w:lang w:val="en-US" w:eastAsia="zh-CN"/>
              </w:rPr>
              <w:t>30</w:t>
            </w:r>
            <w:r>
              <w:rPr>
                <w:rFonts w:hint="default" w:ascii="Times New Roman" w:hAnsi="Times New Roman" w:eastAsia="宋体" w:cs="Times New Roman"/>
                <w:bCs/>
                <w:color w:val="auto"/>
                <w:sz w:val="24"/>
              </w:rPr>
              <w:t>mg/L，SS≤</w:t>
            </w:r>
            <w:r>
              <w:rPr>
                <w:rFonts w:hint="eastAsia" w:cs="Times New Roman"/>
                <w:bCs/>
                <w:color w:val="auto"/>
                <w:sz w:val="24"/>
                <w:lang w:val="en-US" w:eastAsia="zh-CN"/>
              </w:rPr>
              <w:t>3</w:t>
            </w:r>
            <w:r>
              <w:rPr>
                <w:rFonts w:hint="default" w:ascii="Times New Roman" w:hAnsi="Times New Roman" w:eastAsia="宋体" w:cs="Times New Roman"/>
                <w:bCs/>
                <w:color w:val="auto"/>
                <w:sz w:val="24"/>
              </w:rPr>
              <w:t>00mg/L。出水执行《城镇污水处理厂污染物排放标准》（GB18918-2002）中一级</w:t>
            </w:r>
            <w:r>
              <w:rPr>
                <w:rFonts w:hint="eastAsia" w:cs="Times New Roman"/>
                <w:bCs/>
                <w:color w:val="auto"/>
                <w:sz w:val="24"/>
                <w:lang w:val="en-US" w:eastAsia="zh-CN"/>
              </w:rPr>
              <w:t>B</w:t>
            </w:r>
            <w:r>
              <w:rPr>
                <w:rFonts w:hint="default" w:ascii="Times New Roman" w:hAnsi="Times New Roman" w:eastAsia="宋体" w:cs="Times New Roman"/>
                <w:bCs/>
                <w:color w:val="auto"/>
                <w:sz w:val="24"/>
              </w:rPr>
              <w:t>标准，经处理后的污水排入</w:t>
            </w:r>
            <w:r>
              <w:rPr>
                <w:rFonts w:hint="eastAsia" w:cs="Times New Roman"/>
                <w:bCs/>
                <w:color w:val="auto"/>
                <w:sz w:val="24"/>
                <w:lang w:val="en-US" w:eastAsia="zh-CN"/>
              </w:rPr>
              <w:t>拉林</w:t>
            </w:r>
            <w:r>
              <w:rPr>
                <w:rFonts w:hint="default" w:ascii="Times New Roman" w:hAnsi="Times New Roman" w:eastAsia="宋体" w:cs="Times New Roman"/>
                <w:bCs/>
                <w:color w:val="auto"/>
                <w:sz w:val="24"/>
              </w:rPr>
              <w:t>，最终进入松花江，因此项目废水依托</w:t>
            </w:r>
            <w:r>
              <w:rPr>
                <w:rFonts w:hint="eastAsia" w:cs="Times New Roman"/>
                <w:color w:val="auto"/>
                <w:sz w:val="24"/>
                <w:lang w:val="en-US" w:eastAsia="zh-CN"/>
              </w:rPr>
              <w:t>双城</w:t>
            </w:r>
            <w:r>
              <w:rPr>
                <w:rFonts w:hint="default" w:ascii="Times New Roman" w:hAnsi="Times New Roman" w:eastAsia="宋体" w:cs="Times New Roman"/>
                <w:color w:val="auto"/>
                <w:sz w:val="24"/>
              </w:rPr>
              <w:t>污水处理厂处理可行。</w:t>
            </w:r>
          </w:p>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3、监测计划</w:t>
            </w:r>
          </w:p>
          <w:p>
            <w:pPr>
              <w:wordWrap/>
              <w:bidi w:val="0"/>
              <w:adjustRightInd w:val="0"/>
              <w:snapToGrid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根据《排污单位自行监测技术指南 农副食品加工业(HJ 986-2018)》，本项目仅排放生活污水及化验室清洗废水，无生产废水外排。实验器皿清洗废水水质污染物较少，但可能含有酸、碱污染物，经中和池调节pH后与防渗化粪池处理后生活污水一起排入</w:t>
            </w:r>
            <w:r>
              <w:rPr>
                <w:rFonts w:hint="eastAsia" w:cs="Times New Roman"/>
                <w:color w:val="auto"/>
                <w:sz w:val="24"/>
                <w:lang w:val="en-US" w:eastAsia="zh-CN"/>
              </w:rPr>
              <w:t>双城</w:t>
            </w:r>
            <w:r>
              <w:rPr>
                <w:rFonts w:hint="default" w:ascii="Times New Roman" w:hAnsi="Times New Roman" w:eastAsia="宋体" w:cs="Times New Roman"/>
                <w:color w:val="auto"/>
                <w:sz w:val="24"/>
              </w:rPr>
              <w:t>污水处理厂，属于间接排放，因此不对废水进行例行监测。</w:t>
            </w:r>
          </w:p>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eastAsia" w:ascii="Times New Roman" w:hAnsi="Times New Roman" w:eastAsia="宋体" w:cs="Times New Roman"/>
                <w:b/>
                <w:color w:val="auto"/>
                <w:sz w:val="24"/>
                <w:lang w:val="en-US" w:eastAsia="zh-CN"/>
              </w:rPr>
              <w:t>4</w:t>
            </w:r>
            <w:r>
              <w:rPr>
                <w:rFonts w:hint="default" w:ascii="Times New Roman" w:hAnsi="Times New Roman" w:eastAsia="宋体" w:cs="Times New Roman"/>
                <w:b/>
                <w:color w:val="auto"/>
                <w:sz w:val="24"/>
              </w:rPr>
              <w:t>、环保措施的可行性分析</w:t>
            </w:r>
          </w:p>
          <w:p>
            <w:pPr>
              <w:wordWrap/>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w:t>
            </w:r>
            <w:r>
              <w:rPr>
                <w:rFonts w:hint="eastAsia" w:cs="Times New Roman"/>
                <w:color w:val="auto"/>
                <w:sz w:val="24"/>
                <w:lang w:eastAsia="zh-CN"/>
              </w:rPr>
              <w:t>食堂废水</w:t>
            </w:r>
            <w:r>
              <w:rPr>
                <w:rFonts w:hint="default" w:ascii="Times New Roman" w:hAnsi="Times New Roman" w:eastAsia="宋体" w:cs="Times New Roman"/>
                <w:color w:val="auto"/>
                <w:sz w:val="24"/>
              </w:rPr>
              <w:t>经隔油池处理后与生活污水、软化水处理废水和锅炉排污水污水、化验室器皿清洗废水一起经</w:t>
            </w:r>
            <w:r>
              <w:rPr>
                <w:rFonts w:hint="eastAsia" w:cs="Times New Roman"/>
                <w:color w:val="auto"/>
                <w:sz w:val="24"/>
                <w:lang w:val="en-US" w:eastAsia="zh-CN"/>
              </w:rPr>
              <w:t>防渗化粪池</w:t>
            </w:r>
            <w:r>
              <w:rPr>
                <w:rFonts w:hint="default" w:ascii="Times New Roman" w:hAnsi="Times New Roman" w:eastAsia="宋体" w:cs="Times New Roman"/>
                <w:color w:val="auto"/>
                <w:sz w:val="24"/>
              </w:rPr>
              <w:t>排入</w:t>
            </w:r>
            <w:r>
              <w:rPr>
                <w:rFonts w:hint="eastAsia" w:cs="Times New Roman"/>
                <w:color w:val="auto"/>
                <w:sz w:val="24"/>
                <w:lang w:val="en-US" w:eastAsia="zh-CN"/>
              </w:rPr>
              <w:t>双城</w:t>
            </w:r>
            <w:r>
              <w:rPr>
                <w:rFonts w:hint="default" w:ascii="Times New Roman" w:hAnsi="Times New Roman" w:eastAsia="宋体" w:cs="Times New Roman"/>
                <w:color w:val="auto"/>
                <w:sz w:val="24"/>
              </w:rPr>
              <w:t>污水处理厂处理。全厂废水pH为6~9，COD排放浓度为</w:t>
            </w:r>
            <w:r>
              <w:rPr>
                <w:rFonts w:hint="eastAsia" w:cs="Times New Roman"/>
                <w:color w:val="auto"/>
                <w:sz w:val="24"/>
                <w:lang w:val="en-US" w:eastAsia="zh-CN"/>
              </w:rPr>
              <w:t>159.6</w:t>
            </w:r>
            <w:r>
              <w:rPr>
                <w:rFonts w:hint="default" w:ascii="Times New Roman" w:hAnsi="Times New Roman" w:eastAsia="宋体" w:cs="Times New Roman"/>
                <w:color w:val="auto"/>
                <w:sz w:val="24"/>
              </w:rPr>
              <w:t>mg/L，氨氮排放浓度为</w:t>
            </w:r>
            <w:r>
              <w:rPr>
                <w:rFonts w:hint="eastAsia" w:cs="Times New Roman"/>
                <w:color w:val="auto"/>
                <w:sz w:val="24"/>
                <w:lang w:val="en-US" w:eastAsia="zh-CN"/>
              </w:rPr>
              <w:t>10.91</w:t>
            </w:r>
            <w:r>
              <w:rPr>
                <w:rFonts w:hint="default" w:ascii="Times New Roman" w:hAnsi="Times New Roman" w:eastAsia="宋体" w:cs="Times New Roman"/>
                <w:color w:val="auto"/>
                <w:sz w:val="24"/>
              </w:rPr>
              <w:t>mg/L，SS排放浓度为</w:t>
            </w:r>
            <w:r>
              <w:rPr>
                <w:rFonts w:hint="eastAsia" w:cs="Times New Roman"/>
                <w:color w:val="auto"/>
                <w:sz w:val="24"/>
                <w:lang w:val="en-US" w:eastAsia="zh-CN"/>
              </w:rPr>
              <w:t>69.4</w:t>
            </w:r>
            <w:r>
              <w:rPr>
                <w:rFonts w:hint="default" w:ascii="Times New Roman" w:hAnsi="Times New Roman" w:eastAsia="宋体" w:cs="Times New Roman"/>
                <w:color w:val="auto"/>
                <w:sz w:val="24"/>
              </w:rPr>
              <w:t>mg/L，动植物油排放浓度为</w:t>
            </w:r>
            <w:r>
              <w:rPr>
                <w:rFonts w:hint="eastAsia" w:cs="Times New Roman"/>
                <w:color w:val="auto"/>
                <w:sz w:val="24"/>
                <w:lang w:val="en-US" w:eastAsia="zh-CN"/>
              </w:rPr>
              <w:t>16.86</w:t>
            </w:r>
            <w:r>
              <w:rPr>
                <w:rFonts w:hint="default" w:ascii="Times New Roman" w:hAnsi="Times New Roman" w:eastAsia="宋体" w:cs="Times New Roman"/>
                <w:color w:val="auto"/>
                <w:sz w:val="24"/>
              </w:rPr>
              <w:t>mg/L，全厂污水污水排放浓度满足《污水综合排放标准》（GB8978-1996）三级标准。之后由</w:t>
            </w:r>
            <w:r>
              <w:rPr>
                <w:rFonts w:hint="eastAsia" w:cs="Times New Roman"/>
                <w:color w:val="auto"/>
                <w:sz w:val="24"/>
                <w:lang w:val="en-US" w:eastAsia="zh-CN"/>
              </w:rPr>
              <w:t>防渗化粪池清掏</w:t>
            </w:r>
            <w:r>
              <w:rPr>
                <w:rFonts w:hint="default" w:ascii="Times New Roman" w:hAnsi="Times New Roman" w:eastAsia="宋体" w:cs="Times New Roman"/>
                <w:color w:val="auto"/>
                <w:sz w:val="24"/>
              </w:rPr>
              <w:t>排入</w:t>
            </w:r>
            <w:r>
              <w:rPr>
                <w:rFonts w:hint="eastAsia" w:cs="Times New Roman"/>
                <w:color w:val="auto"/>
                <w:sz w:val="24"/>
                <w:lang w:val="en-US" w:eastAsia="zh-CN"/>
              </w:rPr>
              <w:t>双城</w:t>
            </w:r>
            <w:r>
              <w:rPr>
                <w:rFonts w:hint="default" w:ascii="Times New Roman" w:hAnsi="Times New Roman" w:eastAsia="宋体" w:cs="Times New Roman"/>
                <w:color w:val="auto"/>
                <w:sz w:val="24"/>
              </w:rPr>
              <w:t>污水处理厂，水质达到《城镇污水处理厂污染物排放标准》（GB18918-2002）中的一级</w:t>
            </w:r>
            <w:r>
              <w:rPr>
                <w:rFonts w:hint="eastAsia" w:cs="Times New Roman"/>
                <w:color w:val="auto"/>
                <w:sz w:val="24"/>
                <w:lang w:val="en-US" w:eastAsia="zh-CN"/>
              </w:rPr>
              <w:t>B</w:t>
            </w:r>
            <w:r>
              <w:rPr>
                <w:rFonts w:hint="default" w:ascii="Times New Roman" w:hAnsi="Times New Roman" w:eastAsia="宋体" w:cs="Times New Roman"/>
                <w:color w:val="auto"/>
                <w:sz w:val="24"/>
              </w:rPr>
              <w:t>标准后排入</w:t>
            </w:r>
            <w:r>
              <w:rPr>
                <w:rFonts w:hint="eastAsia" w:cs="Times New Roman"/>
                <w:color w:val="auto"/>
                <w:sz w:val="24"/>
                <w:lang w:val="en-US" w:eastAsia="zh-CN"/>
              </w:rPr>
              <w:t>拉林</w:t>
            </w:r>
            <w:r>
              <w:rPr>
                <w:rFonts w:hint="default" w:ascii="Times New Roman" w:hAnsi="Times New Roman" w:eastAsia="宋体" w:cs="Times New Roman"/>
                <w:color w:val="auto"/>
                <w:sz w:val="24"/>
              </w:rPr>
              <w:t>，最终进入松花江。</w:t>
            </w:r>
          </w:p>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三、噪声</w:t>
            </w:r>
          </w:p>
          <w:p>
            <w:pPr>
              <w:pStyle w:val="16"/>
              <w:wordWrap/>
              <w:bidi w:val="0"/>
              <w:spacing w:beforeAutospacing="0" w:after="0" w:afterAutospacing="0" w:line="360" w:lineRule="auto"/>
              <w:ind w:left="0" w:leftChars="0" w:right="0" w:rightChars="0" w:firstLine="482" w:firstLineChars="200"/>
              <w:outlineLvl w:val="9"/>
              <w:rPr>
                <w:rFonts w:hint="default" w:ascii="Times New Roman" w:hAnsi="Times New Roman" w:eastAsia="宋体" w:cs="Times New Roman"/>
                <w:b/>
                <w:color w:val="auto"/>
                <w:spacing w:val="0"/>
                <w:kern w:val="2"/>
                <w:sz w:val="24"/>
                <w:szCs w:val="24"/>
                <w:lang w:val="en-US" w:eastAsia="zh-CN" w:bidi="ar-SA"/>
              </w:rPr>
            </w:pPr>
            <w:r>
              <w:rPr>
                <w:rFonts w:hint="default" w:ascii="Times New Roman" w:hAnsi="Times New Roman" w:eastAsia="宋体" w:cs="Times New Roman"/>
                <w:b/>
                <w:color w:val="auto"/>
                <w:spacing w:val="0"/>
                <w:kern w:val="2"/>
                <w:sz w:val="24"/>
                <w:szCs w:val="24"/>
                <w:lang w:val="en-US" w:eastAsia="zh-CN" w:bidi="ar-SA"/>
              </w:rPr>
              <w:t>1、噪声源强</w:t>
            </w:r>
          </w:p>
          <w:p>
            <w:pPr>
              <w:pStyle w:val="41"/>
              <w:wordWrap/>
              <w:bidi w:val="0"/>
              <w:spacing w:beforeAutospacing="0" w:afterAutospacing="0" w:line="360" w:lineRule="auto"/>
              <w:ind w:left="0" w:leftChars="0" w:right="0" w:rightChars="0" w:firstLine="480" w:firstLineChars="200"/>
              <w:contextualSpacing/>
              <w:jc w:val="both"/>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该项目的主要噪声来自于粉碎机、制粒机等设备运行时产生噪声。设备噪声在75～85dB(A)左右。本项目设备产生的噪声源强见下表。</w:t>
            </w:r>
          </w:p>
          <w:p>
            <w:pPr>
              <w:pStyle w:val="41"/>
              <w:wordWrap/>
              <w:bidi w:val="0"/>
              <w:spacing w:beforeAutospacing="0" w:afterAutospacing="0" w:line="240" w:lineRule="auto"/>
              <w:ind w:left="0" w:leftChars="0" w:right="0" w:rightChars="0"/>
              <w:contextualSpacing/>
              <w:outlineLvl w:val="9"/>
            </w:pPr>
            <w:r>
              <w:rPr>
                <w:rFonts w:hint="default" w:ascii="Times New Roman" w:hAnsi="Times New Roman" w:eastAsia="宋体" w:cs="Times New Roman"/>
                <w:b/>
                <w:color w:val="auto"/>
              </w:rPr>
              <w:t>表</w:t>
            </w:r>
            <w:r>
              <w:rPr>
                <w:rFonts w:hint="default" w:ascii="Times New Roman" w:hAnsi="Times New Roman" w:eastAsia="宋体" w:cs="Times New Roman"/>
                <w:b/>
                <w:color w:val="auto"/>
                <w:lang w:val="en-US" w:eastAsia="zh-CN"/>
              </w:rPr>
              <w:t>4-</w:t>
            </w:r>
            <w:r>
              <w:rPr>
                <w:rFonts w:hint="eastAsia" w:ascii="Times New Roman" w:hAnsi="Times New Roman" w:eastAsia="宋体" w:cs="Times New Roman"/>
                <w:b/>
                <w:color w:val="auto"/>
                <w:lang w:val="en-US" w:eastAsia="zh-CN"/>
              </w:rPr>
              <w:t>9</w:t>
            </w:r>
            <w:r>
              <w:rPr>
                <w:rFonts w:hint="default" w:ascii="Times New Roman" w:hAnsi="Times New Roman" w:eastAsia="宋体" w:cs="Times New Roman"/>
                <w:b/>
                <w:color w:val="auto"/>
              </w:rPr>
              <w:t xml:space="preserve">  噪声污染源源强核算结果及相关参数一览表</w:t>
            </w:r>
          </w:p>
          <w:tbl>
            <w:tblPr>
              <w:tblStyle w:val="19"/>
              <w:tblW w:w="786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1"/>
              <w:gridCol w:w="1276"/>
              <w:gridCol w:w="572"/>
              <w:gridCol w:w="709"/>
              <w:gridCol w:w="992"/>
              <w:gridCol w:w="1019"/>
              <w:gridCol w:w="900"/>
              <w:gridCol w:w="1020"/>
              <w:gridCol w:w="8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1" w:type="dxa"/>
                  <w:vMerge w:val="restart"/>
                  <w:vAlign w:val="center"/>
                </w:tcPr>
                <w:p>
                  <w:pPr>
                    <w:pStyle w:val="49"/>
                  </w:pPr>
                  <w:r>
                    <w:t>序号</w:t>
                  </w:r>
                </w:p>
              </w:tc>
              <w:tc>
                <w:tcPr>
                  <w:tcW w:w="1276" w:type="dxa"/>
                  <w:vMerge w:val="restart"/>
                  <w:vAlign w:val="center"/>
                </w:tcPr>
                <w:p>
                  <w:pPr>
                    <w:pStyle w:val="49"/>
                  </w:pPr>
                  <w:r>
                    <w:t>声源名称</w:t>
                  </w:r>
                </w:p>
              </w:tc>
              <w:tc>
                <w:tcPr>
                  <w:tcW w:w="572" w:type="dxa"/>
                  <w:vMerge w:val="restart"/>
                  <w:vAlign w:val="center"/>
                </w:tcPr>
                <w:p>
                  <w:pPr>
                    <w:pStyle w:val="49"/>
                  </w:pPr>
                  <w:r>
                    <w:rPr>
                      <w:rFonts w:hint="eastAsia"/>
                    </w:rPr>
                    <w:t>数量</w:t>
                  </w:r>
                </w:p>
              </w:tc>
              <w:tc>
                <w:tcPr>
                  <w:tcW w:w="709" w:type="dxa"/>
                  <w:vMerge w:val="restart"/>
                  <w:vAlign w:val="center"/>
                </w:tcPr>
                <w:p>
                  <w:pPr>
                    <w:pStyle w:val="49"/>
                    <w:rPr>
                      <w:szCs w:val="21"/>
                    </w:rPr>
                  </w:pPr>
                  <w:r>
                    <w:rPr>
                      <w:rFonts w:hint="eastAsia"/>
                      <w:szCs w:val="21"/>
                    </w:rPr>
                    <w:t>建筑物名称</w:t>
                  </w:r>
                </w:p>
              </w:tc>
              <w:tc>
                <w:tcPr>
                  <w:tcW w:w="2011" w:type="dxa"/>
                  <w:gridSpan w:val="2"/>
                  <w:vAlign w:val="center"/>
                </w:tcPr>
                <w:p>
                  <w:pPr>
                    <w:pStyle w:val="49"/>
                    <w:rPr>
                      <w:szCs w:val="21"/>
                    </w:rPr>
                  </w:pPr>
                  <w:r>
                    <w:rPr>
                      <w:rFonts w:hint="eastAsia"/>
                      <w:szCs w:val="21"/>
                    </w:rPr>
                    <w:t>声源源强</w:t>
                  </w:r>
                </w:p>
              </w:tc>
              <w:tc>
                <w:tcPr>
                  <w:tcW w:w="900" w:type="dxa"/>
                  <w:vMerge w:val="restart"/>
                  <w:vAlign w:val="center"/>
                </w:tcPr>
                <w:p>
                  <w:pPr>
                    <w:pStyle w:val="49"/>
                    <w:rPr>
                      <w:szCs w:val="21"/>
                    </w:rPr>
                  </w:pPr>
                  <w:r>
                    <w:rPr>
                      <w:rFonts w:hint="eastAsia"/>
                      <w:szCs w:val="21"/>
                    </w:rPr>
                    <w:t>运行时间/h</w:t>
                  </w:r>
                </w:p>
              </w:tc>
              <w:tc>
                <w:tcPr>
                  <w:tcW w:w="1020" w:type="dxa"/>
                  <w:vMerge w:val="restart"/>
                  <w:vAlign w:val="center"/>
                </w:tcPr>
                <w:p>
                  <w:pPr>
                    <w:pStyle w:val="49"/>
                    <w:rPr>
                      <w:szCs w:val="21"/>
                    </w:rPr>
                  </w:pPr>
                  <w:r>
                    <w:rPr>
                      <w:rFonts w:hint="eastAsia"/>
                      <w:szCs w:val="21"/>
                    </w:rPr>
                    <w:t>建筑物外1m声压级</w:t>
                  </w:r>
                </w:p>
              </w:tc>
              <w:tc>
                <w:tcPr>
                  <w:tcW w:w="855" w:type="dxa"/>
                  <w:vMerge w:val="restart"/>
                  <w:vAlign w:val="center"/>
                </w:tcPr>
                <w:p>
                  <w:pPr>
                    <w:pStyle w:val="49"/>
                    <w:rPr>
                      <w:szCs w:val="21"/>
                    </w:rPr>
                  </w:pPr>
                  <w:r>
                    <w:rPr>
                      <w:szCs w:val="21"/>
                    </w:rPr>
                    <w:t>声源控制措施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521" w:type="dxa"/>
                  <w:vMerge w:val="continue"/>
                  <w:vAlign w:val="center"/>
                </w:tcPr>
                <w:p>
                  <w:pPr>
                    <w:pStyle w:val="49"/>
                  </w:pPr>
                </w:p>
              </w:tc>
              <w:tc>
                <w:tcPr>
                  <w:tcW w:w="1276" w:type="dxa"/>
                  <w:vMerge w:val="continue"/>
                  <w:vAlign w:val="center"/>
                </w:tcPr>
                <w:p>
                  <w:pPr>
                    <w:pStyle w:val="49"/>
                  </w:pPr>
                </w:p>
              </w:tc>
              <w:tc>
                <w:tcPr>
                  <w:tcW w:w="572" w:type="dxa"/>
                  <w:vMerge w:val="continue"/>
                  <w:vAlign w:val="center"/>
                </w:tcPr>
                <w:p>
                  <w:pPr>
                    <w:pStyle w:val="49"/>
                  </w:pPr>
                </w:p>
              </w:tc>
              <w:tc>
                <w:tcPr>
                  <w:tcW w:w="709" w:type="dxa"/>
                  <w:vMerge w:val="continue"/>
                  <w:vAlign w:val="center"/>
                </w:tcPr>
                <w:p>
                  <w:pPr>
                    <w:pStyle w:val="49"/>
                    <w:rPr>
                      <w:szCs w:val="21"/>
                    </w:rPr>
                  </w:pPr>
                </w:p>
              </w:tc>
              <w:tc>
                <w:tcPr>
                  <w:tcW w:w="992" w:type="dxa"/>
                  <w:vAlign w:val="center"/>
                </w:tcPr>
                <w:p>
                  <w:pPr>
                    <w:pStyle w:val="49"/>
                    <w:rPr>
                      <w:szCs w:val="21"/>
                    </w:rPr>
                  </w:pPr>
                  <w:r>
                    <w:rPr>
                      <w:szCs w:val="21"/>
                    </w:rPr>
                    <w:t>声压级 /dB(A)</w:t>
                  </w:r>
                </w:p>
              </w:tc>
              <w:tc>
                <w:tcPr>
                  <w:tcW w:w="1019" w:type="dxa"/>
                  <w:vAlign w:val="center"/>
                </w:tcPr>
                <w:p>
                  <w:pPr>
                    <w:pStyle w:val="49"/>
                    <w:rPr>
                      <w:szCs w:val="21"/>
                    </w:rPr>
                  </w:pPr>
                  <w:r>
                    <w:rPr>
                      <w:szCs w:val="21"/>
                    </w:rPr>
                    <w:t>距声源 距离/m</w:t>
                  </w:r>
                </w:p>
              </w:tc>
              <w:tc>
                <w:tcPr>
                  <w:tcW w:w="900" w:type="dxa"/>
                  <w:vMerge w:val="continue"/>
                  <w:vAlign w:val="center"/>
                </w:tcPr>
                <w:p>
                  <w:pPr>
                    <w:pStyle w:val="49"/>
                    <w:rPr>
                      <w:szCs w:val="21"/>
                    </w:rPr>
                  </w:pPr>
                </w:p>
              </w:tc>
              <w:tc>
                <w:tcPr>
                  <w:tcW w:w="1020" w:type="dxa"/>
                  <w:vMerge w:val="continue"/>
                  <w:vAlign w:val="center"/>
                </w:tcPr>
                <w:p>
                  <w:pPr>
                    <w:pStyle w:val="49"/>
                    <w:rPr>
                      <w:szCs w:val="21"/>
                    </w:rPr>
                  </w:pPr>
                </w:p>
              </w:tc>
              <w:tc>
                <w:tcPr>
                  <w:tcW w:w="855" w:type="dxa"/>
                  <w:vMerge w:val="continue"/>
                  <w:vAlign w:val="center"/>
                </w:tcPr>
                <w:p>
                  <w:pPr>
                    <w:pStyle w:val="4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center"/>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szCs w:val="21"/>
                    </w:rPr>
                  </w:pPr>
                  <w:r>
                    <w:rPr>
                      <w:rFonts w:hint="eastAsia" w:cs="Times New Roman"/>
                      <w:color w:val="auto"/>
                      <w:kern w:val="0"/>
                      <w:szCs w:val="20"/>
                      <w:lang w:eastAsia="zh-CN" w:bidi="ar"/>
                    </w:rPr>
                    <w:t>脉冲式布袋除尘器</w:t>
                  </w:r>
                </w:p>
              </w:tc>
              <w:tc>
                <w:tcPr>
                  <w:tcW w:w="572" w:type="dxa"/>
                  <w:vAlign w:val="center"/>
                </w:tcPr>
                <w:p>
                  <w:pPr>
                    <w:pStyle w:val="49"/>
                    <w:rPr>
                      <w:rFonts w:hint="eastAsia" w:eastAsia="宋体"/>
                      <w:szCs w:val="21"/>
                      <w:lang w:eastAsia="zh-CN"/>
                    </w:rPr>
                  </w:pPr>
                  <w:r>
                    <w:rPr>
                      <w:rFonts w:hint="eastAsia"/>
                      <w:szCs w:val="21"/>
                      <w:lang w:val="en-US" w:eastAsia="zh-CN"/>
                    </w:rPr>
                    <w:t>2</w:t>
                  </w:r>
                </w:p>
              </w:tc>
              <w:tc>
                <w:tcPr>
                  <w:tcW w:w="709" w:type="dxa"/>
                  <w:vMerge w:val="restart"/>
                  <w:vAlign w:val="center"/>
                </w:tcPr>
                <w:p>
                  <w:pPr>
                    <w:pStyle w:val="49"/>
                    <w:rPr>
                      <w:rFonts w:hint="eastAsia" w:eastAsia="宋体"/>
                      <w:szCs w:val="21"/>
                      <w:lang w:eastAsia="zh-CN"/>
                    </w:rPr>
                  </w:pPr>
                  <w:r>
                    <w:rPr>
                      <w:rFonts w:hint="eastAsia"/>
                      <w:szCs w:val="21"/>
                      <w:lang w:val="en-US" w:eastAsia="zh-CN"/>
                    </w:rPr>
                    <w:t>生产车间</w:t>
                  </w:r>
                </w:p>
              </w:tc>
              <w:tc>
                <w:tcPr>
                  <w:tcW w:w="992"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85</w:t>
                  </w:r>
                </w:p>
              </w:tc>
              <w:tc>
                <w:tcPr>
                  <w:tcW w:w="1019" w:type="dxa"/>
                  <w:vAlign w:val="center"/>
                </w:tcPr>
                <w:p>
                  <w:pPr>
                    <w:pStyle w:val="49"/>
                    <w:rPr>
                      <w:szCs w:val="21"/>
                    </w:rPr>
                  </w:pPr>
                  <w:r>
                    <w:rPr>
                      <w:rFonts w:hint="eastAsia"/>
                      <w:szCs w:val="21"/>
                    </w:rPr>
                    <w:t>1</w:t>
                  </w:r>
                </w:p>
              </w:tc>
              <w:tc>
                <w:tcPr>
                  <w:tcW w:w="900" w:type="dxa"/>
                  <w:vMerge w:val="restart"/>
                  <w:vAlign w:val="center"/>
                </w:tcPr>
                <w:p>
                  <w:pPr>
                    <w:pStyle w:val="49"/>
                    <w:rPr>
                      <w:szCs w:val="21"/>
                    </w:rPr>
                  </w:pPr>
                  <w:r>
                    <w:rPr>
                      <w:rFonts w:hint="eastAsia" w:cs="Times New Roman"/>
                      <w:color w:val="auto"/>
                      <w:szCs w:val="21"/>
                      <w:lang w:val="en-US" w:eastAsia="zh-CN"/>
                    </w:rPr>
                    <w:t>6240</w:t>
                  </w:r>
                </w:p>
              </w:tc>
              <w:tc>
                <w:tcPr>
                  <w:tcW w:w="1020"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65</w:t>
                  </w:r>
                </w:p>
              </w:tc>
              <w:tc>
                <w:tcPr>
                  <w:tcW w:w="855" w:type="dxa"/>
                  <w:vMerge w:val="restart"/>
                  <w:vAlign w:val="center"/>
                </w:tcPr>
                <w:p>
                  <w:pPr>
                    <w:pStyle w:val="49"/>
                    <w:rPr>
                      <w:b/>
                      <w:bCs/>
                      <w:szCs w:val="21"/>
                    </w:rPr>
                  </w:pPr>
                  <w:r>
                    <w:rPr>
                      <w:kern w:val="0"/>
                      <w:szCs w:val="21"/>
                    </w:rPr>
                    <w:t>采取低噪声设备，建筑物隔声、基础减振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szCs w:val="21"/>
                    </w:rPr>
                  </w:pPr>
                  <w:r>
                    <w:rPr>
                      <w:rFonts w:hint="default" w:ascii="Times New Roman" w:hAnsi="Times New Roman" w:eastAsia="宋体" w:cs="Times New Roman"/>
                      <w:color w:val="auto"/>
                      <w:kern w:val="0"/>
                      <w:szCs w:val="20"/>
                      <w:lang w:bidi="ar"/>
                    </w:rPr>
                    <w:t>风机</w:t>
                  </w:r>
                </w:p>
              </w:tc>
              <w:tc>
                <w:tcPr>
                  <w:tcW w:w="572" w:type="dxa"/>
                  <w:vAlign w:val="center"/>
                </w:tcPr>
                <w:p>
                  <w:pPr>
                    <w:pStyle w:val="49"/>
                    <w:rPr>
                      <w:rFonts w:hint="eastAsia" w:eastAsia="宋体"/>
                      <w:szCs w:val="21"/>
                      <w:lang w:eastAsia="zh-CN"/>
                    </w:rPr>
                  </w:pPr>
                  <w:r>
                    <w:rPr>
                      <w:rFonts w:hint="eastAsia"/>
                      <w:szCs w:val="21"/>
                      <w:lang w:val="en-US" w:eastAsia="zh-CN"/>
                    </w:rPr>
                    <w:t>6</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85</w:t>
                  </w:r>
                </w:p>
              </w:tc>
              <w:tc>
                <w:tcPr>
                  <w:tcW w:w="1019" w:type="dxa"/>
                  <w:vAlign w:val="center"/>
                </w:tcPr>
                <w:p>
                  <w:pPr>
                    <w:pStyle w:val="49"/>
                    <w:rPr>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szCs w:val="21"/>
                    </w:rPr>
                  </w:pPr>
                  <w:r>
                    <w:rPr>
                      <w:rFonts w:hint="default" w:ascii="Times New Roman" w:hAnsi="Times New Roman" w:eastAsia="宋体" w:cs="Times New Roman"/>
                      <w:color w:val="auto"/>
                      <w:kern w:val="0"/>
                      <w:szCs w:val="20"/>
                      <w:lang w:bidi="ar"/>
                    </w:rPr>
                    <w:t>自清式刮板机</w:t>
                  </w:r>
                </w:p>
              </w:tc>
              <w:tc>
                <w:tcPr>
                  <w:tcW w:w="572" w:type="dxa"/>
                  <w:vAlign w:val="center"/>
                </w:tcPr>
                <w:p>
                  <w:pPr>
                    <w:pStyle w:val="49"/>
                    <w:rPr>
                      <w:szCs w:val="21"/>
                    </w:rPr>
                  </w:pPr>
                  <w:r>
                    <w:rPr>
                      <w:rFonts w:hint="eastAsia"/>
                      <w:szCs w:val="21"/>
                    </w:rPr>
                    <w:t>1</w:t>
                  </w:r>
                  <w:r>
                    <w:rPr>
                      <w:szCs w:val="21"/>
                    </w:rPr>
                    <w:t>2</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80</w:t>
                  </w:r>
                </w:p>
              </w:tc>
              <w:tc>
                <w:tcPr>
                  <w:tcW w:w="1019" w:type="dxa"/>
                  <w:vAlign w:val="center"/>
                </w:tcPr>
                <w:p>
                  <w:pPr>
                    <w:pStyle w:val="49"/>
                    <w:rPr>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60</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szCs w:val="21"/>
                    </w:rPr>
                  </w:pPr>
                  <w:r>
                    <w:rPr>
                      <w:rFonts w:hint="default" w:ascii="Times New Roman" w:hAnsi="Times New Roman" w:eastAsia="宋体" w:cs="Times New Roman"/>
                      <w:color w:val="auto"/>
                      <w:kern w:val="0"/>
                      <w:szCs w:val="20"/>
                      <w:lang w:bidi="ar"/>
                    </w:rPr>
                    <w:t>提升机</w:t>
                  </w:r>
                </w:p>
              </w:tc>
              <w:tc>
                <w:tcPr>
                  <w:tcW w:w="572" w:type="dxa"/>
                  <w:vAlign w:val="center"/>
                </w:tcPr>
                <w:p>
                  <w:pPr>
                    <w:pStyle w:val="49"/>
                    <w:rPr>
                      <w:szCs w:val="21"/>
                    </w:rPr>
                  </w:pPr>
                  <w:r>
                    <w:rPr>
                      <w:rFonts w:hint="eastAsia"/>
                      <w:szCs w:val="21"/>
                    </w:rPr>
                    <w:t>1</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75</w:t>
                  </w:r>
                </w:p>
              </w:tc>
              <w:tc>
                <w:tcPr>
                  <w:tcW w:w="1019" w:type="dxa"/>
                  <w:vAlign w:val="center"/>
                </w:tcPr>
                <w:p>
                  <w:pPr>
                    <w:pStyle w:val="49"/>
                    <w:rPr>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55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szCs w:val="21"/>
                    </w:rPr>
                  </w:pPr>
                  <w:r>
                    <w:rPr>
                      <w:rFonts w:hint="default" w:ascii="Times New Roman" w:hAnsi="Times New Roman" w:eastAsia="宋体" w:cs="Times New Roman"/>
                      <w:color w:val="auto"/>
                      <w:kern w:val="0"/>
                      <w:szCs w:val="20"/>
                      <w:lang w:bidi="ar"/>
                    </w:rPr>
                    <w:t>初清筛</w:t>
                  </w:r>
                </w:p>
              </w:tc>
              <w:tc>
                <w:tcPr>
                  <w:tcW w:w="572" w:type="dxa"/>
                  <w:vAlign w:val="center"/>
                </w:tcPr>
                <w:p>
                  <w:pPr>
                    <w:pStyle w:val="49"/>
                    <w:rPr>
                      <w:szCs w:val="21"/>
                    </w:rPr>
                  </w:pPr>
                  <w:r>
                    <w:rPr>
                      <w:szCs w:val="21"/>
                    </w:rPr>
                    <w:t>2</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85</w:t>
                  </w:r>
                </w:p>
              </w:tc>
              <w:tc>
                <w:tcPr>
                  <w:tcW w:w="1019" w:type="dxa"/>
                  <w:vAlign w:val="center"/>
                </w:tcPr>
                <w:p>
                  <w:pPr>
                    <w:pStyle w:val="49"/>
                    <w:rPr>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szCs w:val="21"/>
                    </w:rPr>
                  </w:pPr>
                  <w:r>
                    <w:rPr>
                      <w:rFonts w:hint="default" w:ascii="Times New Roman" w:hAnsi="Times New Roman" w:eastAsia="宋体" w:cs="Times New Roman"/>
                      <w:color w:val="auto"/>
                      <w:kern w:val="0"/>
                      <w:szCs w:val="20"/>
                      <w:lang w:bidi="ar"/>
                    </w:rPr>
                    <w:t>永磁筒</w:t>
                  </w:r>
                </w:p>
              </w:tc>
              <w:tc>
                <w:tcPr>
                  <w:tcW w:w="572" w:type="dxa"/>
                  <w:vAlign w:val="center"/>
                </w:tcPr>
                <w:p>
                  <w:pPr>
                    <w:pStyle w:val="49"/>
                    <w:rPr>
                      <w:szCs w:val="21"/>
                    </w:rPr>
                  </w:pPr>
                  <w:r>
                    <w:rPr>
                      <w:rFonts w:hint="eastAsia"/>
                      <w:szCs w:val="21"/>
                    </w:rPr>
                    <w:t>1</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85</w:t>
                  </w:r>
                </w:p>
              </w:tc>
              <w:tc>
                <w:tcPr>
                  <w:tcW w:w="1019" w:type="dxa"/>
                  <w:vAlign w:val="center"/>
                </w:tcPr>
                <w:p>
                  <w:pPr>
                    <w:pStyle w:val="49"/>
                    <w:rPr>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szCs w:val="21"/>
                    </w:rPr>
                  </w:pPr>
                  <w:r>
                    <w:rPr>
                      <w:rFonts w:hint="default" w:ascii="Times New Roman" w:hAnsi="Times New Roman" w:eastAsia="宋体" w:cs="Times New Roman"/>
                      <w:color w:val="auto"/>
                      <w:kern w:val="0"/>
                      <w:szCs w:val="20"/>
                      <w:lang w:bidi="ar"/>
                    </w:rPr>
                    <w:t>旋转分配器</w:t>
                  </w:r>
                </w:p>
              </w:tc>
              <w:tc>
                <w:tcPr>
                  <w:tcW w:w="572" w:type="dxa"/>
                  <w:vAlign w:val="center"/>
                </w:tcPr>
                <w:p>
                  <w:pPr>
                    <w:pStyle w:val="49"/>
                    <w:rPr>
                      <w:rFonts w:hint="default" w:eastAsia="宋体"/>
                      <w:szCs w:val="21"/>
                      <w:lang w:val="en-US" w:eastAsia="zh-CN"/>
                    </w:rPr>
                  </w:pPr>
                  <w:r>
                    <w:rPr>
                      <w:rFonts w:hint="eastAsia"/>
                      <w:szCs w:val="21"/>
                      <w:lang w:val="en-US" w:eastAsia="zh-CN"/>
                    </w:rPr>
                    <w:t>3</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85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szCs w:val="21"/>
                    </w:rPr>
                  </w:pPr>
                  <w:r>
                    <w:rPr>
                      <w:rFonts w:hint="default" w:ascii="Times New Roman" w:hAnsi="Times New Roman" w:eastAsia="宋体" w:cs="Times New Roman"/>
                      <w:color w:val="auto"/>
                      <w:kern w:val="0"/>
                      <w:szCs w:val="20"/>
                      <w:lang w:bidi="ar"/>
                    </w:rPr>
                    <w:t>叶轮式喂料器</w:t>
                  </w:r>
                </w:p>
              </w:tc>
              <w:tc>
                <w:tcPr>
                  <w:tcW w:w="572" w:type="dxa"/>
                  <w:vAlign w:val="center"/>
                </w:tcPr>
                <w:p>
                  <w:pPr>
                    <w:pStyle w:val="49"/>
                    <w:rPr>
                      <w:rFonts w:hint="eastAsia" w:eastAsia="宋体"/>
                      <w:szCs w:val="21"/>
                      <w:lang w:val="en-US" w:eastAsia="zh-CN"/>
                    </w:rPr>
                  </w:pPr>
                  <w:r>
                    <w:rPr>
                      <w:rFonts w:hint="eastAsia"/>
                      <w:szCs w:val="21"/>
                      <w:lang w:val="en-US" w:eastAsia="zh-CN"/>
                    </w:rPr>
                    <w:t>3</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85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szCs w:val="21"/>
                    </w:rPr>
                  </w:pPr>
                  <w:r>
                    <w:rPr>
                      <w:rFonts w:hint="default" w:ascii="Times New Roman" w:hAnsi="Times New Roman" w:eastAsia="宋体" w:cs="Times New Roman"/>
                      <w:color w:val="auto"/>
                      <w:kern w:val="0"/>
                      <w:szCs w:val="20"/>
                      <w:lang w:bidi="ar"/>
                    </w:rPr>
                    <w:t>锤片式粉碎机</w:t>
                  </w:r>
                </w:p>
              </w:tc>
              <w:tc>
                <w:tcPr>
                  <w:tcW w:w="572" w:type="dxa"/>
                  <w:vAlign w:val="center"/>
                </w:tcPr>
                <w:p>
                  <w:pPr>
                    <w:pStyle w:val="49"/>
                    <w:rPr>
                      <w:rFonts w:hint="eastAsia" w:eastAsia="宋体"/>
                      <w:szCs w:val="21"/>
                      <w:lang w:val="en-US" w:eastAsia="zh-CN"/>
                    </w:rPr>
                  </w:pPr>
                  <w:r>
                    <w:rPr>
                      <w:rFonts w:hint="eastAsia"/>
                      <w:szCs w:val="21"/>
                      <w:lang w:val="en-US" w:eastAsia="zh-CN"/>
                    </w:rPr>
                    <w:t>1</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85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kern w:val="0"/>
                      <w:szCs w:val="20"/>
                      <w:lang w:bidi="ar"/>
                    </w:rPr>
                    <w:t>蓝鲸筛</w:t>
                  </w:r>
                </w:p>
              </w:tc>
              <w:tc>
                <w:tcPr>
                  <w:tcW w:w="572" w:type="dxa"/>
                  <w:vAlign w:val="center"/>
                </w:tcPr>
                <w:p>
                  <w:pPr>
                    <w:pStyle w:val="49"/>
                    <w:rPr>
                      <w:rFonts w:hint="eastAsia" w:eastAsia="宋体"/>
                      <w:szCs w:val="21"/>
                      <w:lang w:val="en-US" w:eastAsia="zh-CN"/>
                    </w:rPr>
                  </w:pPr>
                  <w:r>
                    <w:rPr>
                      <w:rFonts w:hint="eastAsia"/>
                      <w:szCs w:val="21"/>
                      <w:lang w:val="en-US" w:eastAsia="zh-CN"/>
                    </w:rPr>
                    <w:t>2</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75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55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ordWrap/>
                    <w:bidi w:val="0"/>
                    <w:spacing w:beforeAutospacing="0" w:afterAutospacing="0" w:line="240" w:lineRule="auto"/>
                    <w:ind w:left="0" w:leftChars="0" w:right="0" w:rightChars="0"/>
                    <w:contextualSpacing/>
                    <w:jc w:val="center"/>
                    <w:outlineLvl w:val="9"/>
                    <w:rPr>
                      <w:szCs w:val="21"/>
                    </w:rPr>
                  </w:pPr>
                  <w:r>
                    <w:rPr>
                      <w:rFonts w:hint="default" w:ascii="Times New Roman" w:hAnsi="Times New Roman" w:eastAsia="宋体" w:cs="Times New Roman"/>
                      <w:color w:val="auto"/>
                      <w:kern w:val="0"/>
                      <w:szCs w:val="20"/>
                      <w:lang w:bidi="ar"/>
                    </w:rPr>
                    <w:t>双轴混合机</w:t>
                  </w:r>
                </w:p>
              </w:tc>
              <w:tc>
                <w:tcPr>
                  <w:tcW w:w="572" w:type="dxa"/>
                  <w:vAlign w:val="center"/>
                </w:tcPr>
                <w:p>
                  <w:pPr>
                    <w:pStyle w:val="49"/>
                    <w:rPr>
                      <w:rFonts w:hint="eastAsia" w:eastAsia="宋体"/>
                      <w:szCs w:val="21"/>
                      <w:lang w:val="en-US" w:eastAsia="zh-CN"/>
                    </w:rPr>
                  </w:pPr>
                  <w:r>
                    <w:rPr>
                      <w:rFonts w:hint="eastAsia"/>
                      <w:szCs w:val="21"/>
                      <w:lang w:val="en-US" w:eastAsia="zh-CN"/>
                    </w:rPr>
                    <w:t>3</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80</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60</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rFonts w:hint="default" w:ascii="Times New Roman" w:hAnsi="Times New Roman" w:eastAsia="宋体" w:cs="Times New Roman"/>
                      <w:color w:val="auto"/>
                      <w:kern w:val="0"/>
                      <w:szCs w:val="20"/>
                      <w:lang w:bidi="ar"/>
                    </w:rPr>
                  </w:pPr>
                  <w:r>
                    <w:rPr>
                      <w:rFonts w:hint="default" w:ascii="Times New Roman" w:hAnsi="Times New Roman" w:eastAsia="宋体" w:cs="Times New Roman"/>
                      <w:bCs/>
                      <w:color w:val="auto"/>
                      <w:kern w:val="0"/>
                      <w:szCs w:val="20"/>
                      <w:lang w:bidi="ar"/>
                    </w:rPr>
                    <w:t>喂料器</w:t>
                  </w:r>
                </w:p>
              </w:tc>
              <w:tc>
                <w:tcPr>
                  <w:tcW w:w="572" w:type="dxa"/>
                  <w:vAlign w:val="center"/>
                </w:tcPr>
                <w:p>
                  <w:pPr>
                    <w:pStyle w:val="49"/>
                    <w:rPr>
                      <w:rFonts w:hint="eastAsia" w:eastAsia="宋体"/>
                      <w:szCs w:val="21"/>
                      <w:lang w:val="en-US" w:eastAsia="zh-CN"/>
                    </w:rPr>
                  </w:pPr>
                  <w:r>
                    <w:rPr>
                      <w:rFonts w:hint="eastAsia"/>
                      <w:szCs w:val="21"/>
                      <w:lang w:val="en-US" w:eastAsia="zh-CN"/>
                    </w:rPr>
                    <w:t>3</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85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rFonts w:hint="default" w:ascii="Times New Roman" w:hAnsi="Times New Roman" w:eastAsia="宋体" w:cs="Times New Roman"/>
                      <w:color w:val="auto"/>
                      <w:kern w:val="0"/>
                      <w:szCs w:val="20"/>
                      <w:lang w:bidi="ar"/>
                    </w:rPr>
                  </w:pPr>
                  <w:r>
                    <w:rPr>
                      <w:rFonts w:hint="default" w:ascii="Times New Roman" w:hAnsi="Times New Roman" w:eastAsia="宋体" w:cs="Times New Roman"/>
                      <w:bCs/>
                      <w:color w:val="auto"/>
                      <w:kern w:val="0"/>
                      <w:szCs w:val="20"/>
                      <w:lang w:bidi="ar"/>
                    </w:rPr>
                    <w:t>调制器</w:t>
                  </w:r>
                </w:p>
              </w:tc>
              <w:tc>
                <w:tcPr>
                  <w:tcW w:w="572" w:type="dxa"/>
                  <w:vAlign w:val="center"/>
                </w:tcPr>
                <w:p>
                  <w:pPr>
                    <w:pStyle w:val="49"/>
                    <w:rPr>
                      <w:rFonts w:hint="eastAsia" w:eastAsia="宋体"/>
                      <w:szCs w:val="21"/>
                      <w:lang w:val="en-US" w:eastAsia="zh-CN"/>
                    </w:rPr>
                  </w:pPr>
                  <w:r>
                    <w:rPr>
                      <w:rFonts w:hint="eastAsia"/>
                      <w:szCs w:val="21"/>
                      <w:lang w:val="en-US" w:eastAsia="zh-CN"/>
                    </w:rPr>
                    <w:t>2</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85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idowControl/>
                    <w:wordWrap/>
                    <w:bidi w:val="0"/>
                    <w:spacing w:beforeAutospacing="0" w:afterAutospacing="0" w:line="240" w:lineRule="auto"/>
                    <w:ind w:left="0" w:leftChars="0" w:right="0" w:rightChars="0"/>
                    <w:jc w:val="center"/>
                    <w:textAlignment w:val="center"/>
                    <w:outlineLvl w:val="9"/>
                    <w:rPr>
                      <w:rFonts w:hint="default" w:ascii="Times New Roman" w:hAnsi="Times New Roman" w:eastAsia="宋体" w:cs="Times New Roman"/>
                      <w:color w:val="auto"/>
                      <w:kern w:val="0"/>
                      <w:szCs w:val="20"/>
                      <w:lang w:bidi="ar"/>
                    </w:rPr>
                  </w:pPr>
                  <w:r>
                    <w:rPr>
                      <w:rFonts w:hint="default" w:ascii="Times New Roman" w:hAnsi="Times New Roman" w:eastAsia="宋体" w:cs="Times New Roman"/>
                      <w:bCs/>
                      <w:color w:val="auto"/>
                      <w:kern w:val="0"/>
                      <w:szCs w:val="20"/>
                      <w:lang w:bidi="ar"/>
                    </w:rPr>
                    <w:t>冷却器</w:t>
                  </w:r>
                </w:p>
              </w:tc>
              <w:tc>
                <w:tcPr>
                  <w:tcW w:w="572" w:type="dxa"/>
                  <w:vAlign w:val="center"/>
                </w:tcPr>
                <w:p>
                  <w:pPr>
                    <w:pStyle w:val="49"/>
                    <w:rPr>
                      <w:rFonts w:hint="eastAsia" w:eastAsia="宋体"/>
                      <w:szCs w:val="21"/>
                      <w:lang w:val="en-US" w:eastAsia="zh-CN"/>
                    </w:rPr>
                  </w:pPr>
                  <w:r>
                    <w:rPr>
                      <w:rFonts w:hint="eastAsia"/>
                      <w:szCs w:val="21"/>
                      <w:lang w:val="en-US" w:eastAsia="zh-CN"/>
                    </w:rPr>
                    <w:t>2</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85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ordWrap/>
                    <w:bidi w:val="0"/>
                    <w:spacing w:beforeAutospacing="0" w:afterAutospacing="0" w:line="240" w:lineRule="auto"/>
                    <w:ind w:left="0" w:leftChars="0" w:right="0" w:rightChars="0"/>
                    <w:contextualSpacing/>
                    <w:jc w:val="center"/>
                    <w:outlineLvl w:val="9"/>
                    <w:rPr>
                      <w:rFonts w:hint="default" w:ascii="Times New Roman" w:hAnsi="Times New Roman" w:eastAsia="宋体" w:cs="Times New Roman"/>
                      <w:color w:val="auto"/>
                      <w:kern w:val="0"/>
                      <w:szCs w:val="20"/>
                      <w:lang w:bidi="ar"/>
                    </w:rPr>
                  </w:pPr>
                  <w:r>
                    <w:rPr>
                      <w:rFonts w:hint="default" w:ascii="Times New Roman" w:hAnsi="Times New Roman" w:eastAsia="宋体" w:cs="Times New Roman"/>
                      <w:color w:val="auto"/>
                      <w:kern w:val="0"/>
                      <w:szCs w:val="20"/>
                      <w:lang w:bidi="ar"/>
                    </w:rPr>
                    <w:t>粉料初清筛</w:t>
                  </w:r>
                </w:p>
              </w:tc>
              <w:tc>
                <w:tcPr>
                  <w:tcW w:w="572" w:type="dxa"/>
                  <w:vAlign w:val="center"/>
                </w:tcPr>
                <w:p>
                  <w:pPr>
                    <w:pStyle w:val="49"/>
                    <w:rPr>
                      <w:rFonts w:hint="eastAsia" w:eastAsia="宋体"/>
                      <w:szCs w:val="21"/>
                      <w:lang w:val="en-US" w:eastAsia="zh-CN"/>
                    </w:rPr>
                  </w:pPr>
                  <w:r>
                    <w:rPr>
                      <w:rFonts w:hint="eastAsia"/>
                      <w:szCs w:val="21"/>
                      <w:lang w:val="en-US" w:eastAsia="zh-CN"/>
                    </w:rPr>
                    <w:t>2</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75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55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ordWrap/>
                    <w:bidi w:val="0"/>
                    <w:spacing w:beforeAutospacing="0" w:afterAutospacing="0" w:line="240" w:lineRule="auto"/>
                    <w:ind w:left="0" w:leftChars="0" w:right="0" w:rightChars="0"/>
                    <w:contextualSpacing/>
                    <w:jc w:val="center"/>
                    <w:outlineLvl w:val="9"/>
                    <w:rPr>
                      <w:rFonts w:hint="default" w:ascii="Times New Roman" w:hAnsi="Times New Roman" w:eastAsia="宋体" w:cs="Times New Roman"/>
                      <w:color w:val="auto"/>
                      <w:kern w:val="0"/>
                      <w:szCs w:val="20"/>
                      <w:lang w:bidi="ar"/>
                    </w:rPr>
                  </w:pPr>
                  <w:r>
                    <w:rPr>
                      <w:rFonts w:hint="default" w:ascii="Times New Roman" w:hAnsi="Times New Roman" w:eastAsia="宋体" w:cs="Times New Roman"/>
                      <w:color w:val="auto"/>
                      <w:kern w:val="0"/>
                      <w:szCs w:val="20"/>
                      <w:lang w:bidi="ar"/>
                    </w:rPr>
                    <w:t>三辊破碎机</w:t>
                  </w:r>
                </w:p>
              </w:tc>
              <w:tc>
                <w:tcPr>
                  <w:tcW w:w="572" w:type="dxa"/>
                  <w:vAlign w:val="center"/>
                </w:tcPr>
                <w:p>
                  <w:pPr>
                    <w:pStyle w:val="49"/>
                    <w:rPr>
                      <w:rFonts w:hint="eastAsia" w:eastAsia="宋体"/>
                      <w:szCs w:val="21"/>
                      <w:lang w:val="en-US" w:eastAsia="zh-CN"/>
                    </w:rPr>
                  </w:pPr>
                  <w:r>
                    <w:rPr>
                      <w:rFonts w:hint="eastAsia"/>
                      <w:szCs w:val="21"/>
                      <w:lang w:val="en-US" w:eastAsia="zh-CN"/>
                    </w:rPr>
                    <w:t>1</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85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65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ordWrap/>
                    <w:bidi w:val="0"/>
                    <w:spacing w:beforeAutospacing="0" w:afterAutospacing="0" w:line="240" w:lineRule="auto"/>
                    <w:ind w:left="0" w:leftChars="0" w:right="0" w:rightChars="0"/>
                    <w:contextualSpacing/>
                    <w:jc w:val="center"/>
                    <w:outlineLvl w:val="9"/>
                    <w:rPr>
                      <w:rFonts w:hint="default" w:ascii="Times New Roman" w:hAnsi="Times New Roman" w:eastAsia="宋体" w:cs="Times New Roman"/>
                      <w:color w:val="auto"/>
                      <w:kern w:val="0"/>
                      <w:szCs w:val="20"/>
                      <w:lang w:bidi="ar"/>
                    </w:rPr>
                  </w:pPr>
                  <w:r>
                    <w:rPr>
                      <w:rFonts w:hint="default" w:ascii="Times New Roman" w:hAnsi="Times New Roman" w:eastAsia="宋体" w:cs="Times New Roman"/>
                      <w:color w:val="auto"/>
                      <w:kern w:val="0"/>
                      <w:szCs w:val="20"/>
                      <w:lang w:bidi="ar"/>
                    </w:rPr>
                    <w:t>分级筛</w:t>
                  </w:r>
                </w:p>
              </w:tc>
              <w:tc>
                <w:tcPr>
                  <w:tcW w:w="572" w:type="dxa"/>
                  <w:vAlign w:val="center"/>
                </w:tcPr>
                <w:p>
                  <w:pPr>
                    <w:pStyle w:val="49"/>
                    <w:rPr>
                      <w:rFonts w:hint="eastAsia" w:eastAsia="宋体"/>
                      <w:szCs w:val="21"/>
                      <w:lang w:val="en-US" w:eastAsia="zh-CN"/>
                    </w:rPr>
                  </w:pPr>
                  <w:r>
                    <w:rPr>
                      <w:rFonts w:hint="eastAsia"/>
                      <w:szCs w:val="21"/>
                      <w:lang w:val="en-US" w:eastAsia="zh-CN"/>
                    </w:rPr>
                    <w:t>2</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75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55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ordWrap/>
                    <w:bidi w:val="0"/>
                    <w:spacing w:beforeAutospacing="0" w:afterAutospacing="0" w:line="240" w:lineRule="auto"/>
                    <w:ind w:left="0" w:leftChars="0" w:right="0" w:rightChars="0"/>
                    <w:contextualSpacing/>
                    <w:jc w:val="center"/>
                    <w:outlineLvl w:val="9"/>
                    <w:rPr>
                      <w:rFonts w:hint="default" w:ascii="Times New Roman" w:hAnsi="Times New Roman" w:eastAsia="宋体" w:cs="Times New Roman"/>
                      <w:color w:val="auto"/>
                      <w:kern w:val="0"/>
                      <w:szCs w:val="20"/>
                      <w:lang w:bidi="ar"/>
                    </w:rPr>
                  </w:pPr>
                  <w:r>
                    <w:rPr>
                      <w:rFonts w:hint="default" w:ascii="Times New Roman" w:hAnsi="Times New Roman" w:eastAsia="宋体" w:cs="Times New Roman"/>
                      <w:color w:val="auto"/>
                      <w:kern w:val="0"/>
                      <w:szCs w:val="20"/>
                      <w:lang w:bidi="ar"/>
                    </w:rPr>
                    <w:t>振动筛</w:t>
                  </w:r>
                </w:p>
              </w:tc>
              <w:tc>
                <w:tcPr>
                  <w:tcW w:w="572" w:type="dxa"/>
                  <w:vAlign w:val="center"/>
                </w:tcPr>
                <w:p>
                  <w:pPr>
                    <w:pStyle w:val="49"/>
                    <w:rPr>
                      <w:rFonts w:hint="eastAsia" w:eastAsia="宋体"/>
                      <w:szCs w:val="21"/>
                      <w:lang w:val="en-US" w:eastAsia="zh-CN"/>
                    </w:rPr>
                  </w:pPr>
                  <w:r>
                    <w:rPr>
                      <w:rFonts w:hint="eastAsia"/>
                      <w:szCs w:val="21"/>
                      <w:lang w:val="en-US" w:eastAsia="zh-CN"/>
                    </w:rPr>
                    <w:t>2</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75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55</w:t>
                  </w:r>
                </w:p>
              </w:tc>
              <w:tc>
                <w:tcPr>
                  <w:tcW w:w="855" w:type="dxa"/>
                  <w:vMerge w:val="continue"/>
                  <w:vAlign w:val="center"/>
                </w:tcPr>
                <w:p>
                  <w:pPr>
                    <w:pStyle w:val="49"/>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1" w:type="dxa"/>
                  <w:vAlign w:val="center"/>
                </w:tcPr>
                <w:p>
                  <w:pPr>
                    <w:pStyle w:val="49"/>
                    <w:keepNext w:val="0"/>
                    <w:keepLines w:val="0"/>
                    <w:pageBreakBefore w:val="0"/>
                    <w:widowControl w:val="0"/>
                    <w:numPr>
                      <w:ilvl w:val="0"/>
                      <w:numId w:val="10"/>
                    </w:numPr>
                    <w:kinsoku/>
                    <w:wordWrap/>
                    <w:overflowPunct/>
                    <w:topLinePunct w:val="0"/>
                    <w:autoSpaceDE/>
                    <w:autoSpaceDN/>
                    <w:bidi w:val="0"/>
                    <w:adjustRightInd/>
                    <w:snapToGrid/>
                    <w:ind w:left="425" w:leftChars="0" w:hanging="425" w:firstLineChars="0"/>
                    <w:jc w:val="right"/>
                    <w:textAlignment w:val="auto"/>
                    <w:rPr>
                      <w:szCs w:val="21"/>
                    </w:rPr>
                  </w:pPr>
                </w:p>
              </w:tc>
              <w:tc>
                <w:tcPr>
                  <w:tcW w:w="1276" w:type="dxa"/>
                  <w:vAlign w:val="center"/>
                </w:tcPr>
                <w:p>
                  <w:pPr>
                    <w:wordWrap/>
                    <w:bidi w:val="0"/>
                    <w:spacing w:beforeAutospacing="0" w:afterAutospacing="0" w:line="240" w:lineRule="auto"/>
                    <w:ind w:left="0" w:leftChars="0" w:right="0" w:rightChars="0"/>
                    <w:contextualSpacing/>
                    <w:jc w:val="center"/>
                    <w:outlineLvl w:val="9"/>
                    <w:rPr>
                      <w:rFonts w:hint="default" w:ascii="Times New Roman" w:hAnsi="Times New Roman" w:eastAsia="宋体" w:cs="Times New Roman"/>
                      <w:color w:val="auto"/>
                      <w:kern w:val="0"/>
                      <w:szCs w:val="20"/>
                      <w:lang w:bidi="ar"/>
                    </w:rPr>
                  </w:pPr>
                  <w:r>
                    <w:rPr>
                      <w:rFonts w:hint="default" w:ascii="Times New Roman" w:hAnsi="Times New Roman" w:eastAsia="宋体" w:cs="Times New Roman"/>
                      <w:color w:val="auto"/>
                      <w:szCs w:val="20"/>
                    </w:rPr>
                    <w:t>缝包机</w:t>
                  </w:r>
                </w:p>
              </w:tc>
              <w:tc>
                <w:tcPr>
                  <w:tcW w:w="572" w:type="dxa"/>
                  <w:vAlign w:val="center"/>
                </w:tcPr>
                <w:p>
                  <w:pPr>
                    <w:pStyle w:val="49"/>
                    <w:rPr>
                      <w:rFonts w:hint="eastAsia" w:eastAsia="宋体"/>
                      <w:szCs w:val="21"/>
                      <w:lang w:val="en-US" w:eastAsia="zh-CN"/>
                    </w:rPr>
                  </w:pPr>
                  <w:r>
                    <w:rPr>
                      <w:rFonts w:hint="eastAsia"/>
                      <w:szCs w:val="21"/>
                      <w:lang w:val="en-US" w:eastAsia="zh-CN"/>
                    </w:rPr>
                    <w:t>2</w:t>
                  </w:r>
                </w:p>
              </w:tc>
              <w:tc>
                <w:tcPr>
                  <w:tcW w:w="709" w:type="dxa"/>
                  <w:vMerge w:val="continue"/>
                  <w:vAlign w:val="center"/>
                </w:tcPr>
                <w:p>
                  <w:pPr>
                    <w:pStyle w:val="49"/>
                    <w:rPr>
                      <w:szCs w:val="21"/>
                    </w:rPr>
                  </w:pPr>
                </w:p>
              </w:tc>
              <w:tc>
                <w:tcPr>
                  <w:tcW w:w="992"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75</w:t>
                  </w:r>
                </w:p>
              </w:tc>
              <w:tc>
                <w:tcPr>
                  <w:tcW w:w="1019" w:type="dxa"/>
                  <w:vAlign w:val="center"/>
                </w:tcPr>
                <w:p>
                  <w:pPr>
                    <w:pStyle w:val="49"/>
                    <w:rPr>
                      <w:rFonts w:hint="eastAsia"/>
                      <w:szCs w:val="21"/>
                    </w:rPr>
                  </w:pPr>
                  <w:r>
                    <w:rPr>
                      <w:rFonts w:hint="eastAsia"/>
                      <w:szCs w:val="21"/>
                    </w:rPr>
                    <w:t>1</w:t>
                  </w:r>
                </w:p>
              </w:tc>
              <w:tc>
                <w:tcPr>
                  <w:tcW w:w="900" w:type="dxa"/>
                  <w:vMerge w:val="continue"/>
                  <w:vAlign w:val="center"/>
                </w:tcPr>
                <w:p>
                  <w:pPr>
                    <w:pStyle w:val="49"/>
                    <w:rPr>
                      <w:szCs w:val="21"/>
                    </w:rPr>
                  </w:pPr>
                </w:p>
              </w:tc>
              <w:tc>
                <w:tcPr>
                  <w:tcW w:w="1020" w:type="dxa"/>
                  <w:vAlign w:val="center"/>
                </w:tcPr>
                <w:p>
                  <w:pPr>
                    <w:wordWrap/>
                    <w:bidi w:val="0"/>
                    <w:spacing w:beforeAutospacing="0" w:afterAutospacing="0" w:line="240" w:lineRule="auto"/>
                    <w:ind w:left="0" w:leftChars="0" w:right="0" w:rightChars="0"/>
                    <w:contextualSpacing/>
                    <w:jc w:val="center"/>
                    <w:outlineLvl w:val="9"/>
                    <w:rPr>
                      <w:rFonts w:hint="eastAsia"/>
                      <w:szCs w:val="21"/>
                    </w:rPr>
                  </w:pPr>
                  <w:r>
                    <w:rPr>
                      <w:rFonts w:hint="default" w:ascii="Times New Roman" w:hAnsi="Times New Roman" w:eastAsia="宋体" w:cs="Times New Roman"/>
                      <w:color w:val="auto"/>
                      <w:szCs w:val="21"/>
                    </w:rPr>
                    <w:t>55</w:t>
                  </w:r>
                </w:p>
              </w:tc>
              <w:tc>
                <w:tcPr>
                  <w:tcW w:w="855" w:type="dxa"/>
                  <w:vMerge w:val="continue"/>
                  <w:vAlign w:val="center"/>
                </w:tcPr>
                <w:p>
                  <w:pPr>
                    <w:pStyle w:val="49"/>
                    <w:rPr>
                      <w:b/>
                      <w:bCs/>
                      <w:szCs w:val="21"/>
                    </w:rPr>
                  </w:pPr>
                </w:p>
              </w:tc>
            </w:tr>
          </w:tbl>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2、监测计划</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根据《排污单位自行监测技术指南 总则》（H819-2017），制定本项目噪声监测计划如下。</w:t>
            </w:r>
          </w:p>
          <w:p>
            <w:pPr>
              <w:wordWrap/>
              <w:bidi w:val="0"/>
              <w:spacing w:beforeAutospacing="0" w:afterAutospacing="0" w:line="240" w:lineRule="auto"/>
              <w:ind w:left="0" w:leftChars="0" w:right="0" w:rightChars="0"/>
              <w:contextualSpacing/>
              <w:jc w:val="center"/>
              <w:outlineLvl w:val="9"/>
            </w:pPr>
            <w:r>
              <w:rPr>
                <w:rFonts w:hint="default" w:ascii="Times New Roman" w:hAnsi="Times New Roman" w:eastAsia="宋体" w:cs="Times New Roman"/>
                <w:b/>
                <w:color w:val="auto"/>
                <w:sz w:val="24"/>
              </w:rPr>
              <w:t>表</w:t>
            </w:r>
            <w:r>
              <w:rPr>
                <w:rFonts w:hint="default" w:ascii="Times New Roman" w:hAnsi="Times New Roman" w:eastAsia="宋体" w:cs="Times New Roman"/>
                <w:b/>
                <w:color w:val="auto"/>
                <w:sz w:val="24"/>
                <w:lang w:val="en-US" w:eastAsia="zh-CN"/>
              </w:rPr>
              <w:t>4-1</w:t>
            </w:r>
            <w:r>
              <w:rPr>
                <w:rFonts w:hint="eastAsia" w:cs="Times New Roman"/>
                <w:b/>
                <w:color w:val="auto"/>
                <w:sz w:val="24"/>
                <w:lang w:val="en-US" w:eastAsia="zh-CN"/>
              </w:rPr>
              <w:t xml:space="preserve">0 </w:t>
            </w:r>
            <w:r>
              <w:rPr>
                <w:rFonts w:hint="default" w:ascii="Times New Roman" w:hAnsi="Times New Roman" w:eastAsia="宋体" w:cs="Times New Roman"/>
                <w:b/>
                <w:color w:val="auto"/>
                <w:sz w:val="24"/>
              </w:rPr>
              <w:t>项目噪声监测计划表</w:t>
            </w:r>
          </w:p>
          <w:tbl>
            <w:tblPr>
              <w:tblStyle w:val="1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0"/>
              <w:gridCol w:w="708"/>
              <w:gridCol w:w="709"/>
              <w:gridCol w:w="1701"/>
              <w:gridCol w:w="851"/>
              <w:gridCol w:w="1984"/>
              <w:gridCol w:w="12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0" w:type="dxa"/>
                  <w:vAlign w:val="center"/>
                </w:tcPr>
                <w:p>
                  <w:pPr>
                    <w:pStyle w:val="49"/>
                  </w:pPr>
                  <w:r>
                    <w:rPr>
                      <w:rFonts w:hint="eastAsia"/>
                    </w:rPr>
                    <w:t>监测点位</w:t>
                  </w:r>
                </w:p>
              </w:tc>
              <w:tc>
                <w:tcPr>
                  <w:tcW w:w="708" w:type="dxa"/>
                  <w:vAlign w:val="center"/>
                </w:tcPr>
                <w:p>
                  <w:pPr>
                    <w:pStyle w:val="49"/>
                  </w:pPr>
                  <w:r>
                    <w:rPr>
                      <w:rFonts w:hint="eastAsia"/>
                    </w:rPr>
                    <w:t>监测因子</w:t>
                  </w:r>
                </w:p>
              </w:tc>
              <w:tc>
                <w:tcPr>
                  <w:tcW w:w="709" w:type="dxa"/>
                  <w:vAlign w:val="center"/>
                </w:tcPr>
                <w:p>
                  <w:pPr>
                    <w:pStyle w:val="49"/>
                  </w:pPr>
                  <w:r>
                    <w:rPr>
                      <w:rFonts w:hint="eastAsia"/>
                    </w:rPr>
                    <w:t>监测频次</w:t>
                  </w:r>
                </w:p>
              </w:tc>
              <w:tc>
                <w:tcPr>
                  <w:tcW w:w="1701" w:type="dxa"/>
                  <w:vAlign w:val="center"/>
                </w:tcPr>
                <w:p>
                  <w:pPr>
                    <w:pStyle w:val="49"/>
                  </w:pPr>
                  <w:r>
                    <w:rPr>
                      <w:rFonts w:hint="eastAsia"/>
                    </w:rPr>
                    <w:t>执行排放标准及其限值</w:t>
                  </w:r>
                </w:p>
              </w:tc>
              <w:tc>
                <w:tcPr>
                  <w:tcW w:w="851" w:type="dxa"/>
                  <w:vAlign w:val="center"/>
                </w:tcPr>
                <w:p>
                  <w:pPr>
                    <w:pStyle w:val="49"/>
                  </w:pPr>
                  <w:r>
                    <w:rPr>
                      <w:rFonts w:hint="eastAsia"/>
                    </w:rPr>
                    <w:t>监测分析方法</w:t>
                  </w:r>
                </w:p>
              </w:tc>
              <w:tc>
                <w:tcPr>
                  <w:tcW w:w="1984" w:type="dxa"/>
                  <w:vAlign w:val="center"/>
                </w:tcPr>
                <w:p>
                  <w:pPr>
                    <w:pStyle w:val="49"/>
                  </w:pPr>
                  <w:r>
                    <w:t>质量保证与质量控制</w:t>
                  </w:r>
                </w:p>
              </w:tc>
              <w:tc>
                <w:tcPr>
                  <w:tcW w:w="1211" w:type="dxa"/>
                  <w:vAlign w:val="center"/>
                </w:tcPr>
                <w:p>
                  <w:pPr>
                    <w:pStyle w:val="49"/>
                  </w:pPr>
                  <w:r>
                    <w:t>经费估算及来源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2" w:hRule="atLeast"/>
              </w:trPr>
              <w:tc>
                <w:tcPr>
                  <w:tcW w:w="810" w:type="dxa"/>
                  <w:vAlign w:val="center"/>
                </w:tcPr>
                <w:p>
                  <w:pPr>
                    <w:pStyle w:val="49"/>
                  </w:pPr>
                  <w:r>
                    <w:t>厂界四周</w:t>
                  </w:r>
                  <w:r>
                    <w:rPr>
                      <w:rFonts w:hint="eastAsia"/>
                    </w:rPr>
                    <w:t>1m</w:t>
                  </w:r>
                </w:p>
              </w:tc>
              <w:tc>
                <w:tcPr>
                  <w:tcW w:w="708" w:type="dxa"/>
                  <w:vAlign w:val="center"/>
                </w:tcPr>
                <w:p>
                  <w:pPr>
                    <w:pStyle w:val="49"/>
                  </w:pPr>
                  <w:r>
                    <w:t>等效连续A声级</w:t>
                  </w:r>
                </w:p>
              </w:tc>
              <w:tc>
                <w:tcPr>
                  <w:tcW w:w="709" w:type="dxa"/>
                  <w:vAlign w:val="center"/>
                </w:tcPr>
                <w:p>
                  <w:pPr>
                    <w:pStyle w:val="49"/>
                  </w:pPr>
                  <w:r>
                    <w:t>1次/季度</w:t>
                  </w:r>
                </w:p>
              </w:tc>
              <w:tc>
                <w:tcPr>
                  <w:tcW w:w="1701" w:type="dxa"/>
                  <w:vAlign w:val="center"/>
                </w:tcPr>
                <w:p>
                  <w:pPr>
                    <w:pStyle w:val="49"/>
                  </w:pPr>
                  <w:r>
                    <w:t>《工业企业厂界环境噪声排放标准》（GB12348-2008）中2类标准限值</w:t>
                  </w:r>
                  <w:r>
                    <w:rPr>
                      <w:rFonts w:hint="eastAsia"/>
                    </w:rPr>
                    <w:t>，昼间6</w:t>
                  </w:r>
                  <w:r>
                    <w:t>0</w:t>
                  </w:r>
                  <w:r>
                    <w:rPr>
                      <w:rFonts w:hint="eastAsia"/>
                    </w:rPr>
                    <w:t>d</w:t>
                  </w:r>
                  <w:r>
                    <w:t>B</w:t>
                  </w:r>
                  <w:r>
                    <w:rPr>
                      <w:rFonts w:hint="eastAsia"/>
                    </w:rPr>
                    <w:t>（A），夜间5</w:t>
                  </w:r>
                  <w:r>
                    <w:t>0</w:t>
                  </w:r>
                  <w:r>
                    <w:rPr>
                      <w:rFonts w:hint="eastAsia"/>
                    </w:rPr>
                    <w:t xml:space="preserve"> d</w:t>
                  </w:r>
                  <w:r>
                    <w:t>B</w:t>
                  </w:r>
                  <w:r>
                    <w:rPr>
                      <w:rFonts w:hint="eastAsia"/>
                    </w:rPr>
                    <w:t>（A）</w:t>
                  </w:r>
                </w:p>
              </w:tc>
              <w:tc>
                <w:tcPr>
                  <w:tcW w:w="851" w:type="dxa"/>
                  <w:vAlign w:val="center"/>
                </w:tcPr>
                <w:p>
                  <w:pPr>
                    <w:pStyle w:val="49"/>
                  </w:pPr>
                  <w:r>
                    <w:t>多功 能声 级计</w:t>
                  </w:r>
                </w:p>
              </w:tc>
              <w:tc>
                <w:tcPr>
                  <w:tcW w:w="1984" w:type="dxa"/>
                  <w:vAlign w:val="center"/>
                </w:tcPr>
                <w:p>
                  <w:pPr>
                    <w:pStyle w:val="49"/>
                  </w:pPr>
                  <w:r>
                    <w:t>按照监测方法和技术规 范要求开展监测活动， 定期对自行监测工作开 展的时效性、数据的代 表性和准确性、管理部 门检查结论和公众对自 行监测数据的反馈等情 况进行评估，识别自行 监测存在的问题，及时 采取纠正措施</w:t>
                  </w:r>
                </w:p>
              </w:tc>
              <w:tc>
                <w:tcPr>
                  <w:tcW w:w="1211" w:type="dxa"/>
                  <w:vAlign w:val="center"/>
                </w:tcPr>
                <w:p>
                  <w:pPr>
                    <w:pStyle w:val="49"/>
                  </w:pPr>
                  <w:r>
                    <w:t>1.0 万元/年工程投资</w:t>
                  </w:r>
                </w:p>
              </w:tc>
            </w:tr>
          </w:tbl>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3、环保措施可行性分析</w:t>
            </w:r>
          </w:p>
          <w:p>
            <w:pPr>
              <w:spacing w:line="360" w:lineRule="auto"/>
              <w:ind w:firstLine="480" w:firstLineChars="200"/>
              <w:jc w:val="left"/>
              <w:textAlignment w:val="center"/>
              <w:rPr>
                <w:sz w:val="24"/>
              </w:rPr>
            </w:pPr>
            <w:r>
              <w:rPr>
                <w:sz w:val="24"/>
              </w:rPr>
              <w:t>本项目运营期采取如下降噪措施：</w:t>
            </w:r>
          </w:p>
          <w:p>
            <w:pPr>
              <w:spacing w:line="360" w:lineRule="auto"/>
              <w:ind w:firstLine="480" w:firstLineChars="200"/>
              <w:jc w:val="left"/>
              <w:textAlignment w:val="center"/>
            </w:pPr>
            <w:r>
              <w:rPr>
                <w:sz w:val="24"/>
              </w:rPr>
              <w:t>①在厂区总体布置中应注意防噪间距，以减少噪声的污染；</w:t>
            </w:r>
          </w:p>
          <w:p>
            <w:pPr>
              <w:spacing w:line="360" w:lineRule="auto"/>
              <w:ind w:firstLine="480" w:firstLineChars="200"/>
              <w:jc w:val="left"/>
              <w:textAlignment w:val="center"/>
              <w:rPr>
                <w:sz w:val="24"/>
              </w:rPr>
            </w:pPr>
            <w:r>
              <w:rPr>
                <w:sz w:val="24"/>
              </w:rPr>
              <w:t>②设备选型上选择低噪声设备</w:t>
            </w:r>
            <w:r>
              <w:rPr>
                <w:rFonts w:hint="eastAsia"/>
                <w:sz w:val="24"/>
                <w:lang w:eastAsia="zh-CN"/>
              </w:rPr>
              <w:t>，</w:t>
            </w:r>
            <w:r>
              <w:rPr>
                <w:rFonts w:hint="eastAsia"/>
                <w:sz w:val="24"/>
                <w:lang w:val="en-US" w:eastAsia="zh-CN"/>
              </w:rPr>
              <w:t>并在设备底部加装减震垫</w:t>
            </w:r>
            <w:r>
              <w:rPr>
                <w:sz w:val="24"/>
              </w:rPr>
              <w:t>；</w:t>
            </w:r>
          </w:p>
          <w:p>
            <w:pPr>
              <w:spacing w:line="360" w:lineRule="auto"/>
              <w:ind w:firstLine="480" w:firstLineChars="200"/>
              <w:jc w:val="left"/>
              <w:textAlignment w:val="center"/>
              <w:rPr>
                <w:sz w:val="24"/>
              </w:rPr>
            </w:pPr>
            <w:r>
              <w:rPr>
                <w:sz w:val="24"/>
              </w:rPr>
              <w:t>③定期对设备进行检查、维修，保持设备最佳运行状态，减少噪声产生量；</w:t>
            </w:r>
          </w:p>
          <w:p>
            <w:pPr>
              <w:spacing w:line="360" w:lineRule="auto"/>
              <w:ind w:firstLine="480" w:firstLineChars="200"/>
              <w:jc w:val="left"/>
              <w:textAlignment w:val="center"/>
              <w:rPr>
                <w:sz w:val="24"/>
              </w:rPr>
            </w:pPr>
            <w:r>
              <w:rPr>
                <w:sz w:val="24"/>
              </w:rPr>
              <w:t>④加强对作业人员的个人防护和保护，如采用隔声耳罩等；</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由于本项目东侧12m现有一居民民房，因此本项目厂区东侧不设置生产车间及相关高噪声设备，且将厂区东侧设置围挡、增大防噪间距，综上所述，本项目噪声对居民民房影响较小。</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本项目采用低噪声设备、厂房隔声、基础减振、风机软连接等措施后，本项目厂界外1m处噪声值符合</w:t>
            </w:r>
            <w:r>
              <w:rPr>
                <w:rFonts w:hint="default" w:ascii="Times New Roman" w:hAnsi="Times New Roman" w:eastAsia="宋体" w:cs="Times New Roman"/>
                <w:bCs/>
                <w:color w:val="auto"/>
                <w:sz w:val="24"/>
              </w:rPr>
              <w:t>《工业企业厂界环境噪声排放标准》（GB12348-2008）表1中</w:t>
            </w:r>
            <w:r>
              <w:rPr>
                <w:rFonts w:hint="default" w:ascii="Times New Roman" w:hAnsi="Times New Roman" w:eastAsia="宋体" w:cs="Times New Roman"/>
                <w:color w:val="auto"/>
                <w:sz w:val="24"/>
              </w:rPr>
              <w:t>2类标准（昼间≤60dB（A），夜间≤50dB（A））。综上，本项目建设对周围声环境影响较小。</w:t>
            </w:r>
          </w:p>
          <w:p>
            <w:pPr>
              <w:wordWrap/>
              <w:bidi w:val="0"/>
              <w:spacing w:beforeAutospacing="0" w:afterAutospacing="0" w:line="360" w:lineRule="auto"/>
              <w:ind w:left="0" w:leftChars="0" w:right="0" w:rightChars="0" w:firstLine="482" w:firstLineChars="200"/>
              <w:contextualSpacing/>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四、固废</w:t>
            </w:r>
          </w:p>
          <w:p>
            <w:pPr>
              <w:wordWrap/>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本项目产生的固体废物主要为职工生活垃圾、除尘器收集的粉尘、废离子交换树脂、废包装袋、化验室废液（HW49,900-047-49）、废活性炭。</w:t>
            </w:r>
          </w:p>
          <w:p>
            <w:pPr>
              <w:numPr>
                <w:ilvl w:val="0"/>
                <w:numId w:val="0"/>
              </w:numPr>
              <w:wordWrap/>
              <w:bidi w:val="0"/>
              <w:spacing w:beforeAutospacing="0" w:afterAutospacing="0" w:line="360" w:lineRule="auto"/>
              <w:ind w:leftChars="200" w:right="0" w:rightChars="0"/>
              <w:outlineLvl w:val="9"/>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生活垃圾</w:t>
            </w:r>
          </w:p>
          <w:p>
            <w:pPr>
              <w:wordWrap/>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本项目职工人数为</w:t>
            </w:r>
            <w:r>
              <w:rPr>
                <w:rFonts w:hint="eastAsia" w:cs="Times New Roman"/>
                <w:color w:val="auto"/>
                <w:sz w:val="24"/>
                <w:lang w:val="en-US" w:eastAsia="zh-CN"/>
              </w:rPr>
              <w:t>12</w:t>
            </w:r>
            <w:r>
              <w:rPr>
                <w:rFonts w:hint="default" w:ascii="Times New Roman" w:hAnsi="Times New Roman" w:eastAsia="宋体" w:cs="Times New Roman"/>
                <w:color w:val="auto"/>
                <w:sz w:val="24"/>
              </w:rPr>
              <w:t>人，生活垃圾产生量为0.5kg/人•d，则本项目生活垃圾产生量为</w:t>
            </w:r>
            <w:r>
              <w:rPr>
                <w:rFonts w:hint="eastAsia" w:cs="Times New Roman"/>
                <w:color w:val="auto"/>
                <w:sz w:val="24"/>
                <w:lang w:val="en-US" w:eastAsia="zh-CN"/>
              </w:rPr>
              <w:t>6</w:t>
            </w:r>
            <w:r>
              <w:rPr>
                <w:rFonts w:hint="default" w:ascii="Times New Roman" w:hAnsi="Times New Roman" w:eastAsia="宋体" w:cs="Times New Roman"/>
                <w:color w:val="auto"/>
                <w:sz w:val="24"/>
              </w:rPr>
              <w:t>kg/d，</w:t>
            </w:r>
            <w:r>
              <w:rPr>
                <w:rFonts w:hint="eastAsia" w:cs="Times New Roman"/>
                <w:color w:val="auto"/>
                <w:sz w:val="24"/>
                <w:lang w:val="en-US" w:eastAsia="zh-CN"/>
              </w:rPr>
              <w:t>1.56</w:t>
            </w:r>
            <w:r>
              <w:rPr>
                <w:rFonts w:hint="default" w:ascii="Times New Roman" w:hAnsi="Times New Roman" w:eastAsia="宋体" w:cs="Times New Roman"/>
                <w:color w:val="auto"/>
                <w:sz w:val="24"/>
              </w:rPr>
              <w:t>t/a。生活垃圾设置垃圾箱由</w:t>
            </w:r>
            <w:r>
              <w:rPr>
                <w:rFonts w:hint="default" w:ascii="Times New Roman" w:hAnsi="Times New Roman" w:eastAsia="宋体" w:cs="Times New Roman"/>
                <w:color w:val="auto"/>
                <w:sz w:val="24"/>
                <w:lang w:eastAsia="zh-CN"/>
              </w:rPr>
              <w:t>市政</w:t>
            </w:r>
            <w:r>
              <w:rPr>
                <w:rFonts w:hint="default" w:ascii="Times New Roman" w:hAnsi="Times New Roman" w:eastAsia="宋体" w:cs="Times New Roman"/>
                <w:color w:val="auto"/>
                <w:sz w:val="24"/>
              </w:rPr>
              <w:t>环卫部门定期清理。</w:t>
            </w:r>
          </w:p>
          <w:p>
            <w:pPr>
              <w:wordWrap/>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化验室废液</w:t>
            </w:r>
          </w:p>
          <w:p>
            <w:pPr>
              <w:wordWrap/>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化验室废液（HW49,900-047-49）产生量为0.5</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t/a，属于《国家危险废物名录》（2021版）“HW49其他废物”，暂存于危废暂存间内，定期委托有资质单位处理。</w:t>
            </w:r>
          </w:p>
          <w:p>
            <w:pPr>
              <w:wordWrap/>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cs="Times New Roman"/>
                <w:color w:val="auto"/>
                <w:sz w:val="24"/>
                <w:lang w:val="en-US" w:eastAsia="zh-CN"/>
              </w:rPr>
              <w:t>3</w:t>
            </w:r>
            <w:r>
              <w:rPr>
                <w:rFonts w:hint="default" w:ascii="Times New Roman" w:hAnsi="Times New Roman" w:eastAsia="宋体" w:cs="Times New Roman"/>
                <w:color w:val="auto"/>
                <w:sz w:val="24"/>
              </w:rPr>
              <w:t>）除尘器收集的粉尘</w:t>
            </w:r>
          </w:p>
          <w:p>
            <w:pPr>
              <w:wordWrap/>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项目</w:t>
            </w:r>
            <w:r>
              <w:rPr>
                <w:rFonts w:hint="eastAsia" w:cs="Times New Roman"/>
                <w:color w:val="auto"/>
                <w:sz w:val="24"/>
                <w:lang w:val="en-US" w:eastAsia="zh-CN"/>
              </w:rPr>
              <w:t>生产</w:t>
            </w:r>
            <w:r>
              <w:rPr>
                <w:rFonts w:hint="default" w:ascii="Times New Roman" w:hAnsi="Times New Roman" w:eastAsia="宋体" w:cs="Times New Roman"/>
                <w:color w:val="auto"/>
                <w:sz w:val="24"/>
              </w:rPr>
              <w:t>工序</w:t>
            </w:r>
            <w:r>
              <w:rPr>
                <w:rFonts w:hint="eastAsia" w:cs="Times New Roman"/>
                <w:color w:val="auto"/>
                <w:sz w:val="24"/>
                <w:lang w:eastAsia="zh-CN"/>
              </w:rPr>
              <w:t>脉冲式布袋除尘器</w:t>
            </w:r>
            <w:r>
              <w:rPr>
                <w:rFonts w:hint="default" w:ascii="Times New Roman" w:hAnsi="Times New Roman" w:eastAsia="宋体" w:cs="Times New Roman"/>
                <w:color w:val="auto"/>
                <w:sz w:val="24"/>
              </w:rPr>
              <w:t>收集的粉尘</w:t>
            </w:r>
            <w:r>
              <w:rPr>
                <w:rFonts w:hint="eastAsia" w:cs="Times New Roman"/>
                <w:color w:val="auto"/>
                <w:sz w:val="24"/>
                <w:lang w:val="en-US" w:eastAsia="zh-CN"/>
              </w:rPr>
              <w:t>总</w:t>
            </w:r>
            <w:r>
              <w:rPr>
                <w:rFonts w:hint="default" w:ascii="Times New Roman" w:hAnsi="Times New Roman" w:eastAsia="宋体" w:cs="Times New Roman"/>
                <w:color w:val="auto"/>
                <w:sz w:val="24"/>
              </w:rPr>
              <w:t>量为</w:t>
            </w:r>
            <w:r>
              <w:rPr>
                <w:rFonts w:hint="eastAsia" w:cs="Times New Roman"/>
                <w:color w:val="auto"/>
                <w:sz w:val="24"/>
                <w:lang w:val="en-US" w:eastAsia="zh-CN"/>
              </w:rPr>
              <w:t>45.615</w:t>
            </w:r>
            <w:r>
              <w:rPr>
                <w:rFonts w:hint="default" w:ascii="Times New Roman" w:hAnsi="Times New Roman" w:eastAsia="宋体" w:cs="Times New Roman"/>
                <w:color w:val="auto"/>
                <w:sz w:val="24"/>
              </w:rPr>
              <w:t>t/a，此部分粉尘收集后回用于生产。</w:t>
            </w:r>
            <w:r>
              <w:rPr>
                <w:rFonts w:hint="eastAsia" w:cs="Times New Roman"/>
                <w:color w:val="auto"/>
                <w:sz w:val="24"/>
                <w:lang w:val="en-US" w:eastAsia="zh-CN"/>
              </w:rPr>
              <w:t>项目两台锅炉脉冲除尘器收集的粉尘总量为0.911t/a，交由市政部门处理。</w:t>
            </w:r>
          </w:p>
          <w:p>
            <w:pPr>
              <w:wordWrap/>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cs="Times New Roman"/>
                <w:color w:val="auto"/>
                <w:sz w:val="24"/>
                <w:lang w:val="en-US" w:eastAsia="zh-CN"/>
              </w:rPr>
              <w:t>4</w:t>
            </w:r>
            <w:r>
              <w:rPr>
                <w:rFonts w:hint="default" w:ascii="Times New Roman" w:hAnsi="Times New Roman" w:eastAsia="宋体" w:cs="Times New Roman"/>
                <w:color w:val="auto"/>
                <w:sz w:val="24"/>
              </w:rPr>
              <w:t>）废包装袋</w:t>
            </w:r>
          </w:p>
          <w:p>
            <w:pPr>
              <w:pStyle w:val="16"/>
              <w:wordWrap/>
              <w:bidi w:val="0"/>
              <w:spacing w:beforeAutospacing="0" w:after="0" w:afterAutospacing="0" w:line="360" w:lineRule="auto"/>
              <w:ind w:left="0" w:leftChars="0" w:right="0" w:rightChars="0" w:firstLine="480" w:firstLineChars="200"/>
              <w:outlineLvl w:val="9"/>
              <w:rPr>
                <w:rFonts w:hint="default" w:ascii="Times New Roman" w:hAnsi="Times New Roman" w:eastAsia="宋体" w:cs="Times New Roman"/>
                <w:color w:val="auto"/>
                <w:spacing w:val="0"/>
                <w:kern w:val="2"/>
                <w:sz w:val="24"/>
              </w:rPr>
            </w:pPr>
            <w:r>
              <w:rPr>
                <w:rFonts w:hint="default" w:ascii="Times New Roman" w:hAnsi="Times New Roman" w:eastAsia="宋体" w:cs="Times New Roman"/>
                <w:color w:val="auto"/>
                <w:spacing w:val="0"/>
                <w:kern w:val="2"/>
                <w:sz w:val="24"/>
              </w:rPr>
              <w:t>项目废包装袋产生量为0.2t/a，集中收集，统一外售综合利用。</w:t>
            </w:r>
          </w:p>
          <w:p>
            <w:pPr>
              <w:wordWrap/>
              <w:bidi w:val="0"/>
              <w:spacing w:beforeAutospacing="0" w:afterAutospacing="0" w:line="360" w:lineRule="auto"/>
              <w:ind w:left="0" w:leftChars="0" w:right="0" w:rightChars="0"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cs="Times New Roman"/>
                <w:color w:val="auto"/>
                <w:sz w:val="24"/>
                <w:lang w:val="en-US" w:eastAsia="zh-CN"/>
              </w:rPr>
              <w:t>5</w:t>
            </w:r>
            <w:r>
              <w:rPr>
                <w:rFonts w:hint="default" w:ascii="Times New Roman" w:hAnsi="Times New Roman" w:eastAsia="宋体" w:cs="Times New Roman"/>
                <w:color w:val="auto"/>
                <w:sz w:val="24"/>
              </w:rPr>
              <w:t>）废离子交换树脂</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软化水制备装置每更新一次需要200kg的新树脂，每3年更新一次树脂，废离子交换树脂的产生量为0.2t/3a。统一收集后，由厂家回收处理。</w:t>
            </w:r>
          </w:p>
          <w:p>
            <w:pPr>
              <w:wordWrap/>
              <w:bidi w:val="0"/>
              <w:spacing w:beforeAutospacing="0" w:afterAutospacing="0" w:line="360" w:lineRule="auto"/>
              <w:ind w:left="0" w:leftChars="0" w:right="0" w:rightChars="0" w:firstLine="480" w:firstLineChars="200"/>
              <w:contextualSpacing/>
              <w:outlineLvl w:val="9"/>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w:t>
            </w:r>
            <w:r>
              <w:rPr>
                <w:rFonts w:hint="eastAsia" w:cs="Times New Roman"/>
                <w:color w:val="auto"/>
                <w:sz w:val="24"/>
                <w:lang w:val="en-US" w:eastAsia="zh-CN"/>
              </w:rPr>
              <w:t>6</w:t>
            </w:r>
            <w:r>
              <w:rPr>
                <w:rFonts w:hint="eastAsia" w:ascii="Times New Roman" w:hAnsi="Times New Roman" w:eastAsia="宋体" w:cs="Times New Roman"/>
                <w:color w:val="auto"/>
                <w:sz w:val="24"/>
                <w:lang w:eastAsia="zh-CN"/>
              </w:rPr>
              <w:t>）过期实验药品及废弃实验药品容器</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过期实验药品及废弃实验药品容器</w:t>
            </w:r>
            <w:r>
              <w:rPr>
                <w:rFonts w:hint="default" w:ascii="Times New Roman" w:hAnsi="Times New Roman" w:eastAsia="宋体" w:cs="Times New Roman"/>
                <w:color w:val="auto"/>
                <w:sz w:val="24"/>
              </w:rPr>
              <w:t>（HW49,900-047-49）产生量为0.</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t/a，属于《国家危险废物名录》（2021版）“HW49其他废物”，暂存于危废暂存间内，定期委托有资质单位处理。</w:t>
            </w:r>
          </w:p>
          <w:p>
            <w:pPr>
              <w:adjustRightInd w:val="0"/>
              <w:snapToGrid w:val="0"/>
              <w:spacing w:line="360" w:lineRule="auto"/>
              <w:ind w:firstLine="480" w:firstLineChars="200"/>
              <w:rPr>
                <w:color w:val="auto"/>
                <w:kern w:val="0"/>
                <w:sz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7</w:t>
            </w:r>
            <w:r>
              <w:rPr>
                <w:rFonts w:hint="eastAsia" w:ascii="Times New Roman" w:hAnsi="Times New Roman" w:eastAsia="宋体" w:cs="Times New Roman"/>
                <w:color w:val="auto"/>
                <w:sz w:val="24"/>
                <w:lang w:eastAsia="zh-CN"/>
              </w:rPr>
              <w:t>）</w:t>
            </w:r>
            <w:r>
              <w:rPr>
                <w:color w:val="auto"/>
                <w:kern w:val="0"/>
                <w:sz w:val="24"/>
              </w:rPr>
              <w:t>锅炉灰渣</w:t>
            </w:r>
          </w:p>
          <w:p>
            <w:pPr>
              <w:adjustRightInd w:val="0"/>
              <w:snapToGrid w:val="0"/>
              <w:spacing w:line="360" w:lineRule="auto"/>
              <w:ind w:firstLine="480" w:firstLineChars="200"/>
              <w:rPr>
                <w:color w:val="auto"/>
                <w:kern w:val="0"/>
                <w:sz w:val="24"/>
              </w:rPr>
            </w:pPr>
            <w:r>
              <w:rPr>
                <w:color w:val="auto"/>
                <w:kern w:val="0"/>
                <w:sz w:val="24"/>
              </w:rPr>
              <w:t>根据《污染源源强核算技术指南锅炉》（HJ991-2018）中的规定，生物质锅炉灰渣产生量以下式进行计算：</w:t>
            </w:r>
          </w:p>
          <w:p>
            <w:pPr>
              <w:ind w:firstLine="482"/>
              <w:jc w:val="center"/>
              <w:rPr>
                <w:b/>
                <w:color w:val="auto"/>
                <w:szCs w:val="28"/>
              </w:rPr>
            </w:pPr>
            <w:r>
              <w:rPr>
                <w:b/>
                <w:color w:val="auto"/>
                <w:szCs w:val="28"/>
              </w:rPr>
              <w:object>
                <v:shape id="_x0000_i1025" o:spt="75" type="#_x0000_t75" style="height:31.1pt;width:123.7pt;" o:ole="t" filled="f" o:preferrelative="t" stroked="f" coordsize="21600,21600">
                  <v:path/>
                  <v:fill on="f" focussize="0,0"/>
                  <v:stroke on="f"/>
                  <v:imagedata r:id="rId16" o:title=""/>
                  <o:lock v:ext="edit" aspectratio="t"/>
                  <w10:wrap type="none"/>
                  <w10:anchorlock/>
                </v:shape>
                <o:OLEObject Type="Embed" ProgID="Equation.3" ShapeID="_x0000_i1025" DrawAspect="Content" ObjectID="_1468075725" r:id="rId15">
                  <o:LockedField>false</o:LockedField>
                </o:OLEObject>
              </w:object>
            </w:r>
          </w:p>
          <w:p>
            <w:pPr>
              <w:spacing w:line="360" w:lineRule="auto"/>
              <w:ind w:firstLine="460" w:firstLineChars="192"/>
              <w:rPr>
                <w:color w:val="auto"/>
                <w:sz w:val="24"/>
              </w:rPr>
            </w:pPr>
            <w:r>
              <w:rPr>
                <w:color w:val="auto"/>
                <w:sz w:val="24"/>
              </w:rPr>
              <w:t>式中：</w:t>
            </w:r>
            <w:r>
              <w:rPr>
                <w:color w:val="auto"/>
                <w:sz w:val="24"/>
              </w:rPr>
              <w:object>
                <v:shape id="_x0000_i1026" o:spt="75" type="#_x0000_t75" style="height:17.25pt;width:17.25pt;" o:ole="t" filled="f" o:preferrelative="t" stroked="f" coordsize="21600,21600">
                  <v:path/>
                  <v:fill on="f" focussize="0,0"/>
                  <v:stroke on="f"/>
                  <v:imagedata r:id="rId18" o:title=""/>
                  <o:lock v:ext="edit" aspectratio="t"/>
                  <w10:wrap type="none"/>
                  <w10:anchorlock/>
                </v:shape>
                <o:OLEObject Type="Embed" ProgID="Equation.3" ShapeID="_x0000_i1026" DrawAspect="Content" ObjectID="_1468075726" r:id="rId17">
                  <o:LockedField>false</o:LockedField>
                </o:OLEObject>
              </w:object>
            </w:r>
            <w:r>
              <w:rPr>
                <w:color w:val="auto"/>
                <w:sz w:val="24"/>
              </w:rPr>
              <w:t>——核算时段内灰渣产生量；t</w:t>
            </w:r>
          </w:p>
          <w:p>
            <w:pPr>
              <w:spacing w:line="360" w:lineRule="auto"/>
              <w:ind w:firstLine="1214" w:firstLineChars="506"/>
              <w:rPr>
                <w:color w:val="auto"/>
                <w:sz w:val="24"/>
              </w:rPr>
            </w:pPr>
            <w:r>
              <w:rPr>
                <w:color w:val="auto"/>
                <w:sz w:val="24"/>
              </w:rPr>
              <w:object>
                <v:shape id="_x0000_i1027" o:spt="75" type="#_x0000_t75" style="height:12.75pt;width:12.75pt;" o:ole="t" filled="f" o:preferrelative="t" stroked="f" coordsize="21600,21600">
                  <v:path/>
                  <v:fill on="f" focussize="0,0"/>
                  <v:stroke on="f"/>
                  <v:imagedata r:id="rId20" o:title=""/>
                  <o:lock v:ext="edit" aspectratio="t"/>
                  <w10:wrap type="none"/>
                  <w10:anchorlock/>
                </v:shape>
                <o:OLEObject Type="Embed" ProgID="Equation.3" ShapeID="_x0000_i1027" DrawAspect="Content" ObjectID="_1468075727" r:id="rId19">
                  <o:LockedField>false</o:LockedField>
                </o:OLEObject>
              </w:object>
            </w:r>
            <w:r>
              <w:rPr>
                <w:color w:val="auto"/>
                <w:sz w:val="24"/>
              </w:rPr>
              <w:t>——核算时段内，锅炉燃料消耗量，t（</w:t>
            </w:r>
            <w:r>
              <w:rPr>
                <w:rFonts w:hint="eastAsia"/>
                <w:color w:val="auto"/>
                <w:sz w:val="24"/>
                <w:lang w:val="en-US" w:eastAsia="zh-CN"/>
              </w:rPr>
              <w:t>1836.3</w:t>
            </w:r>
            <w:r>
              <w:rPr>
                <w:color w:val="auto"/>
                <w:sz w:val="24"/>
              </w:rPr>
              <w:t>t/a）</w:t>
            </w:r>
          </w:p>
          <w:p>
            <w:pPr>
              <w:spacing w:line="360" w:lineRule="auto"/>
              <w:ind w:firstLine="1262" w:firstLineChars="526"/>
              <w:rPr>
                <w:color w:val="auto"/>
                <w:sz w:val="24"/>
              </w:rPr>
            </w:pPr>
            <w:r>
              <w:rPr>
                <w:color w:val="auto"/>
                <w:sz w:val="24"/>
              </w:rPr>
              <w:object>
                <v:shape id="_x0000_i1028" o:spt="75" type="#_x0000_t75" style="height:17.25pt;width:17.25pt;" o:ole="t" filled="f" o:preferrelative="t" stroked="f" coordsize="21600,21600">
                  <v:path/>
                  <v:fill on="f" focussize="0,0"/>
                  <v:stroke on="f"/>
                  <v:imagedata r:id="rId22" o:title=""/>
                  <o:lock v:ext="edit" aspectratio="t"/>
                  <w10:wrap type="none"/>
                  <w10:anchorlock/>
                </v:shape>
                <o:OLEObject Type="Embed" ProgID="Equation.3" ShapeID="_x0000_i1028" DrawAspect="Content" ObjectID="_1468075728" r:id="rId21">
                  <o:LockedField>false</o:LockedField>
                </o:OLEObject>
              </w:object>
            </w:r>
            <w:r>
              <w:rPr>
                <w:color w:val="auto"/>
                <w:sz w:val="24"/>
              </w:rPr>
              <w:t>——收到基灰分的质量分数，%（</w:t>
            </w:r>
            <w:r>
              <w:rPr>
                <w:rFonts w:hint="eastAsia"/>
                <w:color w:val="auto"/>
                <w:sz w:val="24"/>
                <w:lang w:val="en-US" w:eastAsia="zh-CN"/>
              </w:rPr>
              <w:t>1.70</w:t>
            </w:r>
            <w:r>
              <w:rPr>
                <w:color w:val="auto"/>
                <w:sz w:val="24"/>
              </w:rPr>
              <w:t>）</w:t>
            </w:r>
          </w:p>
          <w:p>
            <w:pPr>
              <w:spacing w:line="360" w:lineRule="auto"/>
              <w:ind w:firstLine="1214" w:firstLineChars="506"/>
              <w:rPr>
                <w:color w:val="auto"/>
                <w:sz w:val="24"/>
              </w:rPr>
            </w:pPr>
            <w:r>
              <w:rPr>
                <w:color w:val="auto"/>
                <w:sz w:val="24"/>
              </w:rPr>
              <w:object>
                <v:shape id="_x0000_i1029" o:spt="75" type="#_x0000_t75" style="height:17.25pt;width:13.5pt;" o:ole="t" filled="f" o:preferrelative="t" stroked="f" coordsize="21600,21600">
                  <v:path/>
                  <v:fill on="f" focussize="0,0"/>
                  <v:stroke on="f"/>
                  <v:imagedata r:id="rId24" o:title=""/>
                  <o:lock v:ext="edit" aspectratio="t"/>
                  <w10:wrap type="none"/>
                  <w10:anchorlock/>
                </v:shape>
                <o:OLEObject Type="Embed" ProgID="Equation.3" ShapeID="_x0000_i1029" DrawAspect="Content" ObjectID="_1468075729" r:id="rId23">
                  <o:LockedField>false</o:LockedField>
                </o:OLEObject>
              </w:object>
            </w:r>
            <w:r>
              <w:rPr>
                <w:color w:val="auto"/>
                <w:sz w:val="24"/>
              </w:rPr>
              <w:t>——锅炉机械不完全燃烧热损失，%（取</w:t>
            </w:r>
            <w:r>
              <w:rPr>
                <w:rFonts w:hint="eastAsia"/>
                <w:color w:val="auto"/>
                <w:sz w:val="24"/>
                <w:lang w:val="en-US" w:eastAsia="zh-CN"/>
              </w:rPr>
              <w:t>1</w:t>
            </w:r>
            <w:r>
              <w:rPr>
                <w:color w:val="auto"/>
                <w:sz w:val="24"/>
              </w:rPr>
              <w:t>5）</w:t>
            </w:r>
          </w:p>
          <w:p>
            <w:pPr>
              <w:spacing w:line="360" w:lineRule="auto"/>
              <w:ind w:firstLine="1214" w:firstLineChars="506"/>
              <w:rPr>
                <w:color w:val="auto"/>
                <w:sz w:val="24"/>
              </w:rPr>
            </w:pPr>
            <w:r>
              <w:rPr>
                <w:color w:val="auto"/>
                <w:sz w:val="24"/>
              </w:rPr>
              <w:object>
                <v:shape id="_x0000_i1030" o:spt="75" type="#_x0000_t75" style="height:19.5pt;width:30pt;" o:ole="t" filled="f" o:preferrelative="t" stroked="f" coordsize="21600,21600">
                  <v:path/>
                  <v:fill on="f" focussize="0,0"/>
                  <v:stroke on="f"/>
                  <v:imagedata r:id="rId26" o:title=""/>
                  <o:lock v:ext="edit" aspectratio="t"/>
                  <w10:wrap type="none"/>
                  <w10:anchorlock/>
                </v:shape>
                <o:OLEObject Type="Embed" ProgID="Equation.3" ShapeID="_x0000_i1030" DrawAspect="Content" ObjectID="_1468075730" r:id="rId25">
                  <o:LockedField>false</o:LockedField>
                </o:OLEObject>
              </w:object>
            </w:r>
            <w:r>
              <w:rPr>
                <w:color w:val="auto"/>
                <w:sz w:val="24"/>
              </w:rPr>
              <w:t>——收到基低位发热量，kJ/kg（</w:t>
            </w:r>
            <w:r>
              <w:rPr>
                <w:rFonts w:hint="eastAsia"/>
                <w:color w:val="auto"/>
                <w:sz w:val="24"/>
                <w:lang w:val="en-US" w:eastAsia="zh-CN"/>
              </w:rPr>
              <w:t>16980</w:t>
            </w:r>
            <w:r>
              <w:rPr>
                <w:color w:val="auto"/>
                <w:sz w:val="24"/>
              </w:rPr>
              <w:t>kJ/kg）</w:t>
            </w:r>
          </w:p>
          <w:p>
            <w:pPr>
              <w:pStyle w:val="23"/>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left"/>
              <w:textAlignment w:val="baseline"/>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带入</w:t>
            </w:r>
            <w:r>
              <w:rPr>
                <w:rFonts w:hint="default" w:ascii="Times New Roman" w:hAnsi="Times New Roman" w:eastAsia="宋体" w:cs="Times New Roman"/>
                <w:color w:val="auto"/>
                <w:kern w:val="2"/>
                <w:sz w:val="24"/>
                <w:szCs w:val="24"/>
                <w:lang w:val="en-US" w:eastAsia="zh-CN" w:bidi="ar-SA"/>
              </w:rPr>
              <w:object>
                <v:shape id="_x0000_i1031" o:spt="75" type="#_x0000_t75" style="height:17.25pt;width:17.25pt;" o:ole="t" filled="f" o:preferrelative="t" stroked="f" coordsize="21600,21600">
                  <v:path/>
                  <v:fill on="f" focussize="0,0"/>
                  <v:stroke on="f"/>
                  <v:imagedata r:id="rId18" o:title=""/>
                  <o:lock v:ext="edit" aspectratio="t"/>
                  <w10:wrap type="none"/>
                  <w10:anchorlock/>
                </v:shape>
                <o:OLEObject Type="Embed" ProgID="Equation.3" ShapeID="_x0000_i1031" DrawAspect="Content" ObjectID="_1468075731" r:id="rId27">
                  <o:LockedField>false</o:LockedField>
                </o:OLEObject>
              </w:object>
            </w:r>
            <w:r>
              <w:rPr>
                <w:rFonts w:hint="default" w:ascii="Times New Roman" w:hAnsi="Times New Roman" w:eastAsia="宋体" w:cs="Times New Roman"/>
                <w:color w:val="auto"/>
                <w:kern w:val="2"/>
                <w:sz w:val="24"/>
                <w:szCs w:val="24"/>
                <w:lang w:val="en-US" w:eastAsia="zh-CN" w:bidi="ar-SA"/>
              </w:rPr>
              <w:t>计算公式后最终求得本项目生物质锅炉灰渣产生量为</w:t>
            </w:r>
            <w:r>
              <w:rPr>
                <w:rFonts w:hint="eastAsia" w:ascii="Times New Roman" w:hAnsi="Times New Roman" w:eastAsia="宋体" w:cs="Times New Roman"/>
                <w:color w:val="auto"/>
                <w:kern w:val="2"/>
                <w:sz w:val="24"/>
                <w:szCs w:val="24"/>
                <w:lang w:val="en-US" w:eastAsia="zh-CN" w:bidi="ar-SA"/>
              </w:rPr>
              <w:t>169.3</w:t>
            </w:r>
            <w:r>
              <w:rPr>
                <w:rFonts w:hint="default" w:ascii="Times New Roman" w:hAnsi="Times New Roman" w:eastAsia="宋体" w:cs="Times New Roman"/>
                <w:color w:val="auto"/>
                <w:kern w:val="2"/>
                <w:sz w:val="24"/>
                <w:szCs w:val="24"/>
                <w:lang w:val="en-US" w:eastAsia="zh-CN" w:bidi="ar-SA"/>
              </w:rPr>
              <w:t>t/a。锅炉灰渣产生后应封闭暂存，定期外售综合利用。</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认真落实上述固体废物处置措施的基础上，本项目固体废物可做到100%安全处置，对环境影响较小。危险废物单独收集，用设明显标识的密闭桶盛装，暂存于新建设的危废暂存间中，交由有资质单位处置。危废暂存间按照《危险废物贮存污染控制标准》（GB18597-2001）及其修改单要求建设，暂存间设置围堰及标识，地面和裙脚进行防渗、防漏，采用2mm厚的高密度聚乙烯土工膜及混凝土地面，渗透系数≤10</w:t>
            </w:r>
            <w:r>
              <w:rPr>
                <w:rFonts w:hint="default" w:ascii="Times New Roman" w:hAnsi="Times New Roman" w:eastAsia="宋体" w:cs="Times New Roman"/>
                <w:color w:val="auto"/>
                <w:sz w:val="24"/>
                <w:vertAlign w:val="superscript"/>
              </w:rPr>
              <w:t>-10</w:t>
            </w:r>
            <w:r>
              <w:rPr>
                <w:rFonts w:hint="default" w:ascii="Times New Roman" w:hAnsi="Times New Roman" w:eastAsia="宋体" w:cs="Times New Roman"/>
                <w:color w:val="auto"/>
                <w:sz w:val="24"/>
              </w:rPr>
              <w:t>cm/s，危废暂存间设立有明显的警示标志。</w:t>
            </w:r>
          </w:p>
          <w:p>
            <w:pPr>
              <w:wordWrap/>
              <w:bidi w:val="0"/>
              <w:spacing w:beforeAutospacing="0" w:afterAutospacing="0" w:line="240" w:lineRule="auto"/>
              <w:ind w:left="0" w:leftChars="0" w:right="0" w:rightChars="0"/>
              <w:contextualSpacing/>
              <w:jc w:val="center"/>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w:t>
            </w:r>
            <w:r>
              <w:rPr>
                <w:rFonts w:hint="default" w:ascii="Times New Roman" w:hAnsi="Times New Roman" w:eastAsia="宋体" w:cs="Times New Roman"/>
                <w:b/>
                <w:color w:val="auto"/>
                <w:sz w:val="24"/>
                <w:lang w:val="en-US" w:eastAsia="zh-CN"/>
              </w:rPr>
              <w:t>4-1</w:t>
            </w:r>
            <w:r>
              <w:rPr>
                <w:rFonts w:hint="eastAsia" w:cs="Times New Roman"/>
                <w:b/>
                <w:color w:val="auto"/>
                <w:sz w:val="24"/>
                <w:lang w:val="en-US" w:eastAsia="zh-CN"/>
              </w:rPr>
              <w:t>1</w:t>
            </w:r>
            <w:r>
              <w:rPr>
                <w:rFonts w:hint="default" w:ascii="Times New Roman" w:hAnsi="Times New Roman" w:eastAsia="宋体" w:cs="Times New Roman"/>
                <w:b/>
                <w:color w:val="auto"/>
                <w:sz w:val="24"/>
              </w:rPr>
              <w:t xml:space="preserve">  固体废物产生情况表</w:t>
            </w:r>
          </w:p>
          <w:tbl>
            <w:tblPr>
              <w:tblStyle w:val="1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8"/>
              <w:gridCol w:w="704"/>
              <w:gridCol w:w="805"/>
              <w:gridCol w:w="708"/>
              <w:gridCol w:w="848"/>
              <w:gridCol w:w="861"/>
              <w:gridCol w:w="780"/>
              <w:gridCol w:w="585"/>
              <w:gridCol w:w="765"/>
              <w:gridCol w:w="12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工序/生产线</w:t>
                  </w:r>
                </w:p>
              </w:tc>
              <w:tc>
                <w:tcPr>
                  <w:tcW w:w="445"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装置</w:t>
                  </w:r>
                </w:p>
              </w:tc>
              <w:tc>
                <w:tcPr>
                  <w:tcW w:w="509"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固体废物名称</w:t>
                  </w:r>
                </w:p>
              </w:tc>
              <w:tc>
                <w:tcPr>
                  <w:tcW w:w="448"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固体废物属性</w:t>
                  </w:r>
                </w:p>
              </w:tc>
              <w:tc>
                <w:tcPr>
                  <w:tcW w:w="536"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废物代码</w:t>
                  </w:r>
                </w:p>
              </w:tc>
              <w:tc>
                <w:tcPr>
                  <w:tcW w:w="1039" w:type="pct"/>
                  <w:gridSpan w:val="2"/>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产生情况</w:t>
                  </w:r>
                </w:p>
              </w:tc>
              <w:tc>
                <w:tcPr>
                  <w:tcW w:w="854" w:type="pct"/>
                  <w:gridSpan w:val="2"/>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处置措施</w:t>
                  </w:r>
                </w:p>
              </w:tc>
              <w:tc>
                <w:tcPr>
                  <w:tcW w:w="768"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4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09"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4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6"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45" w:type="pct"/>
                  <w:tcBorders>
                    <w:tl2br w:val="nil"/>
                    <w:tr2bl w:val="nil"/>
                  </w:tcBorders>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核算方法</w:t>
                  </w:r>
                </w:p>
              </w:tc>
              <w:tc>
                <w:tcPr>
                  <w:tcW w:w="493" w:type="pct"/>
                  <w:tcBorders>
                    <w:tl2br w:val="nil"/>
                    <w:tr2bl w:val="nil"/>
                  </w:tcBorders>
                  <w:noWrap w:val="0"/>
                  <w:vAlign w:val="center"/>
                </w:tcPr>
                <w:p>
                  <w:pPr>
                    <w:wordWrap/>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产生量t/a</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工艺</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处置量t/a</w:t>
                  </w:r>
                </w:p>
              </w:tc>
              <w:tc>
                <w:tcPr>
                  <w:tcW w:w="76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生活区</w:t>
                  </w:r>
                </w:p>
              </w:tc>
              <w:tc>
                <w:tcPr>
                  <w:tcW w:w="4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垃圾箱</w:t>
                  </w:r>
                </w:p>
              </w:tc>
              <w:tc>
                <w:tcPr>
                  <w:tcW w:w="509"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生活垃圾</w:t>
                  </w:r>
                </w:p>
              </w:tc>
              <w:tc>
                <w:tcPr>
                  <w:tcW w:w="44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生活垃圾</w:t>
                  </w: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5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系数法</w:t>
                  </w: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1.56</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1.56</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交由市政部门统一处理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生产区</w:t>
                  </w:r>
                </w:p>
              </w:tc>
              <w:tc>
                <w:tcPr>
                  <w:tcW w:w="4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eastAsia="zh-CN"/>
                    </w:rPr>
                  </w:pPr>
                  <w:r>
                    <w:rPr>
                      <w:rFonts w:hint="eastAsia" w:cs="Times New Roman"/>
                      <w:color w:val="auto"/>
                      <w:sz w:val="18"/>
                      <w:szCs w:val="18"/>
                      <w:lang w:val="en-US" w:eastAsia="zh-CN"/>
                    </w:rPr>
                    <w:t>卸料</w:t>
                  </w:r>
                </w:p>
              </w:tc>
              <w:tc>
                <w:tcPr>
                  <w:tcW w:w="509"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围挡</w:t>
                  </w:r>
                  <w:r>
                    <w:rPr>
                      <w:rFonts w:hint="default" w:ascii="Times New Roman" w:hAnsi="Times New Roman" w:eastAsia="宋体" w:cs="Times New Roman"/>
                      <w:color w:val="auto"/>
                      <w:sz w:val="18"/>
                      <w:szCs w:val="18"/>
                    </w:rPr>
                    <w:t>粉尘</w:t>
                  </w:r>
                </w:p>
              </w:tc>
              <w:tc>
                <w:tcPr>
                  <w:tcW w:w="448"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一般工业固体废物</w:t>
                  </w: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900-999-</w:t>
                  </w:r>
                  <w:r>
                    <w:rPr>
                      <w:rFonts w:hint="eastAsia" w:cs="Times New Roman"/>
                      <w:color w:val="auto"/>
                      <w:sz w:val="18"/>
                      <w:szCs w:val="18"/>
                      <w:lang w:val="en-US" w:eastAsia="zh-CN"/>
                    </w:rPr>
                    <w:t>66</w:t>
                  </w:r>
                </w:p>
              </w:tc>
              <w:tc>
                <w:tcPr>
                  <w:tcW w:w="545"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物料衡算法</w:t>
                  </w: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0.759</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0.759</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投料</w:t>
                  </w:r>
                </w:p>
              </w:tc>
              <w:tc>
                <w:tcPr>
                  <w:tcW w:w="509"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除尘器</w:t>
                  </w:r>
                  <w:r>
                    <w:rPr>
                      <w:rFonts w:hint="default" w:ascii="Times New Roman" w:hAnsi="Times New Roman" w:eastAsia="宋体" w:cs="Times New Roman"/>
                      <w:color w:val="auto"/>
                      <w:sz w:val="18"/>
                      <w:szCs w:val="18"/>
                    </w:rPr>
                    <w:t>收集的粉尘</w:t>
                  </w:r>
                </w:p>
              </w:tc>
              <w:tc>
                <w:tcPr>
                  <w:tcW w:w="44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900-999-66</w:t>
                  </w:r>
                </w:p>
              </w:tc>
              <w:tc>
                <w:tcPr>
                  <w:tcW w:w="54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24.36</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24.35</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粉碎、混合、制粒</w:t>
                  </w:r>
                </w:p>
              </w:tc>
              <w:tc>
                <w:tcPr>
                  <w:tcW w:w="509"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除尘器</w:t>
                  </w:r>
                  <w:r>
                    <w:rPr>
                      <w:rFonts w:hint="default" w:ascii="Times New Roman" w:hAnsi="Times New Roman" w:eastAsia="宋体" w:cs="Times New Roman"/>
                      <w:color w:val="auto"/>
                      <w:sz w:val="18"/>
                      <w:szCs w:val="18"/>
                    </w:rPr>
                    <w:t>收集的粉尘</w:t>
                  </w:r>
                </w:p>
              </w:tc>
              <w:tc>
                <w:tcPr>
                  <w:tcW w:w="44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900-999-66</w:t>
                  </w:r>
                </w:p>
              </w:tc>
              <w:tc>
                <w:tcPr>
                  <w:tcW w:w="54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0.426</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0.426</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45"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包装</w:t>
                  </w:r>
                </w:p>
              </w:tc>
              <w:tc>
                <w:tcPr>
                  <w:tcW w:w="509"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除尘器</w:t>
                  </w:r>
                  <w:r>
                    <w:rPr>
                      <w:rFonts w:hint="default" w:ascii="Times New Roman" w:hAnsi="Times New Roman" w:eastAsia="宋体" w:cs="Times New Roman"/>
                      <w:color w:val="auto"/>
                      <w:sz w:val="18"/>
                      <w:szCs w:val="18"/>
                    </w:rPr>
                    <w:t>收集的粉尘</w:t>
                  </w:r>
                </w:p>
              </w:tc>
              <w:tc>
                <w:tcPr>
                  <w:tcW w:w="44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900-999-</w:t>
                  </w:r>
                  <w:r>
                    <w:rPr>
                      <w:rFonts w:hint="eastAsia" w:cs="Times New Roman"/>
                      <w:color w:val="auto"/>
                      <w:sz w:val="18"/>
                      <w:szCs w:val="18"/>
                      <w:lang w:val="en-US" w:eastAsia="zh-CN"/>
                    </w:rPr>
                    <w:t>66</w:t>
                  </w:r>
                </w:p>
              </w:tc>
              <w:tc>
                <w:tcPr>
                  <w:tcW w:w="54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cs="Times New Roman"/>
                      <w:color w:val="auto"/>
                      <w:sz w:val="18"/>
                      <w:szCs w:val="18"/>
                      <w:lang w:val="en-US" w:eastAsia="zh-CN"/>
                    </w:rPr>
                  </w:pPr>
                  <w:r>
                    <w:rPr>
                      <w:rFonts w:hint="eastAsia" w:cs="Times New Roman"/>
                      <w:color w:val="auto"/>
                      <w:sz w:val="18"/>
                      <w:szCs w:val="18"/>
                      <w:lang w:val="en-US" w:eastAsia="zh-CN"/>
                    </w:rPr>
                    <w:t>4.35</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4.35</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4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09"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废包装袋</w:t>
                  </w:r>
                </w:p>
              </w:tc>
              <w:tc>
                <w:tcPr>
                  <w:tcW w:w="44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900-999-99</w:t>
                  </w:r>
                </w:p>
              </w:tc>
              <w:tc>
                <w:tcPr>
                  <w:tcW w:w="545"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0.2</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0.2</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集中收集，统一外售综合利用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restar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锅炉</w:t>
                  </w:r>
                </w:p>
              </w:tc>
              <w:tc>
                <w:tcPr>
                  <w:tcW w:w="4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供暖锅炉</w:t>
                  </w:r>
                </w:p>
              </w:tc>
              <w:tc>
                <w:tcPr>
                  <w:tcW w:w="509"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除尘器</w:t>
                  </w:r>
                  <w:r>
                    <w:rPr>
                      <w:rFonts w:hint="default" w:ascii="Times New Roman" w:hAnsi="Times New Roman" w:eastAsia="宋体" w:cs="Times New Roman"/>
                      <w:color w:val="auto"/>
                      <w:sz w:val="18"/>
                      <w:szCs w:val="18"/>
                    </w:rPr>
                    <w:t>收集的粉尘</w:t>
                  </w:r>
                </w:p>
              </w:tc>
              <w:tc>
                <w:tcPr>
                  <w:tcW w:w="44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900-999-</w:t>
                  </w:r>
                  <w:r>
                    <w:rPr>
                      <w:rFonts w:hint="eastAsia" w:cs="Times New Roman"/>
                      <w:color w:val="auto"/>
                      <w:sz w:val="18"/>
                      <w:szCs w:val="18"/>
                      <w:lang w:val="en-US" w:eastAsia="zh-CN"/>
                    </w:rPr>
                    <w:t>66</w:t>
                  </w:r>
                </w:p>
              </w:tc>
              <w:tc>
                <w:tcPr>
                  <w:tcW w:w="54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0.505</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0.535</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交由市政部门统一处理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生产用热锅炉</w:t>
                  </w:r>
                </w:p>
              </w:tc>
              <w:tc>
                <w:tcPr>
                  <w:tcW w:w="509"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除尘器</w:t>
                  </w:r>
                  <w:r>
                    <w:rPr>
                      <w:rFonts w:hint="default" w:ascii="Times New Roman" w:hAnsi="Times New Roman" w:eastAsia="宋体" w:cs="Times New Roman"/>
                      <w:color w:val="auto"/>
                      <w:sz w:val="18"/>
                      <w:szCs w:val="18"/>
                    </w:rPr>
                    <w:t>收集的粉尘</w:t>
                  </w:r>
                </w:p>
              </w:tc>
              <w:tc>
                <w:tcPr>
                  <w:tcW w:w="44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900-999-</w:t>
                  </w:r>
                  <w:r>
                    <w:rPr>
                      <w:rFonts w:hint="eastAsia" w:cs="Times New Roman"/>
                      <w:color w:val="auto"/>
                      <w:sz w:val="18"/>
                      <w:szCs w:val="18"/>
                      <w:lang w:val="en-US" w:eastAsia="zh-CN"/>
                    </w:rPr>
                    <w:t>66</w:t>
                  </w:r>
                </w:p>
              </w:tc>
              <w:tc>
                <w:tcPr>
                  <w:tcW w:w="545"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0.376</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0.376</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交由市政部门统一处理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955" w:type="pct"/>
                  <w:gridSpan w:val="2"/>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cs="Times New Roman"/>
                      <w:color w:val="auto"/>
                      <w:sz w:val="18"/>
                      <w:szCs w:val="18"/>
                      <w:lang w:val="en-US" w:eastAsia="zh-CN"/>
                    </w:rPr>
                  </w:pPr>
                  <w:r>
                    <w:rPr>
                      <w:rFonts w:hint="eastAsia" w:cs="Times New Roman"/>
                      <w:color w:val="auto"/>
                      <w:sz w:val="18"/>
                      <w:szCs w:val="18"/>
                      <w:lang w:val="en-US" w:eastAsia="zh-CN"/>
                    </w:rPr>
                    <w:t>锅炉灰渣</w:t>
                  </w:r>
                </w:p>
              </w:tc>
              <w:tc>
                <w:tcPr>
                  <w:tcW w:w="44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900-999-66</w:t>
                  </w:r>
                </w:p>
              </w:tc>
              <w:tc>
                <w:tcPr>
                  <w:tcW w:w="5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物料衡算法</w:t>
                  </w: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cs="Times New Roman"/>
                      <w:color w:val="auto"/>
                      <w:sz w:val="18"/>
                      <w:szCs w:val="18"/>
                      <w:lang w:val="en-US" w:eastAsia="zh-CN"/>
                    </w:rPr>
                  </w:pPr>
                  <w:r>
                    <w:rPr>
                      <w:rFonts w:hint="eastAsia" w:cs="Times New Roman"/>
                      <w:color w:val="auto"/>
                      <w:sz w:val="18"/>
                      <w:szCs w:val="18"/>
                      <w:lang w:val="en-US" w:eastAsia="zh-CN"/>
                    </w:rPr>
                    <w:t>169.3</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cs="Times New Roman"/>
                      <w:color w:val="auto"/>
                      <w:sz w:val="18"/>
                      <w:szCs w:val="18"/>
                      <w:lang w:val="en-US" w:eastAsia="zh-CN"/>
                    </w:rPr>
                  </w:pPr>
                  <w:r>
                    <w:rPr>
                      <w:rFonts w:hint="eastAsia" w:cs="Times New Roman"/>
                      <w:color w:val="auto"/>
                      <w:sz w:val="18"/>
                      <w:szCs w:val="18"/>
                      <w:lang w:val="en-US" w:eastAsia="zh-CN"/>
                    </w:rPr>
                    <w:t>169.3</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交由市政部门统一处理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4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软化水装置</w:t>
                  </w:r>
                </w:p>
              </w:tc>
              <w:tc>
                <w:tcPr>
                  <w:tcW w:w="509"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废离子交换树脂</w:t>
                  </w:r>
                </w:p>
              </w:tc>
              <w:tc>
                <w:tcPr>
                  <w:tcW w:w="448" w:type="pct"/>
                  <w:vMerge w:val="continue"/>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p>
              </w:tc>
              <w:tc>
                <w:tcPr>
                  <w:tcW w:w="536"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900-999-99</w:t>
                  </w:r>
                </w:p>
              </w:tc>
              <w:tc>
                <w:tcPr>
                  <w:tcW w:w="545"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类比法</w:t>
                  </w:r>
                </w:p>
              </w:tc>
              <w:tc>
                <w:tcPr>
                  <w:tcW w:w="493"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0.2t/3a</w:t>
                  </w:r>
                </w:p>
              </w:tc>
              <w:tc>
                <w:tcPr>
                  <w:tcW w:w="370"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84"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0.2t/3a</w:t>
                  </w:r>
                </w:p>
              </w:tc>
              <w:tc>
                <w:tcPr>
                  <w:tcW w:w="768" w:type="pct"/>
                  <w:tcBorders>
                    <w:tl2br w:val="nil"/>
                    <w:tr2bl w:val="nil"/>
                  </w:tcBorders>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厂家回收</w:t>
                  </w:r>
                </w:p>
              </w:tc>
            </w:tr>
          </w:tbl>
          <w:p>
            <w:pPr>
              <w:wordWrap/>
              <w:bidi w:val="0"/>
              <w:spacing w:beforeAutospacing="0" w:afterAutospacing="0" w:line="240" w:lineRule="auto"/>
              <w:ind w:left="0" w:leftChars="0" w:right="0" w:rightChars="0" w:firstLine="200"/>
              <w:jc w:val="center"/>
              <w:outlineLvl w:val="9"/>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w:t>
            </w:r>
            <w:r>
              <w:rPr>
                <w:rFonts w:hint="default" w:ascii="Times New Roman" w:hAnsi="Times New Roman" w:eastAsia="宋体" w:cs="Times New Roman"/>
                <w:b/>
                <w:color w:val="auto"/>
                <w:sz w:val="24"/>
                <w:lang w:val="en-US" w:eastAsia="zh-CN"/>
              </w:rPr>
              <w:t>4-1</w:t>
            </w:r>
            <w:r>
              <w:rPr>
                <w:rFonts w:hint="eastAsia" w:cs="Times New Roman"/>
                <w:b/>
                <w:color w:val="auto"/>
                <w:sz w:val="24"/>
                <w:lang w:val="en-US" w:eastAsia="zh-CN"/>
              </w:rPr>
              <w:t>2</w:t>
            </w:r>
            <w:r>
              <w:rPr>
                <w:rFonts w:hint="default" w:ascii="Times New Roman" w:hAnsi="Times New Roman" w:eastAsia="宋体" w:cs="Times New Roman"/>
                <w:b/>
                <w:color w:val="auto"/>
                <w:sz w:val="24"/>
              </w:rPr>
              <w:t xml:space="preserve">  项目危险废物汇总表</w:t>
            </w:r>
          </w:p>
          <w:tbl>
            <w:tblPr>
              <w:tblStyle w:val="18"/>
              <w:tblW w:w="79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735"/>
              <w:gridCol w:w="1065"/>
              <w:gridCol w:w="698"/>
              <w:gridCol w:w="1089"/>
              <w:gridCol w:w="419"/>
              <w:gridCol w:w="644"/>
              <w:gridCol w:w="633"/>
              <w:gridCol w:w="645"/>
              <w:gridCol w:w="622"/>
              <w:gridCol w:w="7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7"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名称</w:t>
                  </w:r>
                </w:p>
              </w:tc>
              <w:tc>
                <w:tcPr>
                  <w:tcW w:w="735"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废物</w:t>
                  </w:r>
                </w:p>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类别</w:t>
                  </w:r>
                </w:p>
              </w:tc>
              <w:tc>
                <w:tcPr>
                  <w:tcW w:w="1065"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危险废物代码</w:t>
                  </w:r>
                </w:p>
              </w:tc>
              <w:tc>
                <w:tcPr>
                  <w:tcW w:w="698"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产生量</w:t>
                  </w:r>
                </w:p>
              </w:tc>
              <w:tc>
                <w:tcPr>
                  <w:tcW w:w="1089"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产生工序及装置</w:t>
                  </w:r>
                </w:p>
              </w:tc>
              <w:tc>
                <w:tcPr>
                  <w:tcW w:w="419"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形态</w:t>
                  </w:r>
                </w:p>
              </w:tc>
              <w:tc>
                <w:tcPr>
                  <w:tcW w:w="644"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主要成分</w:t>
                  </w:r>
                </w:p>
              </w:tc>
              <w:tc>
                <w:tcPr>
                  <w:tcW w:w="633"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有害成分</w:t>
                  </w:r>
                </w:p>
              </w:tc>
              <w:tc>
                <w:tcPr>
                  <w:tcW w:w="645"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产废周期</w:t>
                  </w:r>
                </w:p>
              </w:tc>
              <w:tc>
                <w:tcPr>
                  <w:tcW w:w="622"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危险</w:t>
                  </w:r>
                </w:p>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特性</w:t>
                  </w:r>
                </w:p>
              </w:tc>
              <w:tc>
                <w:tcPr>
                  <w:tcW w:w="792" w:type="dxa"/>
                  <w:noWrap w:val="0"/>
                  <w:vAlign w:val="center"/>
                </w:tcPr>
                <w:p>
                  <w:pPr>
                    <w:wordWrap/>
                    <w:topLinePunct/>
                    <w:bidi w:val="0"/>
                    <w:adjustRightInd w:val="0"/>
                    <w:spacing w:beforeAutospacing="0" w:afterAutospacing="0"/>
                    <w:ind w:left="0" w:leftChars="0" w:right="0" w:rightChars="0"/>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化验室废液</w:t>
                  </w:r>
                </w:p>
              </w:tc>
              <w:tc>
                <w:tcPr>
                  <w:tcW w:w="735"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HW</w:t>
                  </w:r>
                  <w:r>
                    <w:rPr>
                      <w:rFonts w:hint="eastAsia" w:ascii="Times New Roman" w:hAnsi="Times New Roman" w:eastAsia="宋体" w:cs="Times New Roman"/>
                      <w:color w:val="auto"/>
                      <w:sz w:val="18"/>
                      <w:szCs w:val="18"/>
                      <w:lang w:val="en-US" w:eastAsia="zh-CN"/>
                    </w:rPr>
                    <w:t>4</w:t>
                  </w:r>
                  <w:r>
                    <w:rPr>
                      <w:rFonts w:hint="default" w:ascii="Times New Roman" w:hAnsi="Times New Roman" w:eastAsia="宋体" w:cs="Times New Roman"/>
                      <w:color w:val="auto"/>
                      <w:sz w:val="18"/>
                      <w:szCs w:val="18"/>
                    </w:rPr>
                    <w:t>9其他废物</w:t>
                  </w:r>
                </w:p>
              </w:tc>
              <w:tc>
                <w:tcPr>
                  <w:tcW w:w="1065"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900-047-49</w:t>
                  </w:r>
                </w:p>
              </w:tc>
              <w:tc>
                <w:tcPr>
                  <w:tcW w:w="69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0.5</w:t>
                  </w:r>
                  <w:r>
                    <w:rPr>
                      <w:rFonts w:hint="default" w:ascii="Times New Roman" w:hAnsi="Times New Roman" w:eastAsia="宋体" w:cs="Times New Roman"/>
                      <w:color w:val="auto"/>
                      <w:sz w:val="18"/>
                      <w:szCs w:val="18"/>
                      <w:lang w:val="en-US" w:eastAsia="zh-CN"/>
                    </w:rPr>
                    <w:t>1</w:t>
                  </w:r>
                  <w:r>
                    <w:rPr>
                      <w:rFonts w:hint="default" w:ascii="Times New Roman" w:hAnsi="Times New Roman" w:eastAsia="宋体" w:cs="Times New Roman"/>
                      <w:color w:val="auto"/>
                      <w:sz w:val="18"/>
                      <w:szCs w:val="18"/>
                    </w:rPr>
                    <w:t>t/a</w:t>
                  </w:r>
                </w:p>
              </w:tc>
              <w:tc>
                <w:tcPr>
                  <w:tcW w:w="1089"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lang w:eastAsia="zh-CN"/>
                    </w:rPr>
                    <w:t>化验室</w:t>
                  </w:r>
                </w:p>
              </w:tc>
              <w:tc>
                <w:tcPr>
                  <w:tcW w:w="419"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液态</w:t>
                  </w:r>
                </w:p>
              </w:tc>
              <w:tc>
                <w:tcPr>
                  <w:tcW w:w="644"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废酸、废碱</w:t>
                  </w:r>
                </w:p>
              </w:tc>
              <w:tc>
                <w:tcPr>
                  <w:tcW w:w="633"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酸、碱</w:t>
                  </w:r>
                </w:p>
              </w:tc>
              <w:tc>
                <w:tcPr>
                  <w:tcW w:w="645"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1年</w:t>
                  </w:r>
                </w:p>
              </w:tc>
              <w:tc>
                <w:tcPr>
                  <w:tcW w:w="62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毒性</w:t>
                  </w:r>
                </w:p>
              </w:tc>
              <w:tc>
                <w:tcPr>
                  <w:tcW w:w="792" w:type="dxa"/>
                  <w:vMerge w:val="restart"/>
                  <w:noWrap w:val="0"/>
                  <w:vAlign w:val="center"/>
                </w:tcPr>
                <w:p>
                  <w:pPr>
                    <w:wordWrap/>
                    <w:bidi w:val="0"/>
                    <w:spacing w:beforeAutospacing="0" w:afterAutospacing="0" w:line="0" w:lineRule="atLeast"/>
                    <w:ind w:left="0" w:leftChars="0" w:right="0" w:rightChars="0"/>
                    <w:jc w:val="center"/>
                    <w:outlineLvl w:val="9"/>
                    <w:rPr>
                      <w:rFonts w:hint="default" w:ascii="Times New Roman" w:hAnsi="Times New Roman" w:eastAsia="宋体" w:cs="Times New Roman"/>
                      <w:color w:val="auto"/>
                      <w:spacing w:val="-6"/>
                      <w:sz w:val="18"/>
                      <w:szCs w:val="18"/>
                    </w:rPr>
                  </w:pPr>
                  <w:r>
                    <w:rPr>
                      <w:rFonts w:hint="default" w:ascii="Times New Roman" w:hAnsi="Times New Roman" w:eastAsia="宋体" w:cs="Times New Roman"/>
                      <w:color w:val="auto"/>
                      <w:spacing w:val="-6"/>
                      <w:sz w:val="18"/>
                      <w:szCs w:val="18"/>
                    </w:rPr>
                    <w:t>暂存于危废暂存间中，定期交由有资质单位处理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7"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过期实验药品及废弃实验药品容器</w:t>
                  </w:r>
                </w:p>
              </w:tc>
              <w:tc>
                <w:tcPr>
                  <w:tcW w:w="735"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HW</w:t>
                  </w:r>
                  <w:r>
                    <w:rPr>
                      <w:rFonts w:hint="eastAsia" w:ascii="Times New Roman" w:hAnsi="Times New Roman" w:eastAsia="宋体" w:cs="Times New Roman"/>
                      <w:color w:val="auto"/>
                      <w:sz w:val="18"/>
                      <w:szCs w:val="18"/>
                      <w:lang w:val="en-US" w:eastAsia="zh-CN"/>
                    </w:rPr>
                    <w:t>4</w:t>
                  </w:r>
                  <w:r>
                    <w:rPr>
                      <w:rFonts w:hint="default" w:ascii="Times New Roman" w:hAnsi="Times New Roman" w:eastAsia="宋体" w:cs="Times New Roman"/>
                      <w:color w:val="auto"/>
                      <w:sz w:val="18"/>
                      <w:szCs w:val="18"/>
                    </w:rPr>
                    <w:t>9其他废物</w:t>
                  </w:r>
                </w:p>
              </w:tc>
              <w:tc>
                <w:tcPr>
                  <w:tcW w:w="1065"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900-047-49</w:t>
                  </w:r>
                </w:p>
              </w:tc>
              <w:tc>
                <w:tcPr>
                  <w:tcW w:w="698"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0.1</w:t>
                  </w:r>
                  <w:r>
                    <w:rPr>
                      <w:rFonts w:hint="default" w:ascii="Times New Roman" w:hAnsi="Times New Roman" w:eastAsia="宋体" w:cs="Times New Roman"/>
                      <w:color w:val="auto"/>
                      <w:sz w:val="18"/>
                      <w:szCs w:val="18"/>
                    </w:rPr>
                    <w:t>t/a</w:t>
                  </w:r>
                </w:p>
              </w:tc>
              <w:tc>
                <w:tcPr>
                  <w:tcW w:w="1089"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化验室</w:t>
                  </w:r>
                </w:p>
              </w:tc>
              <w:tc>
                <w:tcPr>
                  <w:tcW w:w="419"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w:t>
                  </w:r>
                </w:p>
              </w:tc>
              <w:tc>
                <w:tcPr>
                  <w:tcW w:w="644"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废酸、废碱等</w:t>
                  </w:r>
                </w:p>
              </w:tc>
              <w:tc>
                <w:tcPr>
                  <w:tcW w:w="633"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酸、碱</w:t>
                  </w:r>
                </w:p>
              </w:tc>
              <w:tc>
                <w:tcPr>
                  <w:tcW w:w="645"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1年</w:t>
                  </w:r>
                </w:p>
              </w:tc>
              <w:tc>
                <w:tcPr>
                  <w:tcW w:w="622" w:type="dxa"/>
                  <w:noWrap w:val="0"/>
                  <w:vAlign w:val="center"/>
                </w:tcPr>
                <w:p>
                  <w:pPr>
                    <w:wordWrap/>
                    <w:autoSpaceDE w:val="0"/>
                    <w:autoSpaceDN w:val="0"/>
                    <w:bidi w:val="0"/>
                    <w:spacing w:beforeAutospacing="0" w:afterAutospacing="0"/>
                    <w:ind w:left="0" w:leftChars="0" w:right="0" w:rightChars="0"/>
                    <w:contextualSpacing/>
                    <w:jc w:val="center"/>
                    <w:outlineLvl w:val="9"/>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毒性</w:t>
                  </w:r>
                </w:p>
              </w:tc>
              <w:tc>
                <w:tcPr>
                  <w:tcW w:w="792" w:type="dxa"/>
                  <w:vMerge w:val="continue"/>
                  <w:noWrap w:val="0"/>
                  <w:vAlign w:val="center"/>
                </w:tcPr>
                <w:p>
                  <w:pPr>
                    <w:wordWrap/>
                    <w:bidi w:val="0"/>
                    <w:spacing w:beforeAutospacing="0" w:afterAutospacing="0" w:line="0" w:lineRule="atLeast"/>
                    <w:ind w:left="0" w:leftChars="0" w:right="0" w:rightChars="0"/>
                    <w:jc w:val="center"/>
                    <w:outlineLvl w:val="9"/>
                    <w:rPr>
                      <w:rFonts w:hint="default" w:ascii="Times New Roman" w:hAnsi="Times New Roman" w:eastAsia="宋体" w:cs="Times New Roman"/>
                      <w:color w:val="auto"/>
                      <w:spacing w:val="-6"/>
                      <w:sz w:val="18"/>
                      <w:szCs w:val="18"/>
                    </w:rPr>
                  </w:pPr>
                </w:p>
              </w:tc>
            </w:tr>
          </w:tbl>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项目化验室废液</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废活性炭</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szCs w:val="24"/>
                <w:lang w:eastAsia="zh-CN"/>
              </w:rPr>
              <w:t>过期实验药品及废弃实验药品容器</w:t>
            </w:r>
            <w:r>
              <w:rPr>
                <w:rFonts w:hint="default" w:ascii="Times New Roman" w:hAnsi="Times New Roman" w:eastAsia="宋体" w:cs="Times New Roman"/>
                <w:color w:val="auto"/>
                <w:sz w:val="24"/>
              </w:rPr>
              <w:t>委托利用或者处置方式的环境影响分析：根据《建设项目危险废物环境影响评价指南》（2017.10.1），项目化验室废液（编号HW</w:t>
            </w:r>
            <w:r>
              <w:rPr>
                <w:rFonts w:hint="eastAsia"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9，代码900-047-49）</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szCs w:val="24"/>
                <w:lang w:eastAsia="zh-CN"/>
              </w:rPr>
              <w:t>过期实验药品及废弃实验药品容器（</w:t>
            </w:r>
            <w:r>
              <w:rPr>
                <w:rFonts w:hint="default" w:ascii="Times New Roman" w:hAnsi="Times New Roman" w:eastAsia="宋体" w:cs="Times New Roman"/>
                <w:color w:val="auto"/>
                <w:sz w:val="24"/>
              </w:rPr>
              <w:t>编号HW</w:t>
            </w:r>
            <w:r>
              <w:rPr>
                <w:rFonts w:hint="eastAsia"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9，代码900-047-49</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rPr>
              <w:t>贮存采用封闭且能有效防止渗漏、扩散的容器，采用专用的包装物收集后暂存在危险废物暂存间内，定时收运委托</w:t>
            </w:r>
            <w:r>
              <w:rPr>
                <w:rFonts w:hint="eastAsia" w:cs="Times New Roman"/>
                <w:color w:val="auto"/>
                <w:sz w:val="24"/>
                <w:lang w:val="en-US" w:eastAsia="zh-CN"/>
              </w:rPr>
              <w:t>有资质单位</w:t>
            </w:r>
            <w:r>
              <w:rPr>
                <w:rFonts w:hint="default" w:ascii="Times New Roman" w:hAnsi="Times New Roman" w:eastAsia="宋体" w:cs="Times New Roman"/>
                <w:color w:val="auto"/>
                <w:sz w:val="24"/>
              </w:rPr>
              <w:t>处置。危险废物暂存间按照《危险废物贮存污染控制标准》（GB18597-2001）及修改单（2013年修订）的要求建设，防止在存放过程中发生风险事故。</w:t>
            </w:r>
          </w:p>
          <w:p>
            <w:pPr>
              <w:pStyle w:val="45"/>
              <w:wordWrap/>
              <w:bidi w:val="0"/>
              <w:spacing w:beforeAutospacing="0" w:afterAutospacing="0"/>
              <w:ind w:left="0" w:leftChars="0" w:right="0" w:rightChars="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化验室废液</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szCs w:val="24"/>
                <w:lang w:eastAsia="zh-CN"/>
              </w:rPr>
              <w:t>过期实验药品及废弃实验药品容器</w:t>
            </w:r>
            <w:r>
              <w:rPr>
                <w:rFonts w:hint="default" w:ascii="Times New Roman" w:hAnsi="Times New Roman" w:eastAsia="宋体" w:cs="Times New Roman"/>
                <w:color w:val="auto"/>
                <w:lang w:val="en-US" w:eastAsia="zh-CN"/>
              </w:rPr>
              <w:t>产生后，采用专用的包装物或包装容器收集，收集后由送入危险废物暂存间内暂存，</w:t>
            </w:r>
            <w:r>
              <w:rPr>
                <w:rFonts w:hint="default" w:ascii="Times New Roman" w:hAnsi="Times New Roman" w:eastAsia="宋体" w:cs="Times New Roman"/>
                <w:color w:val="auto"/>
                <w:sz w:val="24"/>
              </w:rPr>
              <w:t>化验室废液</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废活性炭</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szCs w:val="24"/>
                <w:lang w:eastAsia="zh-CN"/>
              </w:rPr>
              <w:t>过期实验药品及废弃实验药品容器</w:t>
            </w:r>
            <w:r>
              <w:rPr>
                <w:rFonts w:hint="default" w:ascii="Times New Roman" w:hAnsi="Times New Roman" w:eastAsia="宋体" w:cs="Times New Roman"/>
                <w:color w:val="auto"/>
                <w:lang w:val="en-US" w:eastAsia="zh-CN"/>
              </w:rPr>
              <w:t>由专人负责收集、转运，项目化验室废液收集、转运均位于危废暂存间内，不会对外环境造成危害。</w:t>
            </w:r>
          </w:p>
          <w:p>
            <w:pPr>
              <w:pStyle w:val="23"/>
              <w:numPr>
                <w:ilvl w:val="0"/>
                <w:numId w:val="0"/>
              </w:numPr>
              <w:wordWrap/>
              <w:bidi w:val="0"/>
              <w:spacing w:line="360" w:lineRule="auto"/>
              <w:jc w:val="both"/>
              <w:outlineLvl w:val="9"/>
              <w:rPr>
                <w:rFonts w:hint="default"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五、</w:t>
            </w:r>
            <w:r>
              <w:rPr>
                <w:rFonts w:hint="default" w:ascii="Times New Roman" w:hAnsi="Times New Roman" w:eastAsia="宋体" w:cs="Times New Roman"/>
                <w:b/>
                <w:bCs/>
                <w:color w:val="auto"/>
                <w:kern w:val="2"/>
                <w:sz w:val="24"/>
                <w:szCs w:val="24"/>
                <w:lang w:val="en-US" w:eastAsia="zh-CN" w:bidi="ar-SA"/>
              </w:rPr>
              <w:t>地下水环境分析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u w:val="none"/>
                <w:lang w:val="en-US" w:eastAsia="zh-CN"/>
              </w:rPr>
            </w:pPr>
            <w:r>
              <w:rPr>
                <w:rFonts w:hint="default" w:ascii="Times New Roman" w:hAnsi="Times New Roman" w:eastAsia="宋体" w:cs="Times New Roman"/>
                <w:b w:val="0"/>
                <w:bCs w:val="0"/>
                <w:color w:val="auto"/>
                <w:sz w:val="24"/>
                <w:szCs w:val="24"/>
                <w:u w:val="none"/>
                <w:lang w:val="en-US" w:eastAsia="zh-CN"/>
              </w:rPr>
              <w:t>根据《环境影响评价技术导则—地下水环境》（HJ 610-2016）6.2.1.1条，根据附录A，本项目属于</w:t>
            </w:r>
            <w:r>
              <w:rPr>
                <w:rFonts w:hint="eastAsia" w:ascii="Times New Roman" w:hAnsi="Times New Roman" w:eastAsia="宋体" w:cs="Times New Roman"/>
                <w:b w:val="0"/>
                <w:bCs w:val="0"/>
                <w:color w:val="auto"/>
                <w:sz w:val="24"/>
                <w:szCs w:val="24"/>
                <w:u w:val="none"/>
                <w:lang w:val="en-US" w:eastAsia="zh-CN"/>
              </w:rPr>
              <w:t>N轻工</w:t>
            </w:r>
            <w:r>
              <w:rPr>
                <w:rFonts w:hint="default" w:ascii="Times New Roman" w:hAnsi="Times New Roman" w:eastAsia="宋体" w:cs="Times New Roman"/>
                <w:b w:val="0"/>
                <w:bCs w:val="0"/>
                <w:color w:val="auto"/>
                <w:sz w:val="24"/>
                <w:szCs w:val="24"/>
                <w:u w:val="none"/>
                <w:lang w:val="en-US" w:eastAsia="zh-CN"/>
              </w:rPr>
              <w:t>，</w:t>
            </w:r>
            <w:r>
              <w:rPr>
                <w:rFonts w:hint="eastAsia" w:ascii="Times New Roman" w:hAnsi="Times New Roman" w:eastAsia="宋体" w:cs="Times New Roman"/>
                <w:b w:val="0"/>
                <w:bCs w:val="0"/>
                <w:color w:val="auto"/>
                <w:sz w:val="24"/>
                <w:szCs w:val="24"/>
                <w:u w:val="none"/>
                <w:lang w:val="en-US" w:eastAsia="zh-CN"/>
              </w:rPr>
              <w:t>94</w:t>
            </w:r>
            <w:r>
              <w:rPr>
                <w:rFonts w:hint="default" w:ascii="Times New Roman" w:hAnsi="Times New Roman" w:eastAsia="宋体" w:cs="Times New Roman"/>
                <w:b w:val="0"/>
                <w:bCs w:val="0"/>
                <w:color w:val="auto"/>
                <w:sz w:val="24"/>
                <w:szCs w:val="24"/>
                <w:u w:val="none"/>
                <w:lang w:val="en-US" w:eastAsia="zh-CN"/>
              </w:rPr>
              <w:t>、</w:t>
            </w:r>
            <w:r>
              <w:rPr>
                <w:rFonts w:hint="eastAsia" w:ascii="Times New Roman" w:hAnsi="Times New Roman" w:eastAsia="宋体" w:cs="Times New Roman"/>
                <w:b w:val="0"/>
                <w:bCs w:val="0"/>
                <w:color w:val="auto"/>
                <w:sz w:val="24"/>
                <w:szCs w:val="24"/>
                <w:u w:val="none"/>
                <w:lang w:val="en-US" w:eastAsia="zh-CN"/>
              </w:rPr>
              <w:t>粮食及饲料加工</w:t>
            </w:r>
            <w:r>
              <w:rPr>
                <w:rFonts w:hint="default" w:ascii="Times New Roman" w:hAnsi="Times New Roman" w:eastAsia="宋体" w:cs="Times New Roman"/>
                <w:b w:val="0"/>
                <w:bCs w:val="0"/>
                <w:color w:val="auto"/>
                <w:sz w:val="24"/>
                <w:szCs w:val="24"/>
                <w:u w:val="none"/>
                <w:lang w:val="en-US" w:eastAsia="zh-CN"/>
              </w:rPr>
              <w:t>，判定地下水环境影响评价类别为IV类，不需要开展地下水环境影响评价。</w:t>
            </w:r>
          </w:p>
          <w:p>
            <w:pPr>
              <w:pStyle w:val="23"/>
              <w:numPr>
                <w:ilvl w:val="0"/>
                <w:numId w:val="0"/>
              </w:numPr>
              <w:wordWrap/>
              <w:bidi w:val="0"/>
              <w:spacing w:line="360" w:lineRule="auto"/>
              <w:jc w:val="both"/>
              <w:outlineLvl w:val="9"/>
              <w:rPr>
                <w:rFonts w:hint="default"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六、</w:t>
            </w:r>
            <w:r>
              <w:rPr>
                <w:rFonts w:hint="default" w:ascii="Times New Roman" w:hAnsi="Times New Roman" w:eastAsia="宋体" w:cs="Times New Roman"/>
                <w:b/>
                <w:bCs/>
                <w:color w:val="auto"/>
                <w:kern w:val="2"/>
                <w:sz w:val="24"/>
                <w:szCs w:val="24"/>
                <w:lang w:val="en-US" w:eastAsia="zh-CN" w:bidi="ar-SA"/>
              </w:rPr>
              <w:t>土壤环境分析</w:t>
            </w:r>
          </w:p>
          <w:p>
            <w:pPr>
              <w:numPr>
                <w:ilvl w:val="0"/>
                <w:numId w:val="0"/>
              </w:numPr>
              <w:wordWrap/>
              <w:bidi w:val="0"/>
              <w:spacing w:beforeAutospacing="0" w:afterAutospacing="0" w:line="360" w:lineRule="auto"/>
              <w:ind w:right="0" w:rightChars="0" w:firstLine="480" w:firstLineChars="200"/>
              <w:contextualSpacing/>
              <w:outlineLvl w:val="9"/>
              <w:rPr>
                <w:rFonts w:hint="eastAsia" w:cs="Times New Roman"/>
                <w:b/>
                <w:bCs/>
                <w:color w:val="auto"/>
                <w:sz w:val="32"/>
                <w:szCs w:val="32"/>
                <w:lang w:val="en-US" w:eastAsia="zh-CN"/>
              </w:rPr>
            </w:pPr>
            <w:r>
              <w:rPr>
                <w:rFonts w:hint="default" w:ascii="Times New Roman" w:hAnsi="Times New Roman" w:eastAsia="宋体" w:cs="Times New Roman"/>
                <w:color w:val="auto"/>
                <w:sz w:val="24"/>
                <w:szCs w:val="24"/>
                <w:u w:val="none"/>
                <w:lang w:val="en-US" w:eastAsia="zh-CN"/>
              </w:rPr>
              <w:t>根据《环境影响评价技术导则—土壤环境》（HJ 964-2018）5.2.1条，根据附录A，本项目属于“</w:t>
            </w:r>
            <w:r>
              <w:rPr>
                <w:rFonts w:hint="eastAsia" w:ascii="Times New Roman" w:hAnsi="Times New Roman" w:eastAsia="宋体" w:cs="Times New Roman"/>
                <w:color w:val="auto"/>
                <w:sz w:val="24"/>
                <w:szCs w:val="24"/>
                <w:u w:val="none"/>
                <w:lang w:val="en-US" w:eastAsia="zh-CN"/>
              </w:rPr>
              <w:t>其他行业</w:t>
            </w:r>
            <w:r>
              <w:rPr>
                <w:rFonts w:hint="default" w:ascii="Times New Roman" w:hAnsi="Times New Roman" w:eastAsia="宋体" w:cs="Times New Roman"/>
                <w:color w:val="auto"/>
                <w:sz w:val="24"/>
                <w:szCs w:val="24"/>
                <w:u w:val="none"/>
                <w:lang w:val="en-US" w:eastAsia="zh-CN"/>
              </w:rPr>
              <w:t>”中的</w:t>
            </w:r>
            <w:r>
              <w:rPr>
                <w:rFonts w:hint="eastAsia" w:ascii="Times New Roman" w:hAnsi="Times New Roman" w:eastAsia="宋体" w:cs="Times New Roman"/>
                <w:color w:val="auto"/>
                <w:sz w:val="24"/>
                <w:szCs w:val="24"/>
                <w:u w:val="none"/>
                <w:lang w:val="en-US" w:eastAsia="zh-CN"/>
              </w:rPr>
              <w:t>全部</w:t>
            </w:r>
            <w:r>
              <w:rPr>
                <w:rFonts w:hint="default" w:ascii="Times New Roman" w:hAnsi="Times New Roman" w:eastAsia="宋体" w:cs="Times New Roman"/>
                <w:color w:val="auto"/>
                <w:sz w:val="24"/>
                <w:szCs w:val="24"/>
                <w:u w:val="none"/>
                <w:lang w:val="en-US" w:eastAsia="zh-CN"/>
              </w:rPr>
              <w:t>，判定土壤环境影响评价类别为IV类，不需要开展土壤环境影响评价。</w:t>
            </w:r>
          </w:p>
          <w:p>
            <w:pPr>
              <w:numPr>
                <w:ilvl w:val="0"/>
                <w:numId w:val="0"/>
              </w:numPr>
              <w:wordWrap/>
              <w:bidi w:val="0"/>
              <w:spacing w:beforeAutospacing="0" w:afterAutospacing="0" w:line="360" w:lineRule="auto"/>
              <w:ind w:right="0" w:rightChars="0"/>
              <w:contextualSpacing/>
              <w:outlineLvl w:val="9"/>
              <w:rPr>
                <w:rFonts w:hint="default" w:ascii="Times New Roman" w:hAnsi="Times New Roman" w:eastAsia="宋体" w:cs="Times New Roman"/>
                <w:b/>
                <w:bCs/>
                <w:color w:val="auto"/>
                <w:sz w:val="24"/>
              </w:rPr>
            </w:pPr>
            <w:r>
              <w:rPr>
                <w:rFonts w:hint="eastAsia" w:cs="Times New Roman"/>
                <w:b/>
                <w:bCs/>
                <w:color w:val="auto"/>
                <w:sz w:val="24"/>
                <w:lang w:val="en-US" w:eastAsia="zh-CN"/>
              </w:rPr>
              <w:t>七、</w:t>
            </w:r>
            <w:r>
              <w:rPr>
                <w:rFonts w:hint="default" w:ascii="Times New Roman" w:hAnsi="Times New Roman" w:eastAsia="宋体" w:cs="Times New Roman"/>
                <w:b/>
                <w:bCs/>
                <w:color w:val="auto"/>
                <w:sz w:val="24"/>
              </w:rPr>
              <w:t>环境风险影响</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（1）危险物质</w:t>
            </w:r>
          </w:p>
          <w:p>
            <w:pPr>
              <w:pStyle w:val="6"/>
              <w:wordWrap/>
              <w:bidi w:val="0"/>
              <w:spacing w:beforeAutospacing="0" w:after="0" w:afterAutospacing="0" w:line="360" w:lineRule="auto"/>
              <w:ind w:left="0" w:leftChars="0" w:right="0" w:rightChars="0" w:firstLine="480" w:firstLineChars="200"/>
              <w:outlineLvl w:val="9"/>
              <w:rPr>
                <w:rFonts w:hint="default" w:ascii="Times New Roman" w:hAnsi="Times New Roman" w:eastAsia="宋体" w:cs="Times New Roman"/>
                <w:color w:val="auto"/>
                <w:kern w:val="2"/>
                <w:szCs w:val="24"/>
                <w:lang w:val="en-US" w:eastAsia="zh-CN"/>
              </w:rPr>
            </w:pPr>
            <w:r>
              <w:rPr>
                <w:rFonts w:hint="default" w:ascii="Times New Roman" w:hAnsi="Times New Roman" w:eastAsia="宋体" w:cs="Times New Roman"/>
                <w:color w:val="auto"/>
                <w:kern w:val="2"/>
                <w:szCs w:val="24"/>
                <w:lang w:val="en-US" w:eastAsia="zh-CN"/>
              </w:rPr>
              <w:t>根据《建设项目环境风险评价技术导则》（HJ169-2018）附录B，查阅结果如下：</w:t>
            </w:r>
          </w:p>
          <w:p>
            <w:pPr>
              <w:pStyle w:val="6"/>
              <w:wordWrap/>
              <w:bidi w:val="0"/>
              <w:spacing w:beforeAutospacing="0" w:after="0" w:afterAutospacing="0"/>
              <w:ind w:left="0" w:leftChars="0" w:right="0" w:rightChars="0" w:firstLine="499"/>
              <w:jc w:val="center"/>
              <w:outlineLvl w:val="9"/>
              <w:rPr>
                <w:rFonts w:hint="default" w:ascii="Times New Roman" w:hAnsi="Times New Roman" w:eastAsia="宋体" w:cs="Times New Roman"/>
                <w:b/>
                <w:bCs/>
                <w:color w:val="auto"/>
                <w:kern w:val="2"/>
                <w:lang w:val="en-US" w:eastAsia="zh-CN"/>
              </w:rPr>
            </w:pPr>
            <w:r>
              <w:rPr>
                <w:rFonts w:hint="default" w:ascii="Times New Roman" w:hAnsi="Times New Roman" w:eastAsia="宋体" w:cs="Times New Roman"/>
                <w:b/>
                <w:bCs/>
                <w:color w:val="auto"/>
                <w:kern w:val="2"/>
                <w:lang w:val="en-US" w:eastAsia="zh-CN"/>
              </w:rPr>
              <w:t>表4-1</w:t>
            </w:r>
            <w:r>
              <w:rPr>
                <w:rFonts w:hint="eastAsia" w:cs="Times New Roman"/>
                <w:b/>
                <w:bCs/>
                <w:color w:val="auto"/>
                <w:kern w:val="2"/>
                <w:lang w:val="en-US" w:eastAsia="zh-CN"/>
              </w:rPr>
              <w:t>3</w:t>
            </w:r>
            <w:r>
              <w:rPr>
                <w:rFonts w:hint="default" w:ascii="Times New Roman" w:hAnsi="Times New Roman" w:eastAsia="宋体" w:cs="Times New Roman"/>
                <w:b/>
                <w:bCs/>
                <w:color w:val="auto"/>
                <w:kern w:val="2"/>
                <w:lang w:val="en-US" w:eastAsia="zh-CN"/>
              </w:rPr>
              <w:t xml:space="preserve">  建设项目Q值确定表</w:t>
            </w:r>
          </w:p>
          <w:tbl>
            <w:tblPr>
              <w:tblStyle w:val="18"/>
              <w:tblW w:w="78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580"/>
              <w:gridCol w:w="1390"/>
              <w:gridCol w:w="1596"/>
              <w:gridCol w:w="1167"/>
              <w:gridCol w:w="14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652"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序号</w:t>
                  </w:r>
                </w:p>
              </w:tc>
              <w:tc>
                <w:tcPr>
                  <w:tcW w:w="1580"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物质名称</w:t>
                  </w:r>
                </w:p>
              </w:tc>
              <w:tc>
                <w:tcPr>
                  <w:tcW w:w="1390"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CAS号</w:t>
                  </w:r>
                </w:p>
              </w:tc>
              <w:tc>
                <w:tcPr>
                  <w:tcW w:w="1596"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最大贮存量（t）</w:t>
                  </w:r>
                </w:p>
              </w:tc>
              <w:tc>
                <w:tcPr>
                  <w:tcW w:w="1167"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临界量（t）</w:t>
                  </w:r>
                </w:p>
              </w:tc>
              <w:tc>
                <w:tcPr>
                  <w:tcW w:w="1432"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817" w:type="dxa"/>
                  <w:gridSpan w:val="6"/>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化学试剂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652" w:type="dxa"/>
                  <w:noWrap w:val="0"/>
                  <w:vAlign w:val="center"/>
                </w:tcPr>
                <w:p>
                  <w:pPr>
                    <w:wordWrap/>
                    <w:bidi w:val="0"/>
                    <w:spacing w:beforeAutospacing="0" w:afterAutospacing="0"/>
                    <w:ind w:left="0" w:leftChars="0" w:right="0" w:rightChars="0"/>
                    <w:jc w:val="center"/>
                    <w:outlineLvl w:val="9"/>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1</w:t>
                  </w:r>
                </w:p>
              </w:tc>
              <w:tc>
                <w:tcPr>
                  <w:tcW w:w="1580"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硫酸</w:t>
                  </w:r>
                </w:p>
              </w:tc>
              <w:tc>
                <w:tcPr>
                  <w:tcW w:w="1390"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7664-93-9</w:t>
                  </w:r>
                </w:p>
              </w:tc>
              <w:tc>
                <w:tcPr>
                  <w:tcW w:w="1596"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0.0264</w:t>
                  </w:r>
                </w:p>
              </w:tc>
              <w:tc>
                <w:tcPr>
                  <w:tcW w:w="1167"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10</w:t>
                  </w:r>
                </w:p>
              </w:tc>
              <w:tc>
                <w:tcPr>
                  <w:tcW w:w="1432" w:type="dxa"/>
                  <w:noWrap w:val="0"/>
                  <w:vAlign w:val="center"/>
                </w:tcPr>
                <w:p>
                  <w:pPr>
                    <w:wordWrap/>
                    <w:bidi w:val="0"/>
                    <w:spacing w:beforeAutospacing="0" w:afterAutospacing="0"/>
                    <w:ind w:left="0" w:leftChars="0" w:right="0" w:rightChars="0"/>
                    <w:jc w:val="center"/>
                    <w:outlineLvl w:val="9"/>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0.00264</w:t>
                  </w:r>
                </w:p>
              </w:tc>
            </w:tr>
          </w:tbl>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（2）风险识别</w:t>
            </w:r>
          </w:p>
          <w:p>
            <w:pPr>
              <w:wordWrap/>
              <w:bidi w:val="0"/>
              <w:spacing w:beforeAutospacing="0" w:afterAutospacing="0" w:line="360" w:lineRule="auto"/>
              <w:ind w:left="0" w:leftChars="0" w:right="0" w:rightChars="0" w:firstLine="442"/>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本项目风险物质主要为</w:t>
            </w:r>
            <w:r>
              <w:rPr>
                <w:rFonts w:hint="default" w:ascii="Times New Roman" w:hAnsi="Times New Roman" w:eastAsia="宋体" w:cs="Times New Roman"/>
                <w:color w:val="auto"/>
                <w:sz w:val="24"/>
                <w:lang w:eastAsia="zh-CN"/>
              </w:rPr>
              <w:t>实验室内</w:t>
            </w:r>
            <w:r>
              <w:rPr>
                <w:rFonts w:hint="default" w:ascii="Times New Roman" w:hAnsi="Times New Roman" w:eastAsia="宋体" w:cs="Times New Roman"/>
                <w:color w:val="auto"/>
                <w:sz w:val="24"/>
              </w:rPr>
              <w:t>部分化学试剂、化验室废液，化学试剂及化验室废液存在泄漏风险，会对</w:t>
            </w:r>
            <w:r>
              <w:rPr>
                <w:rFonts w:hint="default" w:ascii="Times New Roman" w:hAnsi="Times New Roman" w:eastAsia="宋体" w:cs="Times New Roman"/>
                <w:color w:val="auto"/>
                <w:kern w:val="0"/>
                <w:sz w:val="24"/>
              </w:rPr>
              <w:t>地下水及土壤产生污染。</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cs="Times New Roman"/>
                <w:color w:val="auto"/>
                <w:sz w:val="24"/>
                <w:lang w:val="en-US" w:eastAsia="zh-CN"/>
              </w:rPr>
              <w:t>3</w:t>
            </w:r>
            <w:r>
              <w:rPr>
                <w:rFonts w:hint="default" w:ascii="Times New Roman" w:hAnsi="Times New Roman" w:eastAsia="宋体" w:cs="Times New Roman"/>
                <w:color w:val="auto"/>
                <w:sz w:val="24"/>
              </w:rPr>
              <w:t>）环境风险分析</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由于化学品硫酸具有有毒性及腐蚀性，一旦泄漏到环境，将对土壤及地下水产生影响。</w:t>
            </w:r>
            <w:r>
              <w:rPr>
                <w:rFonts w:hint="eastAsia" w:cs="Times New Roman"/>
                <w:color w:val="auto"/>
                <w:sz w:val="24"/>
                <w:lang w:val="en-US" w:eastAsia="zh-CN"/>
              </w:rPr>
              <w:t>本项目锅炉采用生物质为燃料，项目产品为易燃物质，所以存在火灾风险。</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cs="Times New Roman"/>
                <w:color w:val="auto"/>
                <w:sz w:val="24"/>
                <w:lang w:val="en-US" w:eastAsia="zh-CN"/>
              </w:rPr>
              <w:t>4</w:t>
            </w:r>
            <w:r>
              <w:rPr>
                <w:rFonts w:hint="default" w:ascii="Times New Roman" w:hAnsi="Times New Roman" w:eastAsia="宋体" w:cs="Times New Roman"/>
                <w:color w:val="auto"/>
                <w:sz w:val="24"/>
              </w:rPr>
              <w:t>）风险防范措施及应急要求</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①化验室风险防范措施</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实验过程用的化学品采用专用容器承装至于化学品储存柜里，按《危险化学品安全管理条例》的要求，加强危险化学品管理；制定危险化学品安全操作规程，操作人员严格按操作规程作业；对从事危险化学作业人员定期进行安全培训教育；经常性对危险化学品作业场所进行安全检查。设立专门的储存柜，使其符合储存危险化学品的相关条件（如防晒、防潮、通风、防雷、防静电等），实施危险化学品的储存和使用；建立健全安全规程及值勤制度，设置通讯。报警装置，确保其处于完好状态；对储存危险化学品的容器，应经有关检验部门定期检验合格后，才能使用，并设置明显的标识及警示牌；对使用危险化学品的名称、数量进行严格登记；凡储存、使用危险化学品的岗位，都应配置合格的防毒、消防器材，并确保其处于完好状态；所有进入储存，使用危险化学品的人员，都必须遵守《危险化学品管理制度》。</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化验室废液收集容器及危废暂存间应满足防腐、防渗技术要求，杜绝贮存过程中的跑、冒、滴、漏现象发生。贮存污染控制应符合《危险废物贮存污染控制标准》（GB18597-2001）（2013年修订）中的有关规定；（以下列出主要项目）</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A．装载危险废物的容器必须完好无损。</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B．地面与裙角要用坚固、防渗材料建造，建筑材料必须与危险废物相容。</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C．必须有泄漏液体收集装置。</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hd w:val="clear" w:color="auto" w:fill="FFFFFF"/>
              </w:rPr>
              <w:t>D．</w:t>
            </w:r>
            <w:r>
              <w:rPr>
                <w:rFonts w:hint="default" w:ascii="Times New Roman" w:hAnsi="Times New Roman" w:eastAsia="宋体" w:cs="Times New Roman"/>
                <w:color w:val="auto"/>
                <w:sz w:val="24"/>
              </w:rPr>
              <w:t>用于存放装载液体、半固体危险废物的地方，必须有耐腐蚀的地面，且表面无裂隙。</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hd w:val="clear" w:color="auto" w:fill="FFFFFF"/>
              </w:rPr>
              <w:t>E．</w:t>
            </w:r>
            <w:r>
              <w:rPr>
                <w:rFonts w:hint="default" w:ascii="Times New Roman" w:hAnsi="Times New Roman" w:eastAsia="宋体" w:cs="Times New Roman"/>
                <w:color w:val="auto"/>
                <w:sz w:val="24"/>
              </w:rPr>
              <w:t>必须定期对所贮存的危险废物包装容器及贮存设施进行检查、发现破损，应及时采取措施清理更换。</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hd w:val="clear" w:color="auto" w:fill="FFFFFF"/>
              </w:rPr>
              <w:t>F．</w:t>
            </w:r>
            <w:r>
              <w:rPr>
                <w:rFonts w:hint="default" w:ascii="Times New Roman" w:hAnsi="Times New Roman" w:eastAsia="宋体" w:cs="Times New Roman"/>
                <w:color w:val="auto"/>
                <w:sz w:val="24"/>
              </w:rPr>
              <w:t>危险废物贮存设施必须按照规定设置警示标志。</w:t>
            </w:r>
          </w:p>
          <w:p>
            <w:pPr>
              <w:wordWrap/>
              <w:bidi w:val="0"/>
              <w:spacing w:beforeAutospacing="0" w:afterAutospacing="0" w:line="360" w:lineRule="auto"/>
              <w:ind w:left="0" w:leftChars="0" w:right="0" w:rightChars="0" w:firstLine="480" w:firstLineChars="200"/>
              <w:contextualSpacing/>
              <w:outlineLvl w:val="9"/>
              <w:rPr>
                <w:rFonts w:hint="default" w:ascii="Times New Roman" w:hAnsi="Times New Roman" w:eastAsia="宋体" w:cs="Times New Roman"/>
                <w:color w:val="auto"/>
              </w:rPr>
            </w:pPr>
            <w:r>
              <w:rPr>
                <w:rFonts w:hint="default" w:ascii="Times New Roman" w:hAnsi="Times New Roman" w:eastAsia="宋体" w:cs="Times New Roman"/>
                <w:color w:val="auto"/>
                <w:sz w:val="24"/>
                <w:shd w:val="clear" w:color="auto" w:fill="FFFFFF"/>
              </w:rPr>
              <w:t>G．</w:t>
            </w:r>
            <w:r>
              <w:rPr>
                <w:rFonts w:hint="default" w:ascii="Times New Roman" w:hAnsi="Times New Roman" w:eastAsia="宋体" w:cs="Times New Roman"/>
                <w:color w:val="auto"/>
                <w:sz w:val="24"/>
              </w:rPr>
              <w:t>危险废物贮存设施内清理出来的泄漏物一律按照危险废物处理。</w:t>
            </w:r>
            <w:r>
              <w:rPr>
                <w:rFonts w:hint="default" w:ascii="Times New Roman" w:hAnsi="Times New Roman" w:eastAsia="宋体" w:cs="Times New Roman"/>
                <w:color w:val="auto"/>
                <w:kern w:val="0"/>
                <w:sz w:val="24"/>
              </w:rPr>
              <w:t>化验室废液存储区设置围堰，</w:t>
            </w:r>
            <w:r>
              <w:rPr>
                <w:rFonts w:hint="default" w:ascii="Times New Roman" w:hAnsi="Times New Roman" w:eastAsia="宋体" w:cs="Times New Roman"/>
                <w:bCs/>
                <w:color w:val="auto"/>
                <w:kern w:val="0"/>
                <w:sz w:val="24"/>
              </w:rPr>
              <w:t>基础必须防渗，防渗层为2mm厚高密度聚乙烯防渗，渗透系数≤10</w:t>
            </w:r>
            <w:r>
              <w:rPr>
                <w:rFonts w:hint="default" w:ascii="Times New Roman" w:hAnsi="Times New Roman" w:eastAsia="宋体" w:cs="Times New Roman"/>
                <w:bCs/>
                <w:color w:val="auto"/>
                <w:kern w:val="0"/>
                <w:sz w:val="24"/>
                <w:vertAlign w:val="superscript"/>
              </w:rPr>
              <w:t>-10</w:t>
            </w:r>
            <w:r>
              <w:rPr>
                <w:rFonts w:hint="default" w:ascii="Times New Roman" w:hAnsi="Times New Roman" w:eastAsia="宋体" w:cs="Times New Roman"/>
                <w:bCs/>
                <w:color w:val="auto"/>
                <w:kern w:val="0"/>
                <w:sz w:val="24"/>
              </w:rPr>
              <w:t>cm/s。</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w:t>
            </w:r>
            <w:r>
              <w:rPr>
                <w:rFonts w:hint="eastAsia" w:cs="Times New Roman"/>
                <w:bCs/>
                <w:color w:val="auto"/>
                <w:kern w:val="0"/>
                <w:sz w:val="24"/>
                <w:lang w:val="en-US" w:eastAsia="zh-CN"/>
              </w:rPr>
              <w:t>火灾</w:t>
            </w:r>
            <w:r>
              <w:rPr>
                <w:rFonts w:hint="default" w:ascii="Times New Roman" w:hAnsi="Times New Roman" w:eastAsia="宋体" w:cs="Times New Roman"/>
                <w:bCs/>
                <w:color w:val="auto"/>
                <w:kern w:val="0"/>
                <w:sz w:val="24"/>
              </w:rPr>
              <w:t>防范措施</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1）风险防范措施</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厂区内应有醒目的严禁烟火标志；采取有效措施防止电气线路和电气设施在开关断开、接触不良、短路、漏电时产生火花，防止静电放电火花；采取防雷接地措施，防止雷电放电火花。建立应急救援组织或者配备应急救援人员，配备必要的应急救援器材、设备，对消防措施定期检查，保证消防措施的有效性，并定期组织演练。</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bookmarkStart w:id="56" w:name="_Toc133001081"/>
            <w:bookmarkStart w:id="57" w:name="_Toc133044283"/>
            <w:bookmarkStart w:id="58" w:name="_Toc133000454"/>
            <w:r>
              <w:rPr>
                <w:rFonts w:hint="default" w:ascii="Times New Roman" w:hAnsi="Times New Roman" w:eastAsia="宋体" w:cs="Times New Roman"/>
                <w:color w:val="auto"/>
                <w:sz w:val="24"/>
              </w:rPr>
              <w:t>2）事故应急措施</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①通知消防队，监护泄漏区域，防止引起火灾、爆炸。</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②确定泄漏源的位置，采取相应措施以尽量控制、减少泄漏量。</w:t>
            </w:r>
          </w:p>
          <w:p>
            <w:pPr>
              <w:wordWrap/>
              <w:bidi w:val="0"/>
              <w:spacing w:beforeAutospacing="0" w:afterAutospacing="0" w:line="360" w:lineRule="auto"/>
              <w:ind w:left="0" w:leftChars="0" w:right="0" w:rightChars="0" w:firstLine="56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③组织抢修队进行抢修。</w:t>
            </w:r>
          </w:p>
          <w:p>
            <w:pPr>
              <w:wordWrap/>
              <w:bidi w:val="0"/>
              <w:spacing w:beforeAutospacing="0" w:afterAutospacing="0" w:line="360" w:lineRule="auto"/>
              <w:ind w:right="0" w:rightChars="0"/>
              <w:outlineLvl w:val="9"/>
              <w:rPr>
                <w:rFonts w:hint="default" w:ascii="Times New Roman" w:hAnsi="Times New Roman" w:eastAsia="宋体" w:cs="Times New Roman"/>
                <w:color w:val="auto"/>
                <w:sz w:val="24"/>
                <w:lang w:val="en-US" w:eastAsia="zh-CN"/>
              </w:rPr>
            </w:pPr>
            <w:r>
              <w:rPr>
                <w:rFonts w:hint="eastAsia" w:cs="Times New Roman"/>
                <w:b/>
                <w:bCs/>
                <w:color w:val="auto"/>
                <w:sz w:val="24"/>
                <w:lang w:val="en-US" w:eastAsia="zh-CN"/>
              </w:rPr>
              <w:t>八、环保投资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eastAsia="宋体" w:cs="Times New Roman"/>
                <w:color w:val="auto"/>
                <w:sz w:val="24"/>
                <w:szCs w:val="24"/>
              </w:rPr>
              <w:t>本项目总投资</w:t>
            </w:r>
            <w:r>
              <w:rPr>
                <w:rFonts w:hint="eastAsia" w:cs="Times New Roman"/>
                <w:color w:val="auto"/>
                <w:sz w:val="24"/>
                <w:szCs w:val="24"/>
                <w:lang w:val="en-US" w:eastAsia="zh-CN"/>
              </w:rPr>
              <w:t>800</w:t>
            </w:r>
            <w:r>
              <w:rPr>
                <w:rFonts w:hint="default" w:ascii="Times New Roman" w:hAnsi="Times New Roman" w:eastAsia="宋体" w:cs="Times New Roman"/>
                <w:color w:val="auto"/>
                <w:sz w:val="24"/>
                <w:szCs w:val="24"/>
              </w:rPr>
              <w:t>万元，环保投资</w:t>
            </w:r>
            <w:r>
              <w:rPr>
                <w:rFonts w:hint="eastAsia" w:cs="Times New Roman"/>
                <w:color w:val="auto"/>
                <w:sz w:val="24"/>
                <w:szCs w:val="24"/>
                <w:lang w:val="en-US" w:eastAsia="zh-CN"/>
              </w:rPr>
              <w:t>42.5</w:t>
            </w:r>
            <w:r>
              <w:rPr>
                <w:rFonts w:hint="default" w:ascii="Times New Roman" w:hAnsi="Times New Roman" w:eastAsia="宋体" w:cs="Times New Roman"/>
                <w:color w:val="auto"/>
                <w:sz w:val="24"/>
                <w:szCs w:val="24"/>
              </w:rPr>
              <w:t>万元，环保总投资占项目总投资的</w:t>
            </w:r>
            <w:r>
              <w:rPr>
                <w:rFonts w:hint="eastAsia" w:cs="Times New Roman"/>
                <w:color w:val="auto"/>
                <w:sz w:val="24"/>
                <w:szCs w:val="24"/>
                <w:lang w:val="en-US" w:eastAsia="zh-CN"/>
              </w:rPr>
              <w:t>1.49</w:t>
            </w:r>
            <w:r>
              <w:rPr>
                <w:rFonts w:hint="default" w:ascii="Times New Roman" w:hAnsi="Times New Roman" w:eastAsia="宋体" w:cs="Times New Roman"/>
                <w:color w:val="auto"/>
                <w:sz w:val="24"/>
                <w:szCs w:val="24"/>
              </w:rPr>
              <w:t>%。环保投资详见表</w:t>
            </w:r>
            <w:r>
              <w:rPr>
                <w:rFonts w:hint="default" w:ascii="Times New Roman" w:hAnsi="Times New Roman" w:eastAsia="宋体" w:cs="Times New Roman"/>
                <w:color w:val="auto"/>
                <w:sz w:val="24"/>
                <w:szCs w:val="24"/>
                <w:lang w:val="en-US" w:eastAsia="zh-CN"/>
              </w:rPr>
              <w:t>4-1</w:t>
            </w:r>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kern w:val="2"/>
                <w:sz w:val="24"/>
                <w:szCs w:val="20"/>
                <w:lang w:val="en-US" w:eastAsia="zh-CN" w:bidi="ar-SA"/>
              </w:rPr>
            </w:pPr>
            <w:r>
              <w:rPr>
                <w:rFonts w:hint="default" w:ascii="Times New Roman" w:hAnsi="Times New Roman" w:eastAsia="宋体" w:cs="Times New Roman"/>
                <w:b/>
                <w:bCs/>
                <w:color w:val="auto"/>
                <w:kern w:val="2"/>
                <w:sz w:val="24"/>
                <w:szCs w:val="20"/>
                <w:lang w:val="en-US" w:eastAsia="zh-CN" w:bidi="ar-SA"/>
              </w:rPr>
              <w:t>表4-1</w:t>
            </w:r>
            <w:r>
              <w:rPr>
                <w:rFonts w:hint="eastAsia" w:ascii="Times New Roman" w:hAnsi="Times New Roman" w:eastAsia="宋体" w:cs="Times New Roman"/>
                <w:b/>
                <w:bCs/>
                <w:color w:val="auto"/>
                <w:kern w:val="2"/>
                <w:sz w:val="24"/>
                <w:szCs w:val="20"/>
                <w:lang w:val="en-US" w:eastAsia="zh-CN" w:bidi="ar-SA"/>
              </w:rPr>
              <w:t>4</w:t>
            </w:r>
            <w:r>
              <w:rPr>
                <w:rFonts w:hint="default" w:ascii="Times New Roman" w:hAnsi="Times New Roman" w:eastAsia="宋体" w:cs="Times New Roman"/>
                <w:b/>
                <w:bCs/>
                <w:color w:val="auto"/>
                <w:kern w:val="2"/>
                <w:sz w:val="24"/>
                <w:szCs w:val="20"/>
                <w:lang w:val="en-US" w:eastAsia="zh-CN" w:bidi="ar-SA"/>
              </w:rPr>
              <w:t xml:space="preserve">  环保投资一览表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1"/>
              <w:gridCol w:w="390"/>
              <w:gridCol w:w="1410"/>
              <w:gridCol w:w="4448"/>
              <w:gridCol w:w="10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tcBorders>
                    <w:tl2br w:val="nil"/>
                    <w:tr2bl w:val="nil"/>
                  </w:tcBorders>
                  <w:vAlign w:val="center"/>
                </w:tcPr>
                <w:p>
                  <w:pPr>
                    <w:wordWrap/>
                    <w:bidi w:val="0"/>
                    <w:spacing w:line="240" w:lineRule="auto"/>
                    <w:ind w:firstLine="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序号</w:t>
                  </w:r>
                </w:p>
              </w:tc>
              <w:tc>
                <w:tcPr>
                  <w:tcW w:w="1138" w:type="pct"/>
                  <w:gridSpan w:val="2"/>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种类</w:t>
                  </w:r>
                </w:p>
              </w:tc>
              <w:tc>
                <w:tcPr>
                  <w:tcW w:w="2814" w:type="pct"/>
                  <w:tcBorders>
                    <w:tl2br w:val="nil"/>
                    <w:tr2bl w:val="nil"/>
                  </w:tcBorders>
                  <w:vAlign w:val="center"/>
                </w:tcPr>
                <w:p>
                  <w:pPr>
                    <w:wordWrap/>
                    <w:bidi w:val="0"/>
                    <w:spacing w:line="240" w:lineRule="auto"/>
                    <w:ind w:firstLine="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环保投资内容</w:t>
                  </w:r>
                </w:p>
              </w:tc>
              <w:tc>
                <w:tcPr>
                  <w:tcW w:w="685" w:type="pct"/>
                  <w:tcBorders>
                    <w:tl2br w:val="nil"/>
                    <w:tr2bl w:val="nil"/>
                  </w:tcBorders>
                  <w:vAlign w:val="center"/>
                </w:tcPr>
                <w:p>
                  <w:pPr>
                    <w:wordWrap/>
                    <w:bidi w:val="0"/>
                    <w:spacing w:line="240" w:lineRule="auto"/>
                    <w:ind w:firstLine="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投资费用（万元）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361"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138" w:type="pct"/>
                  <w:gridSpan w:val="2"/>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废水治理</w:t>
                  </w:r>
                </w:p>
              </w:tc>
              <w:tc>
                <w:tcPr>
                  <w:tcW w:w="2814" w:type="pct"/>
                  <w:tcBorders>
                    <w:tl2br w:val="nil"/>
                    <w:tr2bl w:val="nil"/>
                  </w:tcBorders>
                  <w:vAlign w:val="center"/>
                </w:tcPr>
                <w:p>
                  <w:pPr>
                    <w:wordWrap/>
                    <w:bidi w:val="0"/>
                    <w:spacing w:line="240" w:lineRule="auto"/>
                    <w:ind w:firstLine="0" w:firstLineChars="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w:t>
                  </w:r>
                  <w:r>
                    <w:rPr>
                      <w:rFonts w:hint="eastAsia" w:cs="Times New Roman"/>
                      <w:color w:val="auto"/>
                      <w:sz w:val="21"/>
                      <w:szCs w:val="21"/>
                      <w:lang w:val="en-US" w:eastAsia="zh-CN"/>
                    </w:rPr>
                    <w:t>食堂废水</w:t>
                  </w:r>
                  <w:r>
                    <w:rPr>
                      <w:rFonts w:hint="eastAsia" w:ascii="Times New Roman" w:hAnsi="Times New Roman" w:eastAsia="宋体" w:cs="Times New Roman"/>
                      <w:color w:val="auto"/>
                      <w:sz w:val="21"/>
                      <w:szCs w:val="21"/>
                      <w:lang w:val="en-US" w:eastAsia="zh-CN"/>
                    </w:rPr>
                    <w:t>经隔油池处理后与锅炉排污水、经中和池处理后的化验室器皿清洗废水</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生活污水一起排入防渗化粪池，再由</w:t>
                  </w:r>
                  <w:r>
                    <w:rPr>
                      <w:rFonts w:hint="eastAsia" w:cs="Times New Roman"/>
                      <w:color w:val="auto"/>
                      <w:sz w:val="21"/>
                      <w:szCs w:val="21"/>
                      <w:lang w:val="en-US" w:eastAsia="zh-CN"/>
                    </w:rPr>
                    <w:t>市政清掏至双城</w:t>
                  </w:r>
                  <w:r>
                    <w:rPr>
                      <w:rFonts w:hint="eastAsia" w:ascii="Times New Roman" w:hAnsi="Times New Roman" w:eastAsia="宋体" w:cs="Times New Roman"/>
                      <w:color w:val="auto"/>
                      <w:sz w:val="21"/>
                      <w:szCs w:val="21"/>
                      <w:lang w:val="en-US" w:eastAsia="zh-CN"/>
                    </w:rPr>
                    <w:t>污水处理厂</w:t>
                  </w:r>
                </w:p>
              </w:tc>
              <w:tc>
                <w:tcPr>
                  <w:tcW w:w="685" w:type="pct"/>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vMerge w:val="restart"/>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246" w:type="pct"/>
                  <w:vMerge w:val="restar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废气治理</w:t>
                  </w:r>
                </w:p>
              </w:tc>
              <w:tc>
                <w:tcPr>
                  <w:tcW w:w="892"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预混车间卸料、投料、混合</w:t>
                  </w:r>
                  <w:r>
                    <w:rPr>
                      <w:rFonts w:hint="eastAsia" w:ascii="Times New Roman" w:hAnsi="Times New Roman" w:eastAsia="宋体" w:cs="Times New Roman"/>
                      <w:color w:val="auto"/>
                      <w:sz w:val="21"/>
                      <w:szCs w:val="21"/>
                      <w:lang w:val="en-US" w:eastAsia="zh-CN"/>
                    </w:rPr>
                    <w:t>粉尘</w:t>
                  </w:r>
                </w:p>
              </w:tc>
              <w:tc>
                <w:tcPr>
                  <w:tcW w:w="2814"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经1套</w:t>
                  </w:r>
                  <w:r>
                    <w:rPr>
                      <w:rFonts w:hint="eastAsia" w:cs="Times New Roman"/>
                      <w:color w:val="auto"/>
                      <w:sz w:val="21"/>
                      <w:szCs w:val="21"/>
                      <w:lang w:val="en-US" w:eastAsia="zh-CN"/>
                    </w:rPr>
                    <w:t>脉冲式布袋除尘器</w:t>
                  </w:r>
                  <w:r>
                    <w:rPr>
                      <w:rFonts w:hint="eastAsia" w:ascii="Times New Roman" w:hAnsi="Times New Roman" w:eastAsia="宋体" w:cs="Times New Roman"/>
                      <w:color w:val="auto"/>
                      <w:sz w:val="21"/>
                      <w:szCs w:val="21"/>
                      <w:lang w:val="en-US" w:eastAsia="zh-CN"/>
                    </w:rPr>
                    <w:t>处理后无组织排放</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vMerge w:val="continue"/>
                  <w:tcBorders>
                    <w:tl2br w:val="nil"/>
                    <w:tr2bl w:val="nil"/>
                  </w:tcBorders>
                  <w:vAlign w:val="center"/>
                </w:tcPr>
                <w:p>
                  <w:pPr>
                    <w:wordWrap/>
                    <w:bidi w:val="0"/>
                    <w:spacing w:line="240" w:lineRule="auto"/>
                    <w:ind w:firstLine="0" w:firstLineChars="0"/>
                    <w:jc w:val="center"/>
                    <w:outlineLvl w:val="9"/>
                    <w:rPr>
                      <w:rFonts w:hint="eastAsia" w:ascii="Times New Roman" w:hAnsi="Times New Roman" w:eastAsia="宋体" w:cs="Times New Roman"/>
                      <w:color w:val="auto"/>
                      <w:kern w:val="2"/>
                      <w:sz w:val="21"/>
                      <w:szCs w:val="21"/>
                      <w:lang w:val="en-US" w:eastAsia="zh-CN" w:bidi="ar-SA"/>
                    </w:rPr>
                  </w:pPr>
                </w:p>
              </w:tc>
              <w:tc>
                <w:tcPr>
                  <w:tcW w:w="246" w:type="pct"/>
                  <w:vMerge w:val="continue"/>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rPr>
                  </w:pPr>
                </w:p>
              </w:tc>
              <w:tc>
                <w:tcPr>
                  <w:tcW w:w="892"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主</w:t>
                  </w:r>
                  <w:r>
                    <w:rPr>
                      <w:rFonts w:hint="eastAsia" w:ascii="Times New Roman" w:hAnsi="Times New Roman" w:eastAsia="宋体" w:cs="Times New Roman"/>
                      <w:color w:val="auto"/>
                      <w:sz w:val="21"/>
                      <w:szCs w:val="21"/>
                      <w:lang w:val="en-US" w:eastAsia="zh-CN"/>
                    </w:rPr>
                    <w:t>车间</w:t>
                  </w:r>
                  <w:r>
                    <w:rPr>
                      <w:rFonts w:hint="eastAsia" w:cs="Times New Roman"/>
                      <w:color w:val="auto"/>
                      <w:sz w:val="21"/>
                      <w:szCs w:val="21"/>
                      <w:lang w:val="en-US" w:eastAsia="zh-CN"/>
                    </w:rPr>
                    <w:t>投料、粉碎、混合、制粒、包装</w:t>
                  </w:r>
                  <w:r>
                    <w:rPr>
                      <w:rFonts w:hint="eastAsia" w:ascii="Times New Roman" w:hAnsi="Times New Roman" w:eastAsia="宋体" w:cs="Times New Roman"/>
                      <w:color w:val="auto"/>
                      <w:sz w:val="21"/>
                      <w:szCs w:val="21"/>
                      <w:lang w:val="en-US" w:eastAsia="zh-CN"/>
                    </w:rPr>
                    <w:t>粉尘</w:t>
                  </w:r>
                </w:p>
              </w:tc>
              <w:tc>
                <w:tcPr>
                  <w:tcW w:w="2814"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2条生产线产生</w:t>
                  </w:r>
                  <w:r>
                    <w:rPr>
                      <w:rFonts w:hint="eastAsia" w:ascii="Times New Roman" w:hAnsi="Times New Roman" w:eastAsia="宋体" w:cs="Times New Roman"/>
                      <w:color w:val="auto"/>
                      <w:sz w:val="21"/>
                      <w:szCs w:val="21"/>
                      <w:lang w:val="en-US" w:eastAsia="zh-CN"/>
                    </w:rPr>
                    <w:t>粉尘分别经</w:t>
                  </w:r>
                  <w:r>
                    <w:rPr>
                      <w:rFonts w:hint="eastAsia"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套</w:t>
                  </w:r>
                  <w:r>
                    <w:rPr>
                      <w:rFonts w:hint="eastAsia" w:cs="Times New Roman"/>
                      <w:color w:val="auto"/>
                      <w:sz w:val="21"/>
                      <w:szCs w:val="21"/>
                      <w:lang w:val="en-US" w:eastAsia="zh-CN"/>
                    </w:rPr>
                    <w:t>脉冲式布袋除尘器</w:t>
                  </w:r>
                  <w:r>
                    <w:rPr>
                      <w:rFonts w:hint="eastAsia" w:ascii="Times New Roman" w:hAnsi="Times New Roman" w:eastAsia="宋体" w:cs="Times New Roman"/>
                      <w:color w:val="auto"/>
                      <w:sz w:val="21"/>
                      <w:szCs w:val="21"/>
                      <w:lang w:val="en-US" w:eastAsia="zh-CN"/>
                    </w:rPr>
                    <w:t>处理后</w:t>
                  </w:r>
                  <w:r>
                    <w:rPr>
                      <w:rFonts w:hint="eastAsia" w:cs="Times New Roman"/>
                      <w:color w:val="auto"/>
                      <w:sz w:val="21"/>
                      <w:szCs w:val="21"/>
                      <w:lang w:val="en-US" w:eastAsia="zh-CN"/>
                    </w:rPr>
                    <w:t>无组织</w:t>
                  </w:r>
                  <w:r>
                    <w:rPr>
                      <w:rFonts w:hint="eastAsia" w:ascii="Times New Roman" w:hAnsi="Times New Roman" w:eastAsia="宋体" w:cs="Times New Roman"/>
                      <w:color w:val="auto"/>
                      <w:sz w:val="21"/>
                      <w:szCs w:val="21"/>
                      <w:lang w:val="en-US" w:eastAsia="zh-CN"/>
                    </w:rPr>
                    <w:t>排放</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w:t>
                  </w:r>
                  <w:r>
                    <w:rPr>
                      <w:rFonts w:hint="eastAsia" w:ascii="Times New Roman" w:hAnsi="Times New Roman" w:eastAsia="宋体" w:cs="Times New Roman"/>
                      <w:color w:val="auto"/>
                      <w:sz w:val="21"/>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vMerge w:val="continue"/>
                  <w:tcBorders>
                    <w:tl2br w:val="nil"/>
                    <w:tr2bl w:val="nil"/>
                  </w:tcBorders>
                  <w:vAlign w:val="center"/>
                </w:tcPr>
                <w:p>
                  <w:pPr>
                    <w:wordWrap/>
                    <w:bidi w:val="0"/>
                    <w:spacing w:line="240" w:lineRule="auto"/>
                    <w:ind w:firstLine="0" w:firstLineChars="0"/>
                    <w:jc w:val="center"/>
                    <w:outlineLvl w:val="9"/>
                    <w:rPr>
                      <w:rFonts w:hint="eastAsia" w:ascii="Times New Roman" w:hAnsi="Times New Roman" w:eastAsia="宋体" w:cs="Times New Roman"/>
                      <w:color w:val="auto"/>
                      <w:kern w:val="2"/>
                      <w:sz w:val="21"/>
                      <w:szCs w:val="21"/>
                      <w:lang w:val="en-US" w:eastAsia="zh-CN" w:bidi="ar-SA"/>
                    </w:rPr>
                  </w:pPr>
                </w:p>
              </w:tc>
              <w:tc>
                <w:tcPr>
                  <w:tcW w:w="246" w:type="pct"/>
                  <w:vMerge w:val="continue"/>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rPr>
                  </w:pPr>
                </w:p>
              </w:tc>
              <w:tc>
                <w:tcPr>
                  <w:tcW w:w="892"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供暖锅炉废气</w:t>
                  </w:r>
                </w:p>
              </w:tc>
              <w:tc>
                <w:tcPr>
                  <w:tcW w:w="2814"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1套</w:t>
                  </w:r>
                  <w:r>
                    <w:rPr>
                      <w:rFonts w:hint="eastAsia" w:cs="Times New Roman"/>
                      <w:color w:val="auto"/>
                      <w:sz w:val="21"/>
                      <w:szCs w:val="21"/>
                      <w:lang w:val="en-US" w:eastAsia="zh-CN"/>
                    </w:rPr>
                    <w:t>脉冲式布袋除尘器+25m高排气筒（DA002）</w:t>
                  </w:r>
                  <w:r>
                    <w:rPr>
                      <w:rFonts w:hint="eastAsia" w:ascii="Times New Roman" w:hAnsi="Times New Roman" w:eastAsia="宋体" w:cs="Times New Roman"/>
                      <w:color w:val="auto"/>
                      <w:sz w:val="21"/>
                      <w:szCs w:val="21"/>
                      <w:lang w:val="en-US" w:eastAsia="zh-CN"/>
                    </w:rPr>
                    <w:t>排放</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vMerge w:val="continue"/>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p>
              </w:tc>
              <w:tc>
                <w:tcPr>
                  <w:tcW w:w="246" w:type="pct"/>
                  <w:vMerge w:val="continue"/>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rPr>
                  </w:pPr>
                </w:p>
              </w:tc>
              <w:tc>
                <w:tcPr>
                  <w:tcW w:w="892"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生产用</w:t>
                  </w:r>
                  <w:r>
                    <w:rPr>
                      <w:rFonts w:hint="eastAsia" w:ascii="Times New Roman" w:hAnsi="Times New Roman" w:eastAsia="宋体" w:cs="Times New Roman"/>
                      <w:color w:val="auto"/>
                      <w:sz w:val="21"/>
                      <w:szCs w:val="21"/>
                      <w:lang w:val="en-US" w:eastAsia="zh-CN"/>
                    </w:rPr>
                    <w:t>锅炉废气</w:t>
                  </w:r>
                </w:p>
              </w:tc>
              <w:tc>
                <w:tcPr>
                  <w:tcW w:w="2814"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1套</w:t>
                  </w:r>
                  <w:r>
                    <w:rPr>
                      <w:rFonts w:hint="eastAsia" w:cs="Times New Roman"/>
                      <w:color w:val="auto"/>
                      <w:sz w:val="21"/>
                      <w:szCs w:val="21"/>
                      <w:lang w:val="en-US" w:eastAsia="zh-CN"/>
                    </w:rPr>
                    <w:t>脉冲式布袋除尘器+25m高排气筒（DA001）</w:t>
                  </w:r>
                  <w:r>
                    <w:rPr>
                      <w:rFonts w:hint="eastAsia" w:ascii="Times New Roman" w:hAnsi="Times New Roman" w:eastAsia="宋体" w:cs="Times New Roman"/>
                      <w:color w:val="auto"/>
                      <w:sz w:val="21"/>
                      <w:szCs w:val="21"/>
                      <w:lang w:val="en-US" w:eastAsia="zh-CN"/>
                    </w:rPr>
                    <w:t>排放</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vMerge w:val="continue"/>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p>
              </w:tc>
              <w:tc>
                <w:tcPr>
                  <w:tcW w:w="246" w:type="pct"/>
                  <w:vMerge w:val="continue"/>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rPr>
                  </w:pPr>
                </w:p>
              </w:tc>
              <w:tc>
                <w:tcPr>
                  <w:tcW w:w="892" w:type="pct"/>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化验室废气</w:t>
                  </w:r>
                </w:p>
              </w:tc>
              <w:tc>
                <w:tcPr>
                  <w:tcW w:w="2814" w:type="pct"/>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化验室废气通过通风橱上方设集气罩收集</w:t>
                  </w:r>
                  <w:r>
                    <w:rPr>
                      <w:rFonts w:hint="eastAsia" w:cs="Times New Roman"/>
                      <w:color w:val="auto"/>
                      <w:sz w:val="21"/>
                      <w:szCs w:val="21"/>
                      <w:lang w:val="en-US" w:eastAsia="zh-CN"/>
                    </w:rPr>
                    <w:t>后排至室外无组织</w:t>
                  </w:r>
                  <w:r>
                    <w:rPr>
                      <w:rFonts w:hint="default" w:ascii="Times New Roman" w:hAnsi="Times New Roman" w:eastAsia="宋体" w:cs="Times New Roman"/>
                      <w:color w:val="auto"/>
                      <w:sz w:val="21"/>
                      <w:szCs w:val="21"/>
                    </w:rPr>
                    <w:t>排放</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vMerge w:val="continue"/>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p>
              </w:tc>
              <w:tc>
                <w:tcPr>
                  <w:tcW w:w="246" w:type="pct"/>
                  <w:vMerge w:val="continue"/>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rPr>
                  </w:pPr>
                </w:p>
              </w:tc>
              <w:tc>
                <w:tcPr>
                  <w:tcW w:w="892" w:type="pct"/>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食堂油烟</w:t>
                  </w:r>
                </w:p>
              </w:tc>
              <w:tc>
                <w:tcPr>
                  <w:tcW w:w="2814" w:type="pct"/>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油烟净化器+</w:t>
                  </w:r>
                  <w:r>
                    <w:rPr>
                      <w:rFonts w:hint="eastAsia" w:ascii="Times New Roman" w:hAnsi="Times New Roman" w:eastAsia="宋体" w:cs="Times New Roman"/>
                      <w:color w:val="auto"/>
                      <w:kern w:val="2"/>
                      <w:sz w:val="21"/>
                      <w:szCs w:val="21"/>
                      <w:lang w:val="en-US" w:eastAsia="zh-CN" w:bidi="ar-SA"/>
                    </w:rPr>
                    <w:t>高于楼顶</w:t>
                  </w:r>
                  <w:r>
                    <w:rPr>
                      <w:rFonts w:hint="default" w:ascii="Times New Roman" w:hAnsi="Times New Roman" w:eastAsia="宋体" w:cs="Times New Roman"/>
                      <w:color w:val="auto"/>
                      <w:kern w:val="2"/>
                      <w:sz w:val="21"/>
                      <w:szCs w:val="21"/>
                      <w:lang w:val="en-US" w:eastAsia="zh-CN" w:bidi="ar-SA"/>
                    </w:rPr>
                    <w:t>专用烟道</w:t>
                  </w:r>
                  <w:r>
                    <w:rPr>
                      <w:rFonts w:hint="eastAsia" w:ascii="Times New Roman" w:hAnsi="Times New Roman" w:eastAsia="宋体" w:cs="Times New Roman"/>
                      <w:color w:val="auto"/>
                      <w:kern w:val="2"/>
                      <w:sz w:val="21"/>
                      <w:szCs w:val="21"/>
                      <w:lang w:val="en-US" w:eastAsia="zh-CN" w:bidi="ar-SA"/>
                    </w:rPr>
                    <w:t>排放</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r>
                    <w:rPr>
                      <w:rFonts w:hint="eastAsia" w:ascii="Times New Roman" w:hAnsi="Times New Roman" w:eastAsia="宋体" w:cs="Times New Roman"/>
                      <w:color w:val="auto"/>
                      <w:sz w:val="21"/>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1138" w:type="pct"/>
                  <w:gridSpan w:val="2"/>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噪声治理</w:t>
                  </w:r>
                </w:p>
              </w:tc>
              <w:tc>
                <w:tcPr>
                  <w:tcW w:w="2814"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通过采用低噪声设备、车间密闭、设备基础减振、墙体隔声、厂区绿化、加强管理等措施</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vMerge w:val="restart"/>
                  <w:tcBorders>
                    <w:tl2br w:val="nil"/>
                    <w:tr2bl w:val="nil"/>
                  </w:tcBorders>
                  <w:vAlign w:val="center"/>
                </w:tcPr>
                <w:p>
                  <w:pPr>
                    <w:wordWrap/>
                    <w:bidi w:val="0"/>
                    <w:spacing w:line="240" w:lineRule="auto"/>
                    <w:ind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w:t>
                  </w:r>
                </w:p>
              </w:tc>
              <w:tc>
                <w:tcPr>
                  <w:tcW w:w="1138" w:type="pct"/>
                  <w:gridSpan w:val="2"/>
                  <w:vMerge w:val="restart"/>
                  <w:tcBorders>
                    <w:tl2br w:val="nil"/>
                    <w:tr2bl w:val="nil"/>
                  </w:tcBorders>
                  <w:vAlign w:val="center"/>
                </w:tcPr>
                <w:p>
                  <w:pPr>
                    <w:wordWrap/>
                    <w:bidi w:val="0"/>
                    <w:spacing w:line="240" w:lineRule="auto"/>
                    <w:ind w:firstLine="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固废治理</w:t>
                  </w:r>
                </w:p>
              </w:tc>
              <w:tc>
                <w:tcPr>
                  <w:tcW w:w="2814"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一般固废：设置一般固废临时储存间，建筑面积约10m</w:t>
                  </w:r>
                  <w:r>
                    <w:rPr>
                      <w:rFonts w:hint="eastAsia" w:ascii="Times New Roman" w:hAnsi="Times New Roman" w:eastAsia="宋体" w:cs="Times New Roman"/>
                      <w:color w:val="auto"/>
                      <w:sz w:val="21"/>
                      <w:szCs w:val="21"/>
                      <w:vertAlign w:val="superscript"/>
                      <w:lang w:val="en-US" w:eastAsia="zh-CN"/>
                    </w:rPr>
                    <w:t>2</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vMerge w:val="continue"/>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p>
              </w:tc>
              <w:tc>
                <w:tcPr>
                  <w:tcW w:w="1138" w:type="pct"/>
                  <w:gridSpan w:val="2"/>
                  <w:vMerge w:val="continue"/>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rPr>
                  </w:pPr>
                </w:p>
              </w:tc>
              <w:tc>
                <w:tcPr>
                  <w:tcW w:w="2814"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危险废物：设置危废暂存间，位于化验室内，建筑面积约10m</w:t>
                  </w:r>
                  <w:r>
                    <w:rPr>
                      <w:rFonts w:hint="eastAsia"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pacing w:val="0"/>
                    </w:rPr>
                    <w:t>，</w:t>
                  </w:r>
                  <w:r>
                    <w:rPr>
                      <w:rFonts w:hint="default" w:ascii="Times New Roman" w:hAnsi="Times New Roman" w:eastAsia="宋体" w:cs="Times New Roman"/>
                      <w:color w:val="auto"/>
                      <w:spacing w:val="0"/>
                      <w:kern w:val="0"/>
                      <w:szCs w:val="21"/>
                    </w:rPr>
                    <w:t>暂存间设置围堰及标识，地面和裙脚进行防渗、防漏，采用2mm厚的高密度聚乙烯土工膜及混凝土地面，渗透系数≤10</w:t>
                  </w:r>
                  <w:r>
                    <w:rPr>
                      <w:rFonts w:hint="default" w:ascii="Times New Roman" w:hAnsi="Times New Roman" w:eastAsia="宋体" w:cs="Times New Roman"/>
                      <w:color w:val="auto"/>
                      <w:spacing w:val="0"/>
                      <w:kern w:val="0"/>
                      <w:szCs w:val="21"/>
                      <w:vertAlign w:val="superscript"/>
                    </w:rPr>
                    <w:t>-10</w:t>
                  </w:r>
                  <w:r>
                    <w:rPr>
                      <w:rFonts w:hint="default" w:ascii="Times New Roman" w:hAnsi="Times New Roman" w:eastAsia="宋体" w:cs="Times New Roman"/>
                      <w:color w:val="auto"/>
                      <w:spacing w:val="0"/>
                      <w:kern w:val="0"/>
                      <w:szCs w:val="21"/>
                    </w:rPr>
                    <w:t>cm/s</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p>
              </w:tc>
              <w:tc>
                <w:tcPr>
                  <w:tcW w:w="3952" w:type="pct"/>
                  <w:gridSpan w:val="3"/>
                  <w:tcBorders>
                    <w:tl2br w:val="nil"/>
                    <w:tr2bl w:val="nil"/>
                  </w:tcBorders>
                  <w:vAlign w:val="center"/>
                </w:tcPr>
                <w:p>
                  <w:pPr>
                    <w:wordWrap/>
                    <w:bidi w:val="0"/>
                    <w:spacing w:line="240" w:lineRule="auto"/>
                    <w:ind w:firstLine="0"/>
                    <w:jc w:val="center"/>
                    <w:outlineLvl w:val="9"/>
                    <w:rPr>
                      <w:rFonts w:hint="eastAsia" w:ascii="Times New Roman" w:hAnsi="Times New Roman" w:eastAsia="宋体" w:cs="Times New Roman"/>
                      <w:color w:val="auto"/>
                      <w:sz w:val="21"/>
                      <w:szCs w:val="21"/>
                      <w:lang w:val="en-US" w:eastAsia="zh-CN"/>
                    </w:rPr>
                  </w:pPr>
                  <w:r>
                    <w:rPr>
                      <w:rFonts w:ascii="Times New Roman" w:hAnsi="Times New Roman"/>
                      <w:sz w:val="21"/>
                      <w:szCs w:val="21"/>
                    </w:rPr>
                    <w:t>运行、管理、维护、验收、监测费</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1"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3952" w:type="pct"/>
                  <w:gridSpan w:val="3"/>
                  <w:tcBorders>
                    <w:tl2br w:val="nil"/>
                    <w:tr2bl w:val="nil"/>
                  </w:tcBorders>
                  <w:vAlign w:val="center"/>
                </w:tcPr>
                <w:p>
                  <w:pPr>
                    <w:wordWrap/>
                    <w:bidi w:val="0"/>
                    <w:spacing w:line="240" w:lineRule="auto"/>
                    <w:ind w:firstLine="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合计</w:t>
                  </w:r>
                </w:p>
              </w:tc>
              <w:tc>
                <w:tcPr>
                  <w:tcW w:w="685" w:type="pct"/>
                  <w:tcBorders>
                    <w:tl2br w:val="nil"/>
                    <w:tr2bl w:val="nil"/>
                  </w:tcBorders>
                  <w:vAlign w:val="center"/>
                </w:tcPr>
                <w:p>
                  <w:pPr>
                    <w:wordWrap/>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42.5</w:t>
                  </w:r>
                </w:p>
              </w:tc>
            </w:tr>
            <w:bookmarkEnd w:id="56"/>
            <w:bookmarkEnd w:id="57"/>
            <w:bookmarkEnd w:id="58"/>
          </w:tbl>
          <w:p>
            <w:pPr>
              <w:keepNext w:val="0"/>
              <w:keepLines w:val="0"/>
              <w:pageBreakBefore w:val="0"/>
              <w:kinsoku/>
              <w:wordWrap/>
              <w:overflowPunct/>
              <w:topLinePunct w:val="0"/>
              <w:bidi w:val="0"/>
              <w:spacing w:beforeAutospacing="0" w:afterAutospacing="0" w:line="360" w:lineRule="auto"/>
              <w:ind w:right="0" w:rightChars="0"/>
              <w:outlineLvl w:val="9"/>
              <w:rPr>
                <w:rFonts w:hint="default" w:ascii="Times New Roman" w:hAnsi="Times New Roman" w:eastAsia="宋体" w:cs="Times New Roman"/>
                <w:color w:val="auto"/>
              </w:rPr>
            </w:pPr>
          </w:p>
        </w:tc>
      </w:tr>
    </w:tbl>
    <w:p>
      <w:pPr>
        <w:pStyle w:val="14"/>
        <w:bidi w:val="0"/>
        <w:spacing w:before="0" w:beforeAutospacing="0" w:after="0" w:afterAutospacing="0"/>
        <w:ind w:left="0" w:leftChars="0" w:right="0" w:rightChars="0"/>
        <w:jc w:val="both"/>
        <w:outlineLvl w:val="0"/>
        <w:rPr>
          <w:rFonts w:hint="default" w:ascii="Times New Roman" w:hAnsi="Times New Roman" w:eastAsia="宋体" w:cs="Times New Roman"/>
          <w:snapToGrid w:val="0"/>
          <w:color w:val="auto"/>
          <w:sz w:val="30"/>
          <w:szCs w:val="30"/>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bookmarkStart w:id="59" w:name="_Toc19448"/>
    </w:p>
    <w:p>
      <w:pPr>
        <w:pStyle w:val="14"/>
        <w:bidi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z w:val="30"/>
          <w:szCs w:val="30"/>
        </w:rPr>
      </w:pPr>
      <w:bookmarkStart w:id="60" w:name="_Toc15573"/>
      <w:r>
        <w:rPr>
          <w:rFonts w:hint="default" w:ascii="Times New Roman" w:hAnsi="Times New Roman" w:eastAsia="宋体" w:cs="Times New Roman"/>
          <w:snapToGrid w:val="0"/>
          <w:color w:val="auto"/>
          <w:sz w:val="30"/>
          <w:szCs w:val="30"/>
        </w:rPr>
        <w:t>五、</w:t>
      </w:r>
      <w:bookmarkStart w:id="61" w:name="_Hlk54167917"/>
      <w:r>
        <w:rPr>
          <w:rFonts w:hint="default" w:ascii="Times New Roman" w:hAnsi="Times New Roman" w:eastAsia="宋体" w:cs="Times New Roman"/>
          <w:snapToGrid w:val="0"/>
          <w:color w:val="auto"/>
          <w:sz w:val="30"/>
          <w:szCs w:val="30"/>
        </w:rPr>
        <w:t>环境保护措施监督检查清单</w:t>
      </w:r>
      <w:bookmarkEnd w:id="59"/>
      <w:bookmarkEnd w:id="60"/>
      <w:bookmarkEnd w:id="61"/>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48"/>
        <w:gridCol w:w="1762"/>
        <w:gridCol w:w="1755"/>
        <w:gridCol w:w="17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pPr>
              <w:bidi w:val="0"/>
              <w:adjustRightInd w:val="0"/>
              <w:snapToGrid w:val="0"/>
              <w:spacing w:beforeAutospacing="0" w:afterAutospacing="0"/>
              <w:ind w:left="0" w:leftChars="0" w:right="0" w:rightChars="0" w:firstLine="84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内容</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要素</w:t>
            </w:r>
          </w:p>
        </w:tc>
        <w:tc>
          <w:tcPr>
            <w:tcW w:w="174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排放口(编号、名称)/污染源</w:t>
            </w: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污染物项目</w:t>
            </w:r>
          </w:p>
        </w:tc>
        <w:tc>
          <w:tcPr>
            <w:tcW w:w="17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环境保护措施</w:t>
            </w:r>
          </w:p>
        </w:tc>
        <w:tc>
          <w:tcPr>
            <w:tcW w:w="1757"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p>
            <w:pPr>
              <w:pStyle w:val="16"/>
              <w:bidi w:val="0"/>
              <w:spacing w:beforeAutospacing="0" w:after="0" w:afterAutospacing="0"/>
              <w:ind w:left="0" w:leftChars="0" w:right="0" w:rightChars="0" w:firstLine="254"/>
              <w:rPr>
                <w:rFonts w:hint="default" w:ascii="Times New Roman" w:hAnsi="Times New Roman" w:eastAsia="宋体" w:cs="Times New Roman"/>
                <w:color w:val="auto"/>
                <w:sz w:val="21"/>
                <w:szCs w:val="21"/>
              </w:rPr>
            </w:pPr>
          </w:p>
        </w:tc>
        <w:tc>
          <w:tcPr>
            <w:tcW w:w="1748" w:type="dxa"/>
            <w:vMerge w:val="restart"/>
            <w:noWrap w:val="0"/>
            <w:vAlign w:val="center"/>
          </w:tcPr>
          <w:p>
            <w:pPr>
              <w:autoSpaceDE w:val="0"/>
              <w:autoSpaceDN w:val="0"/>
              <w:bidi w:val="0"/>
              <w:spacing w:beforeAutospacing="0" w:afterAutospacing="0" w:line="0" w:lineRule="atLeast"/>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DA001</w:t>
            </w: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1755" w:type="dxa"/>
            <w:vMerge w:val="restart"/>
            <w:noWrap w:val="0"/>
            <w:vAlign w:val="center"/>
          </w:tcPr>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脉冲式布袋除尘器</w:t>
            </w:r>
            <w:r>
              <w:rPr>
                <w:rFonts w:hint="eastAsia" w:cs="Times New Roman"/>
                <w:color w:val="auto"/>
                <w:sz w:val="21"/>
                <w:szCs w:val="21"/>
                <w:lang w:val="en-US" w:eastAsia="zh-CN"/>
              </w:rPr>
              <w:t>+25m高烟囱</w:t>
            </w:r>
          </w:p>
        </w:tc>
        <w:tc>
          <w:tcPr>
            <w:tcW w:w="1757" w:type="dxa"/>
            <w:vMerge w:val="restart"/>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《锅炉大气污染物排放标准》（GB13271-2014）表2新建锅炉大气污染物排放标准要求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pStyle w:val="16"/>
              <w:bidi w:val="0"/>
              <w:spacing w:beforeAutospacing="0" w:after="0" w:afterAutospacing="0"/>
              <w:ind w:left="0" w:leftChars="0" w:right="0" w:rightChars="0" w:firstLine="254"/>
              <w:rPr>
                <w:rFonts w:hint="default" w:ascii="Times New Roman" w:hAnsi="Times New Roman" w:eastAsia="宋体" w:cs="Times New Roman"/>
                <w:color w:val="auto"/>
                <w:sz w:val="21"/>
                <w:szCs w:val="21"/>
              </w:rPr>
            </w:pPr>
          </w:p>
        </w:tc>
        <w:tc>
          <w:tcPr>
            <w:tcW w:w="1748" w:type="dxa"/>
            <w:vMerge w:val="continue"/>
            <w:noWrap w:val="0"/>
            <w:vAlign w:val="center"/>
          </w:tcPr>
          <w:p>
            <w:pPr>
              <w:autoSpaceDE w:val="0"/>
              <w:autoSpaceDN w:val="0"/>
              <w:bidi w:val="0"/>
              <w:spacing w:beforeAutospacing="0" w:afterAutospacing="0" w:line="0" w:lineRule="atLeast"/>
              <w:ind w:left="0" w:leftChars="0" w:right="0" w:rightChars="0"/>
              <w:jc w:val="center"/>
              <w:rPr>
                <w:rFonts w:hint="default" w:ascii="Times New Roman" w:hAnsi="Times New Roman" w:eastAsia="宋体" w:cs="Times New Roman"/>
                <w:color w:val="auto"/>
                <w:sz w:val="21"/>
                <w:szCs w:val="21"/>
              </w:rPr>
            </w:pP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1755"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57"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pStyle w:val="16"/>
              <w:bidi w:val="0"/>
              <w:spacing w:beforeAutospacing="0" w:after="0" w:afterAutospacing="0"/>
              <w:ind w:left="0" w:leftChars="0" w:right="0" w:rightChars="0" w:firstLine="254"/>
              <w:rPr>
                <w:rFonts w:hint="default" w:ascii="Times New Roman" w:hAnsi="Times New Roman" w:eastAsia="宋体" w:cs="Times New Roman"/>
                <w:color w:val="auto"/>
                <w:sz w:val="21"/>
                <w:szCs w:val="21"/>
              </w:rPr>
            </w:pPr>
          </w:p>
        </w:tc>
        <w:tc>
          <w:tcPr>
            <w:tcW w:w="1748" w:type="dxa"/>
            <w:vMerge w:val="continue"/>
            <w:noWrap w:val="0"/>
            <w:vAlign w:val="center"/>
          </w:tcPr>
          <w:p>
            <w:pPr>
              <w:autoSpaceDE w:val="0"/>
              <w:autoSpaceDN w:val="0"/>
              <w:bidi w:val="0"/>
              <w:spacing w:beforeAutospacing="0" w:afterAutospacing="0" w:line="0" w:lineRule="atLeast"/>
              <w:ind w:left="0" w:leftChars="0" w:right="0" w:rightChars="0"/>
              <w:jc w:val="center"/>
              <w:rPr>
                <w:rFonts w:hint="default" w:ascii="Times New Roman" w:hAnsi="Times New Roman" w:eastAsia="宋体" w:cs="Times New Roman"/>
                <w:color w:val="auto"/>
                <w:sz w:val="21"/>
                <w:szCs w:val="21"/>
              </w:rPr>
            </w:pP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X</w:t>
            </w:r>
          </w:p>
        </w:tc>
        <w:tc>
          <w:tcPr>
            <w:tcW w:w="1755"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57"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pStyle w:val="16"/>
              <w:bidi w:val="0"/>
              <w:spacing w:beforeAutospacing="0" w:after="0" w:afterAutospacing="0"/>
              <w:ind w:left="0" w:leftChars="0" w:right="0" w:rightChars="0" w:firstLine="254"/>
              <w:rPr>
                <w:rFonts w:hint="default" w:ascii="Times New Roman" w:hAnsi="Times New Roman" w:eastAsia="宋体" w:cs="Times New Roman"/>
                <w:color w:val="auto"/>
                <w:sz w:val="21"/>
                <w:szCs w:val="21"/>
              </w:rPr>
            </w:pPr>
          </w:p>
        </w:tc>
        <w:tc>
          <w:tcPr>
            <w:tcW w:w="1748" w:type="dxa"/>
            <w:vMerge w:val="continue"/>
            <w:noWrap w:val="0"/>
            <w:vAlign w:val="center"/>
          </w:tcPr>
          <w:p>
            <w:pPr>
              <w:autoSpaceDE w:val="0"/>
              <w:autoSpaceDN w:val="0"/>
              <w:bidi w:val="0"/>
              <w:spacing w:beforeAutospacing="0" w:afterAutospacing="0" w:line="0" w:lineRule="atLeast"/>
              <w:ind w:left="0" w:leftChars="0" w:right="0" w:rightChars="0"/>
              <w:jc w:val="center"/>
              <w:rPr>
                <w:rFonts w:hint="default" w:ascii="Times New Roman" w:hAnsi="Times New Roman" w:eastAsia="宋体" w:cs="Times New Roman"/>
                <w:color w:val="auto"/>
                <w:sz w:val="21"/>
                <w:szCs w:val="21"/>
              </w:rPr>
            </w:pP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林格曼黑度</w:t>
            </w:r>
          </w:p>
        </w:tc>
        <w:tc>
          <w:tcPr>
            <w:tcW w:w="1755"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57"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vMerge w:val="restart"/>
            <w:noWrap w:val="0"/>
            <w:vAlign w:val="center"/>
          </w:tcPr>
          <w:p>
            <w:pPr>
              <w:autoSpaceDE w:val="0"/>
              <w:autoSpaceDN w:val="0"/>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厂界</w:t>
            </w: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17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经</w:t>
            </w:r>
            <w:r>
              <w:rPr>
                <w:rFonts w:hint="eastAsia" w:cs="Times New Roman"/>
                <w:color w:val="auto"/>
                <w:sz w:val="21"/>
                <w:szCs w:val="21"/>
                <w:lang w:eastAsia="zh-CN"/>
              </w:rPr>
              <w:t>脉冲式布袋除尘器</w:t>
            </w:r>
            <w:r>
              <w:rPr>
                <w:rFonts w:hint="default" w:ascii="Times New Roman" w:hAnsi="Times New Roman" w:eastAsia="宋体" w:cs="Times New Roman"/>
                <w:color w:val="auto"/>
                <w:sz w:val="21"/>
                <w:szCs w:val="21"/>
              </w:rPr>
              <w:t>处理后无组织排放</w:t>
            </w:r>
          </w:p>
        </w:tc>
        <w:tc>
          <w:tcPr>
            <w:tcW w:w="1757" w:type="dxa"/>
            <w:vMerge w:val="restart"/>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《大气污染物综合排放标准》（GB16297-1996）表2中无组织排放标准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vMerge w:val="continue"/>
            <w:noWrap w:val="0"/>
            <w:vAlign w:val="center"/>
          </w:tcPr>
          <w:p>
            <w:pPr>
              <w:autoSpaceDE w:val="0"/>
              <w:autoSpaceDN w:val="0"/>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p>
        </w:tc>
        <w:tc>
          <w:tcPr>
            <w:tcW w:w="1762" w:type="dxa"/>
            <w:noWrap w:val="0"/>
            <w:vAlign w:val="center"/>
          </w:tcPr>
          <w:p>
            <w:pPr>
              <w:bidi w:val="0"/>
              <w:adjustRightInd w:val="0"/>
              <w:snapToGrid w:val="0"/>
              <w:spacing w:beforeAutospacing="0" w:afterAutospacing="0"/>
              <w:ind w:left="0" w:leftChars="0" w:right="0" w:right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硫酸</w:t>
            </w:r>
            <w:r>
              <w:rPr>
                <w:rFonts w:hint="eastAsia" w:cs="Times New Roman"/>
                <w:color w:val="auto"/>
                <w:sz w:val="21"/>
                <w:szCs w:val="21"/>
                <w:lang w:val="en-US" w:eastAsia="zh-CN"/>
              </w:rPr>
              <w:t>雾</w:t>
            </w:r>
          </w:p>
        </w:tc>
        <w:tc>
          <w:tcPr>
            <w:tcW w:w="17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无组织排放</w:t>
            </w:r>
          </w:p>
        </w:tc>
        <w:tc>
          <w:tcPr>
            <w:tcW w:w="1757"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食堂烟道</w:t>
            </w: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油烟</w:t>
            </w:r>
          </w:p>
        </w:tc>
        <w:tc>
          <w:tcPr>
            <w:tcW w:w="17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经油烟净化装置处理后，由高于屋顶专用油道排出</w:t>
            </w:r>
          </w:p>
        </w:tc>
        <w:tc>
          <w:tcPr>
            <w:tcW w:w="1757"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《饮食业油烟排放标准（试行）》（GB18483-2001）小型标准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vMerge w:val="restart"/>
            <w:noWrap w:val="0"/>
            <w:vAlign w:val="center"/>
          </w:tcPr>
          <w:p>
            <w:pPr>
              <w:autoSpaceDE w:val="0"/>
              <w:autoSpaceDN w:val="0"/>
              <w:bidi w:val="0"/>
              <w:spacing w:beforeAutospacing="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rPr>
              <w:t>DA0</w:t>
            </w:r>
            <w:r>
              <w:rPr>
                <w:rFonts w:hint="default" w:ascii="Times New Roman" w:hAnsi="Times New Roman" w:eastAsia="宋体" w:cs="Times New Roman"/>
                <w:color w:val="auto"/>
                <w:kern w:val="0"/>
                <w:sz w:val="21"/>
                <w:szCs w:val="21"/>
                <w:lang w:val="en-US" w:eastAsia="zh-CN"/>
              </w:rPr>
              <w:t>0</w:t>
            </w:r>
            <w:r>
              <w:rPr>
                <w:rFonts w:hint="eastAsia" w:cs="Times New Roman"/>
                <w:color w:val="auto"/>
                <w:kern w:val="0"/>
                <w:sz w:val="21"/>
                <w:szCs w:val="21"/>
                <w:lang w:val="en-US" w:eastAsia="zh-CN"/>
              </w:rPr>
              <w:t>2</w:t>
            </w: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1755" w:type="dxa"/>
            <w:vMerge w:val="restart"/>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eastAsia" w:cs="Times New Roman"/>
                <w:color w:val="auto"/>
                <w:sz w:val="21"/>
                <w:szCs w:val="21"/>
                <w:lang w:eastAsia="zh-CN"/>
              </w:rPr>
              <w:t>脉冲式布袋除尘器</w:t>
            </w:r>
            <w:r>
              <w:rPr>
                <w:rFonts w:hint="eastAsia" w:cs="Times New Roman"/>
                <w:color w:val="auto"/>
                <w:sz w:val="21"/>
                <w:szCs w:val="21"/>
                <w:lang w:val="en-US" w:eastAsia="zh-CN"/>
              </w:rPr>
              <w:t>+25m高烟囱</w:t>
            </w:r>
          </w:p>
        </w:tc>
        <w:tc>
          <w:tcPr>
            <w:tcW w:w="1757" w:type="dxa"/>
            <w:vMerge w:val="restart"/>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《锅炉大气污染物排放标准》（GB13271-2014）表2新建锅炉大气污染物排放标准要求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1755"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57"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X</w:t>
            </w:r>
          </w:p>
        </w:tc>
        <w:tc>
          <w:tcPr>
            <w:tcW w:w="1755"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57"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林格曼黑度</w:t>
            </w:r>
          </w:p>
        </w:tc>
        <w:tc>
          <w:tcPr>
            <w:tcW w:w="1755"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57"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1748" w:type="dxa"/>
            <w:noWrap w:val="0"/>
            <w:vAlign w:val="center"/>
          </w:tcPr>
          <w:p>
            <w:pPr>
              <w:bidi w:val="0"/>
              <w:adjustRightInd w:val="0"/>
              <w:snapToGrid w:val="0"/>
              <w:spacing w:beforeAutospacing="0" w:afterAutospacing="0"/>
              <w:ind w:left="0" w:leftChars="0" w:right="0" w:rightChars="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生活污水</w:t>
            </w:r>
            <w:r>
              <w:rPr>
                <w:rFonts w:hint="eastAsia" w:cs="Times New Roman"/>
                <w:color w:val="auto"/>
                <w:sz w:val="21"/>
                <w:szCs w:val="21"/>
                <w:lang w:eastAsia="zh-CN"/>
              </w:rPr>
              <w:t>、食堂废水</w:t>
            </w: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COD、氨氮、SS、动植物油</w:t>
            </w:r>
          </w:p>
        </w:tc>
        <w:tc>
          <w:tcPr>
            <w:tcW w:w="17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食堂废水经隔油池处理后排入防渗化粪池，经</w:t>
            </w:r>
            <w:r>
              <w:rPr>
                <w:rFonts w:hint="eastAsia" w:cs="Times New Roman"/>
                <w:color w:val="auto"/>
                <w:sz w:val="21"/>
                <w:szCs w:val="21"/>
                <w:lang w:val="en-US" w:eastAsia="zh-CN"/>
              </w:rPr>
              <w:t>市政清掏</w:t>
            </w:r>
            <w:r>
              <w:rPr>
                <w:rFonts w:hint="default" w:ascii="Times New Roman" w:hAnsi="Times New Roman" w:eastAsia="宋体" w:cs="Times New Roman"/>
                <w:color w:val="auto"/>
                <w:sz w:val="21"/>
                <w:szCs w:val="21"/>
              </w:rPr>
              <w:t>排入</w:t>
            </w:r>
            <w:r>
              <w:rPr>
                <w:rFonts w:hint="eastAsia" w:cs="Times New Roman"/>
                <w:color w:val="auto"/>
                <w:sz w:val="21"/>
                <w:szCs w:val="21"/>
                <w:lang w:val="en-US" w:eastAsia="zh-CN"/>
              </w:rPr>
              <w:t>双城</w:t>
            </w:r>
            <w:r>
              <w:rPr>
                <w:rFonts w:hint="default" w:ascii="Times New Roman" w:hAnsi="Times New Roman" w:eastAsia="宋体" w:cs="Times New Roman"/>
                <w:color w:val="auto"/>
                <w:sz w:val="21"/>
                <w:szCs w:val="21"/>
              </w:rPr>
              <w:t>污水处理厂处理达标后，排入</w:t>
            </w:r>
            <w:r>
              <w:rPr>
                <w:rFonts w:hint="eastAsia" w:cs="Times New Roman"/>
                <w:color w:val="auto"/>
                <w:sz w:val="21"/>
                <w:szCs w:val="21"/>
                <w:lang w:val="en-US" w:eastAsia="zh-CN"/>
              </w:rPr>
              <w:t>拉林河</w:t>
            </w:r>
          </w:p>
        </w:tc>
        <w:tc>
          <w:tcPr>
            <w:tcW w:w="1757" w:type="dxa"/>
            <w:vMerge w:val="restart"/>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《污水综合排放标准》（GB8978-1996）三级标准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软化水处理废水和锅炉排污水</w:t>
            </w: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w:t>
            </w:r>
          </w:p>
        </w:tc>
        <w:tc>
          <w:tcPr>
            <w:tcW w:w="17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排入</w:t>
            </w:r>
            <w:r>
              <w:rPr>
                <w:rFonts w:hint="eastAsia" w:cs="Times New Roman"/>
                <w:color w:val="auto"/>
                <w:sz w:val="21"/>
                <w:szCs w:val="21"/>
                <w:lang w:val="en-US" w:eastAsia="zh-CN"/>
              </w:rPr>
              <w:t>防渗化粪池，</w:t>
            </w:r>
            <w:r>
              <w:rPr>
                <w:rFonts w:hint="default" w:ascii="Times New Roman" w:hAnsi="Times New Roman" w:eastAsia="宋体" w:cs="Times New Roman"/>
                <w:color w:val="auto"/>
                <w:sz w:val="21"/>
                <w:szCs w:val="21"/>
              </w:rPr>
              <w:t>经</w:t>
            </w:r>
            <w:r>
              <w:rPr>
                <w:rFonts w:hint="eastAsia" w:cs="Times New Roman"/>
                <w:color w:val="auto"/>
                <w:sz w:val="21"/>
                <w:szCs w:val="21"/>
                <w:lang w:val="en-US" w:eastAsia="zh-CN"/>
              </w:rPr>
              <w:t>市政清掏</w:t>
            </w:r>
            <w:r>
              <w:rPr>
                <w:rFonts w:hint="default" w:ascii="Times New Roman" w:hAnsi="Times New Roman" w:eastAsia="宋体" w:cs="Times New Roman"/>
                <w:color w:val="auto"/>
                <w:sz w:val="21"/>
                <w:szCs w:val="21"/>
              </w:rPr>
              <w:t>排入</w:t>
            </w:r>
            <w:r>
              <w:rPr>
                <w:rFonts w:hint="eastAsia" w:cs="Times New Roman"/>
                <w:color w:val="auto"/>
                <w:sz w:val="21"/>
                <w:szCs w:val="21"/>
                <w:lang w:val="en-US" w:eastAsia="zh-CN"/>
              </w:rPr>
              <w:t>双城</w:t>
            </w:r>
            <w:r>
              <w:rPr>
                <w:rFonts w:hint="default" w:ascii="Times New Roman" w:hAnsi="Times New Roman" w:eastAsia="宋体" w:cs="Times New Roman"/>
                <w:color w:val="auto"/>
                <w:sz w:val="21"/>
                <w:szCs w:val="21"/>
              </w:rPr>
              <w:t>污水处理厂处理达标后，排入</w:t>
            </w:r>
            <w:r>
              <w:rPr>
                <w:rFonts w:hint="eastAsia" w:cs="Times New Roman"/>
                <w:color w:val="auto"/>
                <w:sz w:val="21"/>
                <w:szCs w:val="21"/>
                <w:lang w:val="en-US" w:eastAsia="zh-CN"/>
              </w:rPr>
              <w:t>拉林河</w:t>
            </w:r>
          </w:p>
        </w:tc>
        <w:tc>
          <w:tcPr>
            <w:tcW w:w="1757"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化验室冲洗废水</w:t>
            </w: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COD、氨氮</w:t>
            </w:r>
          </w:p>
        </w:tc>
        <w:tc>
          <w:tcPr>
            <w:tcW w:w="17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经中和后排入</w:t>
            </w:r>
            <w:r>
              <w:rPr>
                <w:rFonts w:hint="eastAsia" w:cs="Times New Roman"/>
                <w:color w:val="auto"/>
                <w:sz w:val="21"/>
                <w:szCs w:val="21"/>
                <w:lang w:val="en-US" w:eastAsia="zh-CN"/>
              </w:rPr>
              <w:t>防渗化粪池，</w:t>
            </w:r>
            <w:r>
              <w:rPr>
                <w:rFonts w:hint="default" w:ascii="Times New Roman" w:hAnsi="Times New Roman" w:eastAsia="宋体" w:cs="Times New Roman"/>
                <w:color w:val="auto"/>
                <w:sz w:val="21"/>
                <w:szCs w:val="21"/>
              </w:rPr>
              <w:t>经</w:t>
            </w:r>
            <w:r>
              <w:rPr>
                <w:rFonts w:hint="eastAsia" w:cs="Times New Roman"/>
                <w:color w:val="auto"/>
                <w:sz w:val="21"/>
                <w:szCs w:val="21"/>
                <w:lang w:val="en-US" w:eastAsia="zh-CN"/>
              </w:rPr>
              <w:t>市政清掏</w:t>
            </w:r>
            <w:r>
              <w:rPr>
                <w:rFonts w:hint="default" w:ascii="Times New Roman" w:hAnsi="Times New Roman" w:eastAsia="宋体" w:cs="Times New Roman"/>
                <w:color w:val="auto"/>
                <w:sz w:val="21"/>
                <w:szCs w:val="21"/>
              </w:rPr>
              <w:t>排入</w:t>
            </w:r>
            <w:r>
              <w:rPr>
                <w:rFonts w:hint="eastAsia" w:cs="Times New Roman"/>
                <w:color w:val="auto"/>
                <w:sz w:val="21"/>
                <w:szCs w:val="21"/>
                <w:lang w:val="en-US" w:eastAsia="zh-CN"/>
              </w:rPr>
              <w:t>双城</w:t>
            </w:r>
            <w:r>
              <w:rPr>
                <w:rFonts w:hint="default" w:ascii="Times New Roman" w:hAnsi="Times New Roman" w:eastAsia="宋体" w:cs="Times New Roman"/>
                <w:color w:val="auto"/>
                <w:sz w:val="21"/>
                <w:szCs w:val="21"/>
              </w:rPr>
              <w:t>污水处理厂处理达标后，排入</w:t>
            </w:r>
            <w:r>
              <w:rPr>
                <w:rFonts w:hint="eastAsia" w:cs="Times New Roman"/>
                <w:color w:val="auto"/>
                <w:sz w:val="21"/>
                <w:szCs w:val="21"/>
                <w:lang w:val="en-US" w:eastAsia="zh-CN"/>
              </w:rPr>
              <w:t>拉林河</w:t>
            </w:r>
          </w:p>
        </w:tc>
        <w:tc>
          <w:tcPr>
            <w:tcW w:w="1757"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174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w:t>
            </w:r>
          </w:p>
        </w:tc>
        <w:tc>
          <w:tcPr>
            <w:tcW w:w="1762"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755"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低噪声设备、厂房隔声、基础减振、风机软连接等措施</w:t>
            </w:r>
          </w:p>
        </w:tc>
        <w:tc>
          <w:tcPr>
            <w:tcW w:w="1757"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厂界噪声执行《工业企业厂界环境噪声排放标准》（GB12348-2008）表1中2类标准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778" w:type="dxa"/>
            <w:vMerge w:val="restart"/>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1748" w:type="dxa"/>
            <w:tcBorders>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办公生活</w:t>
            </w:r>
          </w:p>
        </w:tc>
        <w:tc>
          <w:tcPr>
            <w:tcW w:w="1762" w:type="dxa"/>
            <w:tcBorders>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生活垃圾</w:t>
            </w:r>
          </w:p>
        </w:tc>
        <w:tc>
          <w:tcPr>
            <w:tcW w:w="3512" w:type="dxa"/>
            <w:gridSpan w:val="2"/>
            <w:tcBorders>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由市政部门统一处理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tcBorders>
              <w:top w:val="single" w:color="auto" w:sz="4" w:space="0"/>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化验</w:t>
            </w:r>
          </w:p>
        </w:tc>
        <w:tc>
          <w:tcPr>
            <w:tcW w:w="1762" w:type="dxa"/>
            <w:tcBorders>
              <w:top w:val="single" w:color="auto" w:sz="4" w:space="0"/>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化验室废液（HW49,900-047-49）</w:t>
            </w:r>
          </w:p>
        </w:tc>
        <w:tc>
          <w:tcPr>
            <w:tcW w:w="3512" w:type="dxa"/>
            <w:gridSpan w:val="2"/>
            <w:tcBorders>
              <w:top w:val="single" w:color="auto" w:sz="4" w:space="0"/>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委托有资质单位处理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10"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tcBorders>
              <w:top w:val="single" w:color="auto" w:sz="4" w:space="0"/>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生产用热锅炉、供暖锅炉除尘器</w:t>
            </w:r>
          </w:p>
        </w:tc>
        <w:tc>
          <w:tcPr>
            <w:tcW w:w="1762" w:type="dxa"/>
            <w:tcBorders>
              <w:top w:val="single" w:color="auto" w:sz="4" w:space="0"/>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收集的粉尘</w:t>
            </w:r>
          </w:p>
        </w:tc>
        <w:tc>
          <w:tcPr>
            <w:tcW w:w="3512" w:type="dxa"/>
            <w:gridSpan w:val="2"/>
            <w:tcBorders>
              <w:top w:val="single" w:color="auto" w:sz="4" w:space="0"/>
              <w:bottom w:val="single" w:color="auto" w:sz="4" w:space="0"/>
            </w:tcBorders>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由市政部门统一处理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tcBorders>
              <w:top w:val="single" w:color="auto" w:sz="4" w:space="0"/>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包装</w:t>
            </w:r>
          </w:p>
        </w:tc>
        <w:tc>
          <w:tcPr>
            <w:tcW w:w="1762" w:type="dxa"/>
            <w:tcBorders>
              <w:top w:val="single" w:color="auto" w:sz="4" w:space="0"/>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废包装袋</w:t>
            </w:r>
          </w:p>
        </w:tc>
        <w:tc>
          <w:tcPr>
            <w:tcW w:w="3512" w:type="dxa"/>
            <w:gridSpan w:val="2"/>
            <w:tcBorders>
              <w:top w:val="single" w:color="auto" w:sz="4" w:space="0"/>
              <w:bottom w:val="single" w:color="auto" w:sz="4" w:space="0"/>
            </w:tcBorders>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z w:val="21"/>
                <w:szCs w:val="21"/>
              </w:rPr>
              <w:t>集中收集，统一外售综合利用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tcBorders>
              <w:top w:val="single" w:color="auto" w:sz="4" w:space="0"/>
              <w:bottom w:val="single" w:color="auto" w:sz="4" w:space="0"/>
            </w:tcBorders>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主车间、预混车间</w:t>
            </w:r>
            <w:r>
              <w:rPr>
                <w:rFonts w:hint="default" w:ascii="Times New Roman" w:hAnsi="Times New Roman" w:eastAsia="宋体" w:cs="Times New Roman"/>
                <w:color w:val="auto"/>
                <w:sz w:val="21"/>
                <w:szCs w:val="21"/>
              </w:rPr>
              <w:t>除尘器</w:t>
            </w:r>
          </w:p>
        </w:tc>
        <w:tc>
          <w:tcPr>
            <w:tcW w:w="1762" w:type="dxa"/>
            <w:tcBorders>
              <w:top w:val="single" w:color="auto" w:sz="4" w:space="0"/>
              <w:bottom w:val="single" w:color="auto" w:sz="4" w:space="0"/>
            </w:tcBorders>
            <w:noWrap w:val="0"/>
            <w:vAlign w:val="center"/>
          </w:tcPr>
          <w:p>
            <w:pPr>
              <w:bidi w:val="0"/>
              <w:spacing w:beforeAutospacing="0" w:afterAutospacing="0"/>
              <w:ind w:left="0" w:leftChars="0" w:right="0" w:rightChars="0"/>
              <w:contextualSpacing/>
              <w:jc w:val="center"/>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收集的粉尘</w:t>
            </w:r>
          </w:p>
        </w:tc>
        <w:tc>
          <w:tcPr>
            <w:tcW w:w="3512" w:type="dxa"/>
            <w:gridSpan w:val="2"/>
            <w:tcBorders>
              <w:top w:val="single" w:color="auto" w:sz="4" w:space="0"/>
              <w:bottom w:val="single" w:color="auto" w:sz="4" w:space="0"/>
            </w:tcBorders>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回用于生产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778" w:type="dxa"/>
            <w:vMerge w:val="continue"/>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p>
        </w:tc>
        <w:tc>
          <w:tcPr>
            <w:tcW w:w="1748" w:type="dxa"/>
            <w:tcBorders>
              <w:top w:val="single" w:color="auto" w:sz="4" w:space="0"/>
            </w:tcBorders>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软化水装置</w:t>
            </w:r>
          </w:p>
        </w:tc>
        <w:tc>
          <w:tcPr>
            <w:tcW w:w="1762" w:type="dxa"/>
            <w:tcBorders>
              <w:top w:val="single" w:color="auto" w:sz="4" w:space="0"/>
            </w:tcBorders>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废离子交换树脂</w:t>
            </w:r>
          </w:p>
        </w:tc>
        <w:tc>
          <w:tcPr>
            <w:tcW w:w="3512" w:type="dxa"/>
            <w:gridSpan w:val="2"/>
            <w:tcBorders>
              <w:top w:val="single" w:color="auto" w:sz="4" w:space="0"/>
            </w:tcBorders>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交由厂家回收处理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土壤及地下水</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污染防治措施</w:t>
            </w:r>
          </w:p>
        </w:tc>
        <w:tc>
          <w:tcPr>
            <w:tcW w:w="7022" w:type="dxa"/>
            <w:gridSpan w:val="4"/>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主</w:t>
            </w:r>
            <w:r>
              <w:rPr>
                <w:rFonts w:hint="default" w:ascii="Times New Roman" w:hAnsi="Times New Roman" w:eastAsia="宋体" w:cs="Times New Roman"/>
                <w:bCs/>
                <w:color w:val="auto"/>
                <w:sz w:val="21"/>
                <w:szCs w:val="21"/>
              </w:rPr>
              <w:t>车间、</w:t>
            </w:r>
            <w:r>
              <w:rPr>
                <w:rFonts w:hint="eastAsia" w:cs="Times New Roman"/>
                <w:bCs/>
                <w:color w:val="auto"/>
                <w:sz w:val="21"/>
                <w:szCs w:val="21"/>
                <w:lang w:val="en-US" w:eastAsia="zh-CN"/>
              </w:rPr>
              <w:t>预混车间、</w:t>
            </w:r>
            <w:r>
              <w:rPr>
                <w:rFonts w:hint="default" w:ascii="Times New Roman" w:hAnsi="Times New Roman" w:eastAsia="宋体" w:cs="Times New Roman"/>
                <w:bCs/>
                <w:color w:val="auto"/>
                <w:sz w:val="21"/>
                <w:szCs w:val="21"/>
              </w:rPr>
              <w:t>原料</w:t>
            </w:r>
            <w:r>
              <w:rPr>
                <w:rFonts w:hint="eastAsia" w:cs="Times New Roman"/>
                <w:bCs/>
                <w:color w:val="auto"/>
                <w:sz w:val="21"/>
                <w:szCs w:val="21"/>
                <w:lang w:val="en-US" w:eastAsia="zh-CN"/>
              </w:rPr>
              <w:t>库</w:t>
            </w:r>
            <w:r>
              <w:rPr>
                <w:rFonts w:hint="default" w:ascii="Times New Roman" w:hAnsi="Times New Roman" w:eastAsia="宋体" w:cs="Times New Roman"/>
                <w:bCs/>
                <w:color w:val="auto"/>
                <w:sz w:val="21"/>
                <w:szCs w:val="21"/>
              </w:rPr>
              <w:t>、成品</w:t>
            </w:r>
            <w:r>
              <w:rPr>
                <w:rFonts w:hint="eastAsia" w:cs="Times New Roman"/>
                <w:bCs/>
                <w:color w:val="auto"/>
                <w:sz w:val="21"/>
                <w:szCs w:val="21"/>
                <w:lang w:val="en-US" w:eastAsia="zh-CN"/>
              </w:rPr>
              <w:t>库</w:t>
            </w:r>
            <w:r>
              <w:rPr>
                <w:rFonts w:hint="default" w:ascii="Times New Roman" w:hAnsi="Times New Roman" w:eastAsia="宋体" w:cs="Times New Roman"/>
                <w:bCs/>
                <w:color w:val="auto"/>
                <w:sz w:val="21"/>
                <w:szCs w:val="21"/>
              </w:rPr>
              <w:t>及装卸区地面均进行了硬化，危废</w:t>
            </w:r>
            <w:r>
              <w:rPr>
                <w:rFonts w:hint="default" w:ascii="Times New Roman" w:hAnsi="Times New Roman" w:eastAsia="宋体" w:cs="Times New Roman"/>
                <w:color w:val="auto"/>
                <w:sz w:val="21"/>
                <w:szCs w:val="21"/>
              </w:rPr>
              <w:t>暂存间设置围堰及标识，地面和裙脚进行防渗、防漏，采用2mm厚的高密度聚乙烯土工膜及混凝土地面，渗透系数≤10</w:t>
            </w:r>
            <w:r>
              <w:rPr>
                <w:rFonts w:hint="default" w:ascii="Times New Roman" w:hAnsi="Times New Roman" w:eastAsia="宋体" w:cs="Times New Roman"/>
                <w:color w:val="auto"/>
                <w:sz w:val="21"/>
                <w:szCs w:val="21"/>
                <w:vertAlign w:val="superscript"/>
              </w:rPr>
              <w:t>-10</w:t>
            </w:r>
            <w:r>
              <w:rPr>
                <w:rFonts w:hint="default" w:ascii="Times New Roman" w:hAnsi="Times New Roman" w:eastAsia="宋体" w:cs="Times New Roman"/>
                <w:color w:val="auto"/>
                <w:sz w:val="21"/>
                <w:szCs w:val="21"/>
              </w:rPr>
              <w:t>cm/s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77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生态保护措施</w:t>
            </w:r>
          </w:p>
        </w:tc>
        <w:tc>
          <w:tcPr>
            <w:tcW w:w="7022" w:type="dxa"/>
            <w:gridSpan w:val="4"/>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环境风险</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防范措施</w:t>
            </w:r>
          </w:p>
        </w:tc>
        <w:tc>
          <w:tcPr>
            <w:tcW w:w="7022" w:type="dxa"/>
            <w:gridSpan w:val="4"/>
            <w:noWrap w:val="0"/>
            <w:vAlign w:val="center"/>
          </w:tcPr>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①化验室风险防范措施</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实验过程用的化学品采用专用容器承装至于化学品储存柜里，按《危险化学品安全管理条例》的要求，加强危险化学品管理；制定危险化学品安全操作规程，操作人员严格按操作规程作业；对从事危险化学作业人员定期进行安全培训教育；经常性对危险化学品作业场所进行安全检查。设立专门的储存柜，使其符合储存危险化学品的相关条件（如防晒、防潮、通风、防雷、防静电等），实施危险化学品的储存和使用；建立健全安全规程及值勤制度，设置通讯。报警装置，确保其处于完好状态；对储存危险化学品的容器，应经有关检验部门定期检验合格后，才能使用，并设置明显的标识及警示牌；对使用危险化学品的名称、数量进行严格登记；凡储存、使用危险化学品的岗位，都应配置合格的防毒、消防器材，并确保其处于完好状态；所有进入储存，使用危险化学品的人员，都必须遵守《危险化学品管理制度》。</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验室废液收集容器及危废暂存间应满足防腐、防渗技术要求，杜绝贮存过程中的跑、冒、滴、漏现象发生。贮存污染控制应符合《危险废物贮存污染控制标准》（GB18597-2001）（2013年修订）中的有关规定；（以下列出主要项目）</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A．装载危险废物的容器必须完好无损。</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B．地面与裙角要用坚固、防渗材料建造，建筑材料必须与危险废物相容。</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C．必须有泄漏液体收集装置。</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D．用于存放装载液体、半固体危险废物的地方，必须有耐腐蚀的地面，且表面无裂隙。</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E．必须定期对所贮存的危险废物包装容器及贮存设施进行检查、发现破损，应及时采取措施清理更换。</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F．危险废物贮存设施必须按照规定设置警示标志。</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G．危险废物贮存设施内清理出来的泄漏物一律按照危险废物处理。化验室废液存储区设置围堰，</w:t>
            </w:r>
            <w:r>
              <w:rPr>
                <w:rFonts w:hint="default" w:ascii="Times New Roman" w:hAnsi="Times New Roman" w:eastAsia="宋体" w:cs="Times New Roman"/>
                <w:bCs/>
                <w:color w:val="auto"/>
                <w:sz w:val="21"/>
                <w:szCs w:val="21"/>
              </w:rPr>
              <w:t>基础必须防渗，防渗层为2mm厚高密度聚乙烯防渗，渗透系数≤10</w:t>
            </w:r>
            <w:r>
              <w:rPr>
                <w:rFonts w:hint="default" w:ascii="Times New Roman" w:hAnsi="Times New Roman" w:eastAsia="宋体" w:cs="Times New Roman"/>
                <w:bCs/>
                <w:color w:val="auto"/>
                <w:sz w:val="21"/>
                <w:szCs w:val="21"/>
                <w:vertAlign w:val="superscript"/>
              </w:rPr>
              <w:t>-10</w:t>
            </w:r>
            <w:r>
              <w:rPr>
                <w:rFonts w:hint="default" w:ascii="Times New Roman" w:hAnsi="Times New Roman" w:eastAsia="宋体" w:cs="Times New Roman"/>
                <w:bCs/>
                <w:color w:val="auto"/>
                <w:sz w:val="21"/>
                <w:szCs w:val="21"/>
              </w:rPr>
              <w:t>cm/s。</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w:t>
            </w:r>
            <w:r>
              <w:rPr>
                <w:rFonts w:hint="eastAsia" w:cs="Times New Roman"/>
                <w:bCs/>
                <w:color w:val="auto"/>
                <w:sz w:val="21"/>
                <w:szCs w:val="21"/>
                <w:lang w:val="en-US" w:eastAsia="zh-CN"/>
              </w:rPr>
              <w:t>火灾</w:t>
            </w:r>
            <w:r>
              <w:rPr>
                <w:rFonts w:hint="default" w:ascii="Times New Roman" w:hAnsi="Times New Roman" w:eastAsia="宋体" w:cs="Times New Roman"/>
                <w:bCs/>
                <w:color w:val="auto"/>
                <w:sz w:val="21"/>
                <w:szCs w:val="21"/>
              </w:rPr>
              <w:t>防范措施</w:t>
            </w: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内应有醒目的严禁烟火标志；采取有效措施防止电气线路和电气设施在开关断开、接触不良、短路、漏电时产生火花，防止静电放电火花；采取防雷接地措施，防止雷电放电火花。建立应急救援组织或者配备应急救援人员，配备必要的应急救援器材、设备，对消防措施定期检查，保证消防措施的有效性，并定期组织演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1778" w:type="dxa"/>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其他环境</w:t>
            </w:r>
          </w:p>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管理要求</w:t>
            </w:r>
          </w:p>
        </w:tc>
        <w:tc>
          <w:tcPr>
            <w:tcW w:w="7022" w:type="dxa"/>
            <w:gridSpan w:val="4"/>
            <w:noWrap w:val="0"/>
            <w:vAlign w:val="center"/>
          </w:tcPr>
          <w:p>
            <w:pPr>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本项目获得环评批复后，应按要求</w:t>
            </w:r>
            <w:r>
              <w:rPr>
                <w:rFonts w:hint="default" w:ascii="Times New Roman" w:hAnsi="Times New Roman" w:eastAsia="宋体" w:cs="Times New Roman"/>
                <w:color w:val="auto"/>
                <w:sz w:val="21"/>
                <w:szCs w:val="21"/>
                <w:lang w:val="en-US" w:eastAsia="zh-CN"/>
              </w:rPr>
              <w:t>取得排污许可，建立台帐，废气排污口设置环保标识，定期公开污染防治信息，公开自行监测信息，公开固体废物处理、处置信息。</w:t>
            </w:r>
          </w:p>
        </w:tc>
      </w:tr>
    </w:tbl>
    <w:p>
      <w:pPr>
        <w:pStyle w:val="14"/>
        <w:bidi w:val="0"/>
        <w:spacing w:before="0" w:beforeAutospacing="0" w:after="0" w:afterAutospacing="0"/>
        <w:ind w:left="0" w:leftChars="0" w:right="0" w:rightChars="0"/>
        <w:jc w:val="center"/>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rPr>
        <w:br w:type="page"/>
      </w:r>
      <w:bookmarkStart w:id="62" w:name="_Toc1848"/>
      <w:r>
        <w:rPr>
          <w:rFonts w:hint="default" w:ascii="Times New Roman" w:hAnsi="Times New Roman" w:eastAsia="宋体" w:cs="Times New Roman"/>
          <w:snapToGrid w:val="0"/>
          <w:color w:val="auto"/>
          <w:sz w:val="30"/>
          <w:szCs w:val="30"/>
        </w:rPr>
        <w:t>六、结论</w:t>
      </w:r>
      <w:bookmarkEnd w:id="62"/>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noWrap w:val="0"/>
            <w:vAlign w:val="top"/>
          </w:tcPr>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建设符合“三线一单”及当地土地利用规划要求，项目按建设项目"三同时"制度要求，逐一落实本报告提出的污染治理项目，保证各项污染物达标排放，则项目对周围环境影响不明显。因此，从环境保护角度考虑，本项目的建设是合理、可行的。</w:t>
            </w:r>
          </w:p>
        </w:tc>
      </w:tr>
    </w:tbl>
    <w:p>
      <w:pPr>
        <w:bidi w:val="0"/>
        <w:spacing w:beforeAutospacing="0" w:afterAutospacing="0"/>
        <w:ind w:left="0" w:leftChars="0" w:right="0" w:rightChars="0"/>
        <w:rPr>
          <w:rFonts w:hint="default" w:ascii="Times New Roman" w:hAnsi="Times New Roman" w:eastAsia="宋体" w:cs="Times New Roman"/>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bidi w:val="0"/>
        <w:adjustRightInd w:val="0"/>
        <w:snapToGrid w:val="0"/>
        <w:spacing w:before="0" w:beforeAutospacing="0" w:after="0" w:afterAutospacing="0" w:line="360" w:lineRule="auto"/>
        <w:ind w:left="0" w:leftChars="0" w:right="0" w:rightChars="0"/>
        <w:outlineLvl w:val="0"/>
        <w:rPr>
          <w:rFonts w:hint="default" w:ascii="Times New Roman" w:hAnsi="Times New Roman" w:eastAsia="宋体" w:cs="Times New Roman"/>
          <w:snapToGrid w:val="0"/>
          <w:color w:val="auto"/>
          <w:sz w:val="32"/>
          <w:szCs w:val="32"/>
        </w:rPr>
      </w:pPr>
      <w:bookmarkStart w:id="63" w:name="_Toc18051"/>
      <w:bookmarkStart w:id="64" w:name="_Toc5019"/>
      <w:bookmarkStart w:id="65" w:name="_Toc11931"/>
      <w:bookmarkStart w:id="66" w:name="_Toc30426"/>
      <w:bookmarkStart w:id="67" w:name="_Toc28938"/>
      <w:bookmarkStart w:id="68" w:name="_Toc32151"/>
      <w:r>
        <w:rPr>
          <w:rFonts w:hint="default" w:ascii="Times New Roman" w:hAnsi="Times New Roman" w:eastAsia="宋体" w:cs="Times New Roman"/>
          <w:snapToGrid w:val="0"/>
          <w:color w:val="auto"/>
          <w:sz w:val="32"/>
          <w:szCs w:val="32"/>
        </w:rPr>
        <w:t>附表</w:t>
      </w:r>
      <w:bookmarkEnd w:id="63"/>
      <w:bookmarkEnd w:id="64"/>
      <w:bookmarkEnd w:id="65"/>
      <w:bookmarkEnd w:id="66"/>
      <w:bookmarkEnd w:id="67"/>
      <w:bookmarkEnd w:id="68"/>
    </w:p>
    <w:p>
      <w:pPr>
        <w:pStyle w:val="14"/>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snapToGrid w:val="0"/>
          <w:color w:val="auto"/>
          <w:sz w:val="38"/>
          <w:szCs w:val="38"/>
        </w:rPr>
      </w:pPr>
      <w:bookmarkStart w:id="69" w:name="_Toc22747"/>
      <w:r>
        <w:rPr>
          <w:rFonts w:hint="default" w:ascii="Times New Roman" w:hAnsi="Times New Roman" w:eastAsia="宋体" w:cs="Times New Roman"/>
          <w:snapToGrid w:val="0"/>
          <w:color w:val="auto"/>
          <w:sz w:val="38"/>
          <w:szCs w:val="38"/>
        </w:rPr>
        <w:t>建设项目污染物排放量汇总表</w:t>
      </w:r>
      <w:bookmarkEnd w:id="69"/>
    </w:p>
    <w:tbl>
      <w:tblPr>
        <w:tblStyle w:val="18"/>
        <w:tblW w:w="14318" w:type="dxa"/>
        <w:tblInd w:w="-397"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8"/>
        <w:gridCol w:w="1905"/>
        <w:gridCol w:w="1578"/>
        <w:gridCol w:w="1275"/>
        <w:gridCol w:w="1701"/>
        <w:gridCol w:w="1560"/>
        <w:gridCol w:w="1842"/>
        <w:gridCol w:w="1843"/>
        <w:gridCol w:w="12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tcBorders>
              <w:tl2br w:val="single" w:color="auto" w:sz="4" w:space="0"/>
            </w:tcBorders>
            <w:noWrap w:val="0"/>
            <w:tcMar>
              <w:left w:w="28" w:type="dxa"/>
              <w:right w:w="28" w:type="dxa"/>
            </w:tcMar>
            <w:vAlign w:val="center"/>
          </w:tcPr>
          <w:p>
            <w:pPr>
              <w:pStyle w:val="39"/>
              <w:bidi w:val="0"/>
              <w:spacing w:beforeLines="0" w:beforeAutospacing="0" w:afterLines="0" w:afterAutospacing="0" w:line="240" w:lineRule="auto"/>
              <w:ind w:left="0" w:leftChars="0" w:right="0" w:rightChars="0"/>
              <w:jc w:val="right"/>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项目</w:t>
            </w:r>
          </w:p>
          <w:p>
            <w:pPr>
              <w:pStyle w:val="39"/>
              <w:bidi w:val="0"/>
              <w:spacing w:beforeLines="0" w:beforeAutospacing="0" w:afterLines="0" w:afterAutospacing="0" w:line="240" w:lineRule="auto"/>
              <w:ind w:left="0" w:leftChars="0" w:right="0" w:rightChars="0"/>
              <w:jc w:val="left"/>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分类</w:t>
            </w:r>
          </w:p>
        </w:tc>
        <w:tc>
          <w:tcPr>
            <w:tcW w:w="1905" w:type="dxa"/>
            <w:noWrap w:val="0"/>
            <w:tcMar>
              <w:left w:w="28" w:type="dxa"/>
              <w:right w:w="28" w:type="dxa"/>
            </w:tcMar>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污染物名称</w:t>
            </w:r>
          </w:p>
        </w:tc>
        <w:tc>
          <w:tcPr>
            <w:tcW w:w="1578" w:type="dxa"/>
            <w:noWrap w:val="0"/>
            <w:tcMar>
              <w:left w:w="28" w:type="dxa"/>
              <w:right w:w="28" w:type="dxa"/>
            </w:tcMar>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现有工程</w:t>
            </w:r>
          </w:p>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排放量t/a（固体废物产生量）</w:t>
            </w:r>
            <w:r>
              <w:rPr>
                <w:rFonts w:hint="default" w:ascii="Times New Roman" w:hAnsi="Times New Roman" w:eastAsia="宋体" w:cs="Times New Roman"/>
                <w:snapToGrid w:val="0"/>
                <w:color w:val="auto"/>
                <w:spacing w:val="-6"/>
                <w:kern w:val="21"/>
                <w:sz w:val="21"/>
                <w:szCs w:val="21"/>
                <w:lang w:val="en-US" w:eastAsia="zh-CN"/>
              </w:rPr>
              <w:fldChar w:fldCharType="begin"/>
            </w:r>
            <w:r>
              <w:rPr>
                <w:rFonts w:hint="default" w:ascii="Times New Roman" w:hAnsi="Times New Roman" w:eastAsia="宋体" w:cs="Times New Roman"/>
                <w:snapToGrid w:val="0"/>
                <w:color w:val="auto"/>
                <w:spacing w:val="-6"/>
                <w:kern w:val="21"/>
                <w:sz w:val="21"/>
                <w:szCs w:val="21"/>
                <w:lang w:val="en-US" w:eastAsia="zh-CN"/>
              </w:rPr>
              <w:instrText xml:space="preserve"> = 1 \* GB3 \* MERGEFORMAT </w:instrText>
            </w:r>
            <w:r>
              <w:rPr>
                <w:rFonts w:hint="default" w:ascii="Times New Roman" w:hAnsi="Times New Roman" w:eastAsia="宋体" w:cs="Times New Roman"/>
                <w:snapToGrid w:val="0"/>
                <w:color w:val="auto"/>
                <w:spacing w:val="-6"/>
                <w:kern w:val="21"/>
                <w:sz w:val="21"/>
                <w:szCs w:val="21"/>
                <w:lang w:val="en-US" w:eastAsia="zh-CN"/>
              </w:rPr>
              <w:fldChar w:fldCharType="separate"/>
            </w:r>
            <w:r>
              <w:rPr>
                <w:rFonts w:hint="default" w:ascii="Times New Roman" w:hAnsi="Times New Roman" w:eastAsia="宋体" w:cs="Times New Roman"/>
                <w:color w:val="auto"/>
                <w:kern w:val="2"/>
                <w:sz w:val="21"/>
                <w:szCs w:val="21"/>
                <w:lang w:val="en-US" w:eastAsia="zh-CN"/>
              </w:rPr>
              <w:t>①</w:t>
            </w:r>
            <w:r>
              <w:rPr>
                <w:rFonts w:hint="default" w:ascii="Times New Roman" w:hAnsi="Times New Roman" w:eastAsia="宋体" w:cs="Times New Roman"/>
                <w:snapToGrid w:val="0"/>
                <w:color w:val="auto"/>
                <w:spacing w:val="-6"/>
                <w:kern w:val="21"/>
                <w:sz w:val="21"/>
                <w:szCs w:val="21"/>
                <w:lang w:val="en-US" w:eastAsia="zh-CN"/>
              </w:rPr>
              <w:fldChar w:fldCharType="end"/>
            </w:r>
          </w:p>
        </w:tc>
        <w:tc>
          <w:tcPr>
            <w:tcW w:w="1275" w:type="dxa"/>
            <w:noWrap w:val="0"/>
            <w:tcMar>
              <w:left w:w="28" w:type="dxa"/>
              <w:right w:w="28" w:type="dxa"/>
            </w:tcMar>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现有工程</w:t>
            </w:r>
          </w:p>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许可排放量t/a</w:t>
            </w:r>
            <w:r>
              <w:rPr>
                <w:rFonts w:hint="default" w:ascii="Times New Roman" w:hAnsi="Times New Roman" w:eastAsia="宋体" w:cs="Times New Roman"/>
                <w:snapToGrid w:val="0"/>
                <w:color w:val="auto"/>
                <w:spacing w:val="-6"/>
                <w:kern w:val="21"/>
                <w:sz w:val="21"/>
                <w:szCs w:val="21"/>
                <w:lang w:val="en-US" w:eastAsia="zh-CN"/>
              </w:rPr>
              <w:fldChar w:fldCharType="begin"/>
            </w:r>
            <w:r>
              <w:rPr>
                <w:rFonts w:hint="default" w:ascii="Times New Roman" w:hAnsi="Times New Roman" w:eastAsia="宋体" w:cs="Times New Roman"/>
                <w:snapToGrid w:val="0"/>
                <w:color w:val="auto"/>
                <w:spacing w:val="-6"/>
                <w:kern w:val="21"/>
                <w:sz w:val="21"/>
                <w:szCs w:val="21"/>
                <w:lang w:val="en-US" w:eastAsia="zh-CN"/>
              </w:rPr>
              <w:instrText xml:space="preserve"> = 2 \* GB3 \* MERGEFORMAT </w:instrText>
            </w:r>
            <w:r>
              <w:rPr>
                <w:rFonts w:hint="default" w:ascii="Times New Roman" w:hAnsi="Times New Roman" w:eastAsia="宋体" w:cs="Times New Roman"/>
                <w:snapToGrid w:val="0"/>
                <w:color w:val="auto"/>
                <w:spacing w:val="-6"/>
                <w:kern w:val="21"/>
                <w:sz w:val="21"/>
                <w:szCs w:val="21"/>
                <w:lang w:val="en-US" w:eastAsia="zh-CN"/>
              </w:rPr>
              <w:fldChar w:fldCharType="separate"/>
            </w:r>
            <w:r>
              <w:rPr>
                <w:rFonts w:hint="default" w:ascii="Times New Roman" w:hAnsi="Times New Roman" w:eastAsia="宋体" w:cs="Times New Roman"/>
                <w:snapToGrid w:val="0"/>
                <w:color w:val="auto"/>
                <w:spacing w:val="-6"/>
                <w:kern w:val="21"/>
                <w:sz w:val="21"/>
                <w:szCs w:val="21"/>
                <w:lang w:val="en-US" w:eastAsia="zh-CN"/>
              </w:rPr>
              <w:t>②</w:t>
            </w:r>
            <w:r>
              <w:rPr>
                <w:rFonts w:hint="default" w:ascii="Times New Roman" w:hAnsi="Times New Roman" w:eastAsia="宋体" w:cs="Times New Roman"/>
                <w:snapToGrid w:val="0"/>
                <w:color w:val="auto"/>
                <w:spacing w:val="-6"/>
                <w:kern w:val="21"/>
                <w:sz w:val="21"/>
                <w:szCs w:val="21"/>
                <w:lang w:val="en-US" w:eastAsia="zh-CN"/>
              </w:rPr>
              <w:fldChar w:fldCharType="end"/>
            </w:r>
          </w:p>
        </w:tc>
        <w:tc>
          <w:tcPr>
            <w:tcW w:w="1701" w:type="dxa"/>
            <w:noWrap w:val="0"/>
            <w:tcMar>
              <w:left w:w="28" w:type="dxa"/>
              <w:right w:w="28" w:type="dxa"/>
            </w:tcMar>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在建工程</w:t>
            </w:r>
          </w:p>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排放量t/a（固体废物产生量）</w:t>
            </w:r>
            <w:r>
              <w:rPr>
                <w:rFonts w:hint="default" w:ascii="Times New Roman" w:hAnsi="Times New Roman" w:eastAsia="宋体" w:cs="Times New Roman"/>
                <w:snapToGrid w:val="0"/>
                <w:color w:val="auto"/>
                <w:spacing w:val="-6"/>
                <w:kern w:val="21"/>
                <w:sz w:val="21"/>
                <w:szCs w:val="21"/>
                <w:lang w:val="en-US" w:eastAsia="zh-CN"/>
              </w:rPr>
              <w:fldChar w:fldCharType="begin"/>
            </w:r>
            <w:r>
              <w:rPr>
                <w:rFonts w:hint="default" w:ascii="Times New Roman" w:hAnsi="Times New Roman" w:eastAsia="宋体" w:cs="Times New Roman"/>
                <w:snapToGrid w:val="0"/>
                <w:color w:val="auto"/>
                <w:spacing w:val="-6"/>
                <w:kern w:val="21"/>
                <w:sz w:val="21"/>
                <w:szCs w:val="21"/>
                <w:lang w:val="en-US" w:eastAsia="zh-CN"/>
              </w:rPr>
              <w:instrText xml:space="preserve"> = 3 \* GB3 \* MERGEFORMAT </w:instrText>
            </w:r>
            <w:r>
              <w:rPr>
                <w:rFonts w:hint="default" w:ascii="Times New Roman" w:hAnsi="Times New Roman" w:eastAsia="宋体" w:cs="Times New Roman"/>
                <w:snapToGrid w:val="0"/>
                <w:color w:val="auto"/>
                <w:spacing w:val="-6"/>
                <w:kern w:val="21"/>
                <w:sz w:val="21"/>
                <w:szCs w:val="21"/>
                <w:lang w:val="en-US" w:eastAsia="zh-CN"/>
              </w:rPr>
              <w:fldChar w:fldCharType="separate"/>
            </w:r>
            <w:r>
              <w:rPr>
                <w:rFonts w:hint="default" w:ascii="Times New Roman" w:hAnsi="Times New Roman" w:eastAsia="宋体" w:cs="Times New Roman"/>
                <w:color w:val="auto"/>
                <w:kern w:val="2"/>
                <w:sz w:val="21"/>
                <w:szCs w:val="21"/>
                <w:lang w:val="en-US" w:eastAsia="zh-CN"/>
              </w:rPr>
              <w:t>③</w:t>
            </w:r>
            <w:r>
              <w:rPr>
                <w:rFonts w:hint="default" w:ascii="Times New Roman" w:hAnsi="Times New Roman" w:eastAsia="宋体" w:cs="Times New Roman"/>
                <w:snapToGrid w:val="0"/>
                <w:color w:val="auto"/>
                <w:spacing w:val="-6"/>
                <w:kern w:val="21"/>
                <w:sz w:val="21"/>
                <w:szCs w:val="21"/>
                <w:lang w:val="en-US" w:eastAsia="zh-CN"/>
              </w:rPr>
              <w:fldChar w:fldCharType="end"/>
            </w:r>
          </w:p>
        </w:tc>
        <w:tc>
          <w:tcPr>
            <w:tcW w:w="1560" w:type="dxa"/>
            <w:noWrap w:val="0"/>
            <w:tcMar>
              <w:left w:w="28" w:type="dxa"/>
              <w:right w:w="28" w:type="dxa"/>
            </w:tcMar>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本项目</w:t>
            </w:r>
          </w:p>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排放量t/a（固体废物产生量）</w:t>
            </w:r>
            <w:r>
              <w:rPr>
                <w:rFonts w:hint="default" w:ascii="Times New Roman" w:hAnsi="Times New Roman" w:eastAsia="宋体" w:cs="Times New Roman"/>
                <w:snapToGrid w:val="0"/>
                <w:color w:val="auto"/>
                <w:spacing w:val="-6"/>
                <w:kern w:val="21"/>
                <w:sz w:val="21"/>
                <w:szCs w:val="21"/>
                <w:lang w:val="en-US" w:eastAsia="zh-CN"/>
              </w:rPr>
              <w:fldChar w:fldCharType="begin"/>
            </w:r>
            <w:r>
              <w:rPr>
                <w:rFonts w:hint="default" w:ascii="Times New Roman" w:hAnsi="Times New Roman" w:eastAsia="宋体" w:cs="Times New Roman"/>
                <w:snapToGrid w:val="0"/>
                <w:color w:val="auto"/>
                <w:spacing w:val="-6"/>
                <w:kern w:val="21"/>
                <w:sz w:val="21"/>
                <w:szCs w:val="21"/>
                <w:lang w:val="en-US" w:eastAsia="zh-CN"/>
              </w:rPr>
              <w:instrText xml:space="preserve"> = 4 \* GB3 \* MERGEFORMAT </w:instrText>
            </w:r>
            <w:r>
              <w:rPr>
                <w:rFonts w:hint="default" w:ascii="Times New Roman" w:hAnsi="Times New Roman" w:eastAsia="宋体" w:cs="Times New Roman"/>
                <w:snapToGrid w:val="0"/>
                <w:color w:val="auto"/>
                <w:spacing w:val="-6"/>
                <w:kern w:val="21"/>
                <w:sz w:val="21"/>
                <w:szCs w:val="21"/>
                <w:lang w:val="en-US" w:eastAsia="zh-CN"/>
              </w:rPr>
              <w:fldChar w:fldCharType="separate"/>
            </w:r>
            <w:r>
              <w:rPr>
                <w:rFonts w:hint="default" w:ascii="Times New Roman" w:hAnsi="Times New Roman" w:eastAsia="宋体" w:cs="Times New Roman"/>
                <w:color w:val="auto"/>
                <w:kern w:val="2"/>
                <w:sz w:val="21"/>
                <w:szCs w:val="21"/>
                <w:lang w:val="en-US" w:eastAsia="zh-CN"/>
              </w:rPr>
              <w:t>④</w:t>
            </w:r>
            <w:r>
              <w:rPr>
                <w:rFonts w:hint="default" w:ascii="Times New Roman" w:hAnsi="Times New Roman" w:eastAsia="宋体" w:cs="Times New Roman"/>
                <w:snapToGrid w:val="0"/>
                <w:color w:val="auto"/>
                <w:spacing w:val="-6"/>
                <w:kern w:val="21"/>
                <w:sz w:val="21"/>
                <w:szCs w:val="21"/>
                <w:lang w:val="en-US" w:eastAsia="zh-CN"/>
              </w:rPr>
              <w:fldChar w:fldCharType="end"/>
            </w:r>
          </w:p>
        </w:tc>
        <w:tc>
          <w:tcPr>
            <w:tcW w:w="1842" w:type="dxa"/>
            <w:noWrap w:val="0"/>
            <w:tcMar>
              <w:left w:w="28" w:type="dxa"/>
              <w:right w:w="28" w:type="dxa"/>
            </w:tcMar>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16"/>
                <w:kern w:val="21"/>
                <w:sz w:val="21"/>
                <w:szCs w:val="21"/>
                <w:lang w:val="en-US" w:eastAsia="zh-CN"/>
              </w:rPr>
            </w:pPr>
            <w:r>
              <w:rPr>
                <w:rFonts w:hint="default" w:ascii="Times New Roman" w:hAnsi="Times New Roman" w:eastAsia="宋体" w:cs="Times New Roman"/>
                <w:snapToGrid w:val="0"/>
                <w:color w:val="auto"/>
                <w:spacing w:val="-16"/>
                <w:kern w:val="21"/>
                <w:sz w:val="21"/>
                <w:szCs w:val="21"/>
                <w:lang w:val="en-US" w:eastAsia="zh-CN"/>
              </w:rPr>
              <w:t>以新带老削减量</w:t>
            </w:r>
            <w:r>
              <w:rPr>
                <w:rFonts w:hint="default" w:ascii="Times New Roman" w:hAnsi="Times New Roman" w:eastAsia="宋体" w:cs="Times New Roman"/>
                <w:snapToGrid w:val="0"/>
                <w:color w:val="auto"/>
                <w:spacing w:val="-6"/>
                <w:kern w:val="21"/>
                <w:sz w:val="21"/>
                <w:szCs w:val="21"/>
                <w:lang w:val="en-US" w:eastAsia="zh-CN"/>
              </w:rPr>
              <w:t>t/a</w:t>
            </w:r>
          </w:p>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16"/>
                <w:kern w:val="21"/>
                <w:sz w:val="21"/>
                <w:szCs w:val="21"/>
                <w:lang w:val="en-US" w:eastAsia="zh-CN"/>
              </w:rPr>
            </w:pPr>
            <w:r>
              <w:rPr>
                <w:rFonts w:hint="default" w:ascii="Times New Roman" w:hAnsi="Times New Roman" w:eastAsia="宋体" w:cs="Times New Roman"/>
                <w:snapToGrid w:val="0"/>
                <w:color w:val="auto"/>
                <w:spacing w:val="-16"/>
                <w:kern w:val="21"/>
                <w:sz w:val="21"/>
                <w:szCs w:val="21"/>
                <w:lang w:val="en-US" w:eastAsia="zh-CN"/>
              </w:rPr>
              <w:t>（新建项目不填）</w:t>
            </w:r>
            <w:r>
              <w:rPr>
                <w:rFonts w:hint="default" w:ascii="Times New Roman" w:hAnsi="Times New Roman" w:eastAsia="宋体" w:cs="Times New Roman"/>
                <w:snapToGrid w:val="0"/>
                <w:color w:val="auto"/>
                <w:spacing w:val="-16"/>
                <w:kern w:val="21"/>
                <w:sz w:val="21"/>
                <w:szCs w:val="21"/>
                <w:lang w:val="en-US" w:eastAsia="zh-CN"/>
              </w:rPr>
              <w:fldChar w:fldCharType="begin"/>
            </w:r>
            <w:r>
              <w:rPr>
                <w:rFonts w:hint="default" w:ascii="Times New Roman" w:hAnsi="Times New Roman" w:eastAsia="宋体" w:cs="Times New Roman"/>
                <w:snapToGrid w:val="0"/>
                <w:color w:val="auto"/>
                <w:spacing w:val="-16"/>
                <w:kern w:val="21"/>
                <w:sz w:val="21"/>
                <w:szCs w:val="21"/>
                <w:lang w:val="en-US" w:eastAsia="zh-CN"/>
              </w:rPr>
              <w:instrText xml:space="preserve"> = 5 \* GB3 \* MERGEFORMAT </w:instrText>
            </w:r>
            <w:r>
              <w:rPr>
                <w:rFonts w:hint="default" w:ascii="Times New Roman" w:hAnsi="Times New Roman" w:eastAsia="宋体" w:cs="Times New Roman"/>
                <w:snapToGrid w:val="0"/>
                <w:color w:val="auto"/>
                <w:spacing w:val="-16"/>
                <w:kern w:val="21"/>
                <w:sz w:val="21"/>
                <w:szCs w:val="21"/>
                <w:lang w:val="en-US" w:eastAsia="zh-CN"/>
              </w:rPr>
              <w:fldChar w:fldCharType="separate"/>
            </w:r>
            <w:r>
              <w:rPr>
                <w:rFonts w:hint="default" w:ascii="Times New Roman" w:hAnsi="Times New Roman" w:eastAsia="宋体" w:cs="Times New Roman"/>
                <w:color w:val="auto"/>
                <w:kern w:val="2"/>
                <w:sz w:val="21"/>
                <w:szCs w:val="21"/>
                <w:lang w:val="en-US" w:eastAsia="zh-CN"/>
              </w:rPr>
              <w:t>⑤</w:t>
            </w:r>
            <w:r>
              <w:rPr>
                <w:rFonts w:hint="default" w:ascii="Times New Roman" w:hAnsi="Times New Roman" w:eastAsia="宋体" w:cs="Times New Roman"/>
                <w:snapToGrid w:val="0"/>
                <w:color w:val="auto"/>
                <w:spacing w:val="-16"/>
                <w:kern w:val="21"/>
                <w:sz w:val="21"/>
                <w:szCs w:val="21"/>
                <w:lang w:val="en-US" w:eastAsia="zh-CN"/>
              </w:rPr>
              <w:fldChar w:fldCharType="end"/>
            </w:r>
          </w:p>
        </w:tc>
        <w:tc>
          <w:tcPr>
            <w:tcW w:w="1843" w:type="dxa"/>
            <w:noWrap w:val="0"/>
            <w:tcMar>
              <w:left w:w="28" w:type="dxa"/>
              <w:right w:w="28" w:type="dxa"/>
            </w:tcMar>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16"/>
                <w:kern w:val="21"/>
                <w:sz w:val="21"/>
                <w:szCs w:val="21"/>
                <w:lang w:val="en-US" w:eastAsia="zh-CN"/>
              </w:rPr>
            </w:pPr>
            <w:r>
              <w:rPr>
                <w:rFonts w:hint="default" w:ascii="Times New Roman" w:hAnsi="Times New Roman" w:eastAsia="宋体" w:cs="Times New Roman"/>
                <w:snapToGrid w:val="0"/>
                <w:color w:val="auto"/>
                <w:spacing w:val="-16"/>
                <w:kern w:val="21"/>
                <w:sz w:val="21"/>
                <w:szCs w:val="21"/>
                <w:lang w:val="en-US" w:eastAsia="zh-CN"/>
              </w:rPr>
              <w:t>本项目建成后</w:t>
            </w:r>
          </w:p>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16"/>
                <w:kern w:val="21"/>
                <w:sz w:val="21"/>
                <w:szCs w:val="21"/>
                <w:lang w:val="en-US" w:eastAsia="zh-CN"/>
              </w:rPr>
            </w:pPr>
            <w:r>
              <w:rPr>
                <w:rFonts w:hint="default" w:ascii="Times New Roman" w:hAnsi="Times New Roman" w:eastAsia="宋体" w:cs="Times New Roman"/>
                <w:snapToGrid w:val="0"/>
                <w:color w:val="auto"/>
                <w:spacing w:val="-16"/>
                <w:kern w:val="21"/>
                <w:sz w:val="21"/>
                <w:szCs w:val="21"/>
                <w:lang w:val="en-US" w:eastAsia="zh-CN"/>
              </w:rPr>
              <w:t>全厂排放量</w:t>
            </w:r>
            <w:r>
              <w:rPr>
                <w:rFonts w:hint="default" w:ascii="Times New Roman" w:hAnsi="Times New Roman" w:eastAsia="宋体" w:cs="Times New Roman"/>
                <w:snapToGrid w:val="0"/>
                <w:color w:val="auto"/>
                <w:spacing w:val="-6"/>
                <w:kern w:val="21"/>
                <w:sz w:val="21"/>
                <w:szCs w:val="21"/>
                <w:lang w:val="en-US" w:eastAsia="zh-CN"/>
              </w:rPr>
              <w:t>t/a</w:t>
            </w:r>
            <w:r>
              <w:rPr>
                <w:rFonts w:hint="default" w:ascii="Times New Roman" w:hAnsi="Times New Roman" w:eastAsia="宋体" w:cs="Times New Roman"/>
                <w:snapToGrid w:val="0"/>
                <w:color w:val="auto"/>
                <w:spacing w:val="-16"/>
                <w:kern w:val="21"/>
                <w:sz w:val="21"/>
                <w:szCs w:val="21"/>
                <w:lang w:val="en-US" w:eastAsia="zh-CN"/>
              </w:rPr>
              <w:t>（固体废物产生量）</w:t>
            </w:r>
            <w:r>
              <w:rPr>
                <w:rFonts w:hint="default" w:ascii="Times New Roman" w:hAnsi="Times New Roman" w:eastAsia="宋体" w:cs="Times New Roman"/>
                <w:snapToGrid w:val="0"/>
                <w:color w:val="auto"/>
                <w:spacing w:val="-16"/>
                <w:kern w:val="21"/>
                <w:sz w:val="21"/>
                <w:szCs w:val="21"/>
                <w:lang w:val="en-US" w:eastAsia="zh-CN"/>
              </w:rPr>
              <w:fldChar w:fldCharType="begin"/>
            </w:r>
            <w:r>
              <w:rPr>
                <w:rFonts w:hint="default" w:ascii="Times New Roman" w:hAnsi="Times New Roman" w:eastAsia="宋体" w:cs="Times New Roman"/>
                <w:snapToGrid w:val="0"/>
                <w:color w:val="auto"/>
                <w:spacing w:val="-16"/>
                <w:kern w:val="21"/>
                <w:sz w:val="21"/>
                <w:szCs w:val="21"/>
                <w:lang w:val="en-US" w:eastAsia="zh-CN"/>
              </w:rPr>
              <w:instrText xml:space="preserve"> = 6 \* GB3 \* MERGEFORMAT </w:instrText>
            </w:r>
            <w:r>
              <w:rPr>
                <w:rFonts w:hint="default" w:ascii="Times New Roman" w:hAnsi="Times New Roman" w:eastAsia="宋体" w:cs="Times New Roman"/>
                <w:snapToGrid w:val="0"/>
                <w:color w:val="auto"/>
                <w:spacing w:val="-16"/>
                <w:kern w:val="21"/>
                <w:sz w:val="21"/>
                <w:szCs w:val="21"/>
                <w:lang w:val="en-US" w:eastAsia="zh-CN"/>
              </w:rPr>
              <w:fldChar w:fldCharType="separate"/>
            </w:r>
            <w:r>
              <w:rPr>
                <w:rFonts w:hint="default" w:ascii="Times New Roman" w:hAnsi="Times New Roman" w:eastAsia="宋体" w:cs="Times New Roman"/>
                <w:color w:val="auto"/>
                <w:kern w:val="2"/>
                <w:sz w:val="21"/>
                <w:szCs w:val="21"/>
                <w:lang w:val="en-US" w:eastAsia="zh-CN"/>
              </w:rPr>
              <w:t>⑥</w:t>
            </w:r>
            <w:r>
              <w:rPr>
                <w:rFonts w:hint="default" w:ascii="Times New Roman" w:hAnsi="Times New Roman" w:eastAsia="宋体" w:cs="Times New Roman"/>
                <w:snapToGrid w:val="0"/>
                <w:color w:val="auto"/>
                <w:spacing w:val="-16"/>
                <w:kern w:val="21"/>
                <w:sz w:val="21"/>
                <w:szCs w:val="21"/>
                <w:lang w:val="en-US" w:eastAsia="zh-CN"/>
              </w:rPr>
              <w:fldChar w:fldCharType="end"/>
            </w:r>
          </w:p>
        </w:tc>
        <w:tc>
          <w:tcPr>
            <w:tcW w:w="1276" w:type="dxa"/>
            <w:noWrap w:val="0"/>
            <w:tcMar>
              <w:left w:w="28" w:type="dxa"/>
              <w:right w:w="28" w:type="dxa"/>
            </w:tcMar>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变化量t/a</w:t>
            </w:r>
          </w:p>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fldChar w:fldCharType="begin"/>
            </w:r>
            <w:r>
              <w:rPr>
                <w:rFonts w:hint="default" w:ascii="Times New Roman" w:hAnsi="Times New Roman" w:eastAsia="宋体" w:cs="Times New Roman"/>
                <w:snapToGrid w:val="0"/>
                <w:color w:val="auto"/>
                <w:spacing w:val="-6"/>
                <w:kern w:val="21"/>
                <w:sz w:val="21"/>
                <w:szCs w:val="21"/>
                <w:lang w:val="en-US" w:eastAsia="zh-CN"/>
              </w:rPr>
              <w:instrText xml:space="preserve"> = 7 \* GB3 \* MERGEFORMAT </w:instrText>
            </w:r>
            <w:r>
              <w:rPr>
                <w:rFonts w:hint="default" w:ascii="Times New Roman" w:hAnsi="Times New Roman" w:eastAsia="宋体" w:cs="Times New Roman"/>
                <w:snapToGrid w:val="0"/>
                <w:color w:val="auto"/>
                <w:spacing w:val="-6"/>
                <w:kern w:val="21"/>
                <w:sz w:val="21"/>
                <w:szCs w:val="21"/>
                <w:lang w:val="en-US" w:eastAsia="zh-CN"/>
              </w:rPr>
              <w:fldChar w:fldCharType="separate"/>
            </w:r>
            <w:r>
              <w:rPr>
                <w:rFonts w:hint="default" w:ascii="Times New Roman" w:hAnsi="Times New Roman" w:eastAsia="宋体" w:cs="Times New Roman"/>
                <w:color w:val="auto"/>
                <w:kern w:val="2"/>
                <w:sz w:val="21"/>
                <w:szCs w:val="21"/>
                <w:lang w:val="en-US" w:eastAsia="zh-CN"/>
              </w:rPr>
              <w:t>⑦</w:t>
            </w:r>
            <w:r>
              <w:rPr>
                <w:rFonts w:hint="default" w:ascii="Times New Roman" w:hAnsi="Times New Roman" w:eastAsia="宋体" w:cs="Times New Roman"/>
                <w:snapToGrid w:val="0"/>
                <w:color w:val="auto"/>
                <w:spacing w:val="-6"/>
                <w:kern w:val="21"/>
                <w:sz w:val="21"/>
                <w:szCs w:val="21"/>
                <w:lang w:val="en-US"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restart"/>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废气</w:t>
            </w: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颗粒物</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pStyle w:val="43"/>
              <w:kinsoku w:val="0"/>
              <w:overflowPunct w:val="0"/>
              <w:autoSpaceDE w:val="0"/>
              <w:autoSpaceDN w:val="0"/>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0.009</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pStyle w:val="43"/>
              <w:kinsoku w:val="0"/>
              <w:overflowPunct w:val="0"/>
              <w:autoSpaceDE w:val="0"/>
              <w:autoSpaceDN w:val="0"/>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0.009</w:t>
            </w:r>
          </w:p>
        </w:tc>
        <w:tc>
          <w:tcPr>
            <w:tcW w:w="1276" w:type="dxa"/>
            <w:noWrap w:val="0"/>
            <w:vAlign w:val="center"/>
          </w:tcPr>
          <w:p>
            <w:pPr>
              <w:pStyle w:val="43"/>
              <w:kinsoku w:val="0"/>
              <w:overflowPunct w:val="0"/>
              <w:autoSpaceDE w:val="0"/>
              <w:autoSpaceDN w:val="0"/>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二氧化硫</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pStyle w:val="43"/>
              <w:kinsoku w:val="0"/>
              <w:overflowPunct w:val="0"/>
              <w:autoSpaceDE w:val="0"/>
              <w:autoSpaceDN w:val="0"/>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0.31</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pStyle w:val="43"/>
              <w:kinsoku w:val="0"/>
              <w:overflowPunct w:val="0"/>
              <w:autoSpaceDE w:val="0"/>
              <w:autoSpaceDN w:val="0"/>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0.31</w:t>
            </w:r>
          </w:p>
        </w:tc>
        <w:tc>
          <w:tcPr>
            <w:tcW w:w="1276" w:type="dxa"/>
            <w:noWrap w:val="0"/>
            <w:vAlign w:val="center"/>
          </w:tcPr>
          <w:p>
            <w:pPr>
              <w:pStyle w:val="43"/>
              <w:kinsoku w:val="0"/>
              <w:overflowPunct w:val="0"/>
              <w:autoSpaceDE w:val="0"/>
              <w:autoSpaceDN w:val="0"/>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氮氧化物</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pStyle w:val="43"/>
              <w:kinsoku w:val="0"/>
              <w:overflowPunct w:val="0"/>
              <w:autoSpaceDE w:val="0"/>
              <w:autoSpaceDN w:val="0"/>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1.89</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pStyle w:val="43"/>
              <w:kinsoku w:val="0"/>
              <w:overflowPunct w:val="0"/>
              <w:autoSpaceDE w:val="0"/>
              <w:autoSpaceDN w:val="0"/>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1.89</w:t>
            </w:r>
          </w:p>
        </w:tc>
        <w:tc>
          <w:tcPr>
            <w:tcW w:w="1276" w:type="dxa"/>
            <w:noWrap w:val="0"/>
            <w:vAlign w:val="center"/>
          </w:tcPr>
          <w:p>
            <w:pPr>
              <w:pStyle w:val="43"/>
              <w:kinsoku w:val="0"/>
              <w:overflowPunct w:val="0"/>
              <w:autoSpaceDE w:val="0"/>
              <w:autoSpaceDN w:val="0"/>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工业粉尘</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3.108</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3.108</w:t>
            </w:r>
          </w:p>
        </w:tc>
        <w:tc>
          <w:tcPr>
            <w:tcW w:w="1276"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+3.108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autoSpaceDE w:val="0"/>
              <w:autoSpaceDN w:val="0"/>
              <w:bidi w:val="0"/>
              <w:adjustRightInd w:val="0"/>
              <w:snapToGrid w:val="0"/>
              <w:spacing w:beforeAutospacing="0" w:afterAutospacing="0"/>
              <w:ind w:left="0" w:leftChars="0" w:right="0" w:rightChars="0"/>
              <w:jc w:val="center"/>
              <w:rPr>
                <w:rFonts w:hint="default" w:ascii="Times New Roman" w:hAnsi="Times New Roman" w:eastAsia="宋体" w:cs="Times New Roman"/>
                <w:b/>
                <w:bCs/>
                <w:snapToGrid w:val="0"/>
                <w:color w:val="auto"/>
                <w:kern w:val="21"/>
                <w:sz w:val="21"/>
                <w:szCs w:val="21"/>
              </w:rPr>
            </w:pPr>
            <w:r>
              <w:rPr>
                <w:rFonts w:hint="default" w:ascii="Times New Roman" w:hAnsi="Times New Roman" w:eastAsia="宋体" w:cs="Times New Roman"/>
                <w:color w:val="auto"/>
                <w:sz w:val="21"/>
                <w:szCs w:val="21"/>
              </w:rPr>
              <w:t>硫酸</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autoSpaceDE w:val="0"/>
              <w:autoSpaceDN w:val="0"/>
              <w:spacing w:line="240" w:lineRule="auto"/>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0.00079</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autoSpaceDE w:val="0"/>
              <w:autoSpaceDN w:val="0"/>
              <w:spacing w:line="240" w:lineRule="auto"/>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0.00079</w:t>
            </w:r>
          </w:p>
        </w:tc>
        <w:tc>
          <w:tcPr>
            <w:tcW w:w="1276" w:type="dxa"/>
            <w:noWrap w:val="0"/>
            <w:vAlign w:val="center"/>
          </w:tcPr>
          <w:p>
            <w:pPr>
              <w:autoSpaceDE w:val="0"/>
              <w:autoSpaceDN w:val="0"/>
              <w:spacing w:line="240" w:lineRule="auto"/>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+0.00079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restart"/>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废水</w:t>
            </w:r>
          </w:p>
        </w:tc>
        <w:tc>
          <w:tcPr>
            <w:tcW w:w="1905" w:type="dxa"/>
            <w:tcBorders>
              <w:bottom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COD</w:t>
            </w:r>
          </w:p>
        </w:tc>
        <w:tc>
          <w:tcPr>
            <w:tcW w:w="1578" w:type="dxa"/>
            <w:tcBorders>
              <w:bottom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tcBorders>
              <w:bottom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tcBorders>
              <w:bottom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tcBorders>
              <w:bottom w:val="single" w:color="auto" w:sz="2" w:space="0"/>
            </w:tcBorders>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0.161</w:t>
            </w:r>
          </w:p>
        </w:tc>
        <w:tc>
          <w:tcPr>
            <w:tcW w:w="1842" w:type="dxa"/>
            <w:tcBorders>
              <w:bottom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tcBorders>
              <w:bottom w:val="single" w:color="auto" w:sz="2" w:space="0"/>
            </w:tcBorders>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0.161</w:t>
            </w:r>
          </w:p>
        </w:tc>
        <w:tc>
          <w:tcPr>
            <w:tcW w:w="1276" w:type="dxa"/>
            <w:tcBorders>
              <w:bottom w:val="single" w:color="auto" w:sz="2" w:space="0"/>
            </w:tcBorders>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+0.161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tcBorders>
              <w:top w:val="single" w:color="auto" w:sz="2" w:space="0"/>
              <w:bottom w:val="single" w:color="auto" w:sz="2" w:space="0"/>
            </w:tcBorders>
            <w:noWrap w:val="0"/>
            <w:vAlign w:val="center"/>
          </w:tcPr>
          <w:p>
            <w:pPr>
              <w:pStyle w:val="39"/>
              <w:bidi w:val="0"/>
              <w:spacing w:beforeLines="0" w:beforeAutospacing="0" w:afterLines="0" w:afterAutospacing="0"/>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氨氮</w:t>
            </w:r>
          </w:p>
        </w:tc>
        <w:tc>
          <w:tcPr>
            <w:tcW w:w="1578" w:type="dxa"/>
            <w:tcBorders>
              <w:top w:val="single" w:color="auto" w:sz="2" w:space="0"/>
              <w:bottom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tcBorders>
              <w:top w:val="single" w:color="auto" w:sz="2" w:space="0"/>
              <w:bottom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tcBorders>
              <w:top w:val="single" w:color="auto" w:sz="2" w:space="0"/>
              <w:bottom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tcBorders>
              <w:top w:val="single" w:color="auto" w:sz="2" w:space="0"/>
              <w:bottom w:val="single" w:color="auto" w:sz="2" w:space="0"/>
            </w:tcBorders>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0.011</w:t>
            </w:r>
          </w:p>
        </w:tc>
        <w:tc>
          <w:tcPr>
            <w:tcW w:w="1842" w:type="dxa"/>
            <w:tcBorders>
              <w:top w:val="single" w:color="auto" w:sz="2" w:space="0"/>
              <w:bottom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tcBorders>
              <w:top w:val="single" w:color="auto" w:sz="2" w:space="0"/>
              <w:bottom w:val="single" w:color="auto" w:sz="2" w:space="0"/>
            </w:tcBorders>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0.011</w:t>
            </w:r>
          </w:p>
        </w:tc>
        <w:tc>
          <w:tcPr>
            <w:tcW w:w="1276" w:type="dxa"/>
            <w:tcBorders>
              <w:top w:val="single" w:color="auto" w:sz="2" w:space="0"/>
              <w:bottom w:val="single" w:color="auto" w:sz="2" w:space="0"/>
            </w:tcBorders>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+0.011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tcBorders>
              <w:top w:val="single" w:color="auto" w:sz="2" w:space="0"/>
            </w:tcBorders>
            <w:noWrap w:val="0"/>
            <w:vAlign w:val="center"/>
          </w:tcPr>
          <w:p>
            <w:pPr>
              <w:pStyle w:val="39"/>
              <w:bidi w:val="0"/>
              <w:spacing w:beforeLines="0" w:beforeAutospacing="0" w:afterLines="0" w:afterAutospacing="0"/>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SS</w:t>
            </w:r>
          </w:p>
        </w:tc>
        <w:tc>
          <w:tcPr>
            <w:tcW w:w="1578" w:type="dxa"/>
            <w:tcBorders>
              <w:top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tcBorders>
              <w:top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tcBorders>
              <w:top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tcBorders>
              <w:top w:val="single" w:color="auto" w:sz="2" w:space="0"/>
            </w:tcBorders>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0.07</w:t>
            </w:r>
          </w:p>
        </w:tc>
        <w:tc>
          <w:tcPr>
            <w:tcW w:w="1842" w:type="dxa"/>
            <w:tcBorders>
              <w:top w:val="single" w:color="auto" w:sz="2" w:space="0"/>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tcBorders>
              <w:top w:val="single" w:color="auto" w:sz="2" w:space="0"/>
            </w:tcBorders>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0.07</w:t>
            </w:r>
          </w:p>
        </w:tc>
        <w:tc>
          <w:tcPr>
            <w:tcW w:w="1276" w:type="dxa"/>
            <w:tcBorders>
              <w:top w:val="single" w:color="auto" w:sz="2" w:space="0"/>
            </w:tcBorders>
            <w:noWrap w:val="0"/>
            <w:vAlign w:val="center"/>
          </w:tcPr>
          <w:p>
            <w:pPr>
              <w:pStyle w:val="40"/>
              <w:bidi w:val="0"/>
              <w:adjustRightInd/>
              <w:snapToGrid/>
              <w:spacing w:beforeAutospacing="0" w:afterAutospacing="0" w:line="240" w:lineRule="auto"/>
              <w:ind w:left="0" w:leftChars="0" w:right="0" w:rightChars="0"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restart"/>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一般工业</w:t>
            </w:r>
          </w:p>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固体废物</w:t>
            </w: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生活垃圾</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1.56</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1.56</w:t>
            </w:r>
          </w:p>
        </w:tc>
        <w:tc>
          <w:tcPr>
            <w:tcW w:w="1276"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除尘灰</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0.911</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0.911</w:t>
            </w:r>
          </w:p>
        </w:tc>
        <w:tc>
          <w:tcPr>
            <w:tcW w:w="1276"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+0.911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生产工艺除尘灰（回用）</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autoSpaceDE w:val="0"/>
              <w:autoSpaceDN w:val="0"/>
              <w:bidi w:val="0"/>
              <w:spacing w:beforeAutospacing="0" w:afterAutospacing="0"/>
              <w:ind w:left="0" w:leftChars="0" w:right="0" w:rightChars="0"/>
              <w:contextualSpacing/>
              <w:jc w:val="center"/>
              <w:rPr>
                <w:rFonts w:hint="default" w:cs="Times New Roman"/>
                <w:color w:val="auto"/>
                <w:sz w:val="21"/>
                <w:szCs w:val="21"/>
                <w:lang w:val="en-US" w:eastAsia="zh-CN"/>
              </w:rPr>
            </w:pPr>
            <w:r>
              <w:rPr>
                <w:rFonts w:hint="eastAsia" w:cs="Times New Roman"/>
                <w:color w:val="auto"/>
                <w:sz w:val="21"/>
                <w:szCs w:val="21"/>
                <w:lang w:val="en-US" w:eastAsia="zh-CN"/>
              </w:rPr>
              <w:t>29.895</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autoSpaceDE w:val="0"/>
              <w:autoSpaceDN w:val="0"/>
              <w:bidi w:val="0"/>
              <w:spacing w:beforeAutospacing="0" w:afterAutospacing="0"/>
              <w:ind w:left="0" w:leftChars="0" w:right="0" w:rightChars="0"/>
              <w:contextualSpacing/>
              <w:jc w:val="center"/>
              <w:rPr>
                <w:rFonts w:hint="default" w:cs="Times New Roman"/>
                <w:color w:val="auto"/>
                <w:sz w:val="21"/>
                <w:szCs w:val="21"/>
                <w:lang w:val="en-US" w:eastAsia="zh-CN"/>
              </w:rPr>
            </w:pPr>
            <w:r>
              <w:rPr>
                <w:rFonts w:hint="eastAsia" w:cs="Times New Roman"/>
                <w:color w:val="auto"/>
                <w:sz w:val="21"/>
                <w:szCs w:val="21"/>
                <w:lang w:val="en-US" w:eastAsia="zh-CN"/>
              </w:rPr>
              <w:t>29.895</w:t>
            </w:r>
          </w:p>
        </w:tc>
        <w:tc>
          <w:tcPr>
            <w:tcW w:w="1276"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+29.895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废包装袋</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p>
        </w:tc>
        <w:tc>
          <w:tcPr>
            <w:tcW w:w="1560"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p>
        </w:tc>
        <w:tc>
          <w:tcPr>
            <w:tcW w:w="1843"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w:t>
            </w:r>
          </w:p>
        </w:tc>
        <w:tc>
          <w:tcPr>
            <w:tcW w:w="1276"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废离子交换树脂</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0.2t/3a</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0.2t/3a</w:t>
            </w:r>
          </w:p>
        </w:tc>
        <w:tc>
          <w:tcPr>
            <w:tcW w:w="1276"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0.2t/3a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tcBorders/>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炉渣</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169.3</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169.3</w:t>
            </w:r>
          </w:p>
        </w:tc>
        <w:tc>
          <w:tcPr>
            <w:tcW w:w="1276"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+169.3</w:t>
            </w:r>
            <w:bookmarkStart w:id="236" w:name="_GoBack"/>
            <w:bookmarkEnd w:id="236"/>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restart"/>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危险废物</w:t>
            </w: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化验室废液（HW49,900-047-49）</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560"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0.5</w:t>
            </w:r>
            <w:r>
              <w:rPr>
                <w:rFonts w:hint="eastAsia" w:ascii="Times New Roman" w:cs="Times New Roman"/>
                <w:snapToGrid w:val="0"/>
                <w:color w:val="auto"/>
                <w:kern w:val="21"/>
                <w:sz w:val="21"/>
                <w:szCs w:val="21"/>
                <w:lang w:val="en-US" w:eastAsia="zh-CN"/>
              </w:rPr>
              <w:t>1</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843"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0.5</w:t>
            </w:r>
            <w:r>
              <w:rPr>
                <w:rFonts w:hint="eastAsia" w:ascii="Times New Roman" w:cs="Times New Roman"/>
                <w:snapToGrid w:val="0"/>
                <w:color w:val="auto"/>
                <w:kern w:val="21"/>
                <w:sz w:val="21"/>
                <w:szCs w:val="21"/>
                <w:lang w:val="en-US" w:eastAsia="zh-CN"/>
              </w:rPr>
              <w:t>1</w:t>
            </w:r>
          </w:p>
        </w:tc>
        <w:tc>
          <w:tcPr>
            <w:tcW w:w="1276"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+0.5</w:t>
            </w:r>
            <w:r>
              <w:rPr>
                <w:rFonts w:hint="eastAsia" w:ascii="Times New Roman" w:cs="Times New Roman"/>
                <w:snapToGrid w:val="0"/>
                <w:color w:val="auto"/>
                <w:kern w:val="21"/>
                <w:sz w:val="21"/>
                <w:szCs w:val="21"/>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38" w:type="dxa"/>
            <w:vMerge w:val="continue"/>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rPr>
            </w:pPr>
          </w:p>
        </w:tc>
        <w:tc>
          <w:tcPr>
            <w:tcW w:w="190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过期实验药品及废弃实验药品容器</w:t>
            </w:r>
            <w:r>
              <w:rPr>
                <w:rFonts w:hint="default" w:ascii="Times New Roman" w:hAnsi="Times New Roman" w:eastAsia="宋体" w:cs="Times New Roman"/>
                <w:snapToGrid w:val="0"/>
                <w:color w:val="auto"/>
                <w:kern w:val="21"/>
                <w:sz w:val="21"/>
                <w:szCs w:val="21"/>
                <w:lang w:val="en-US" w:eastAsia="zh-CN"/>
              </w:rPr>
              <w:t>（HW49,900-047-49）</w:t>
            </w:r>
          </w:p>
        </w:tc>
        <w:tc>
          <w:tcPr>
            <w:tcW w:w="1578"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p>
        </w:tc>
        <w:tc>
          <w:tcPr>
            <w:tcW w:w="1275"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p>
        </w:tc>
        <w:tc>
          <w:tcPr>
            <w:tcW w:w="1701"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18"/>
                <w:szCs w:val="18"/>
                <w:lang w:val="en-US" w:eastAsia="zh-CN" w:bidi="ar-SA"/>
              </w:rPr>
            </w:pPr>
          </w:p>
        </w:tc>
        <w:tc>
          <w:tcPr>
            <w:tcW w:w="1560"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w:t>
            </w:r>
          </w:p>
        </w:tc>
        <w:tc>
          <w:tcPr>
            <w:tcW w:w="1842" w:type="dxa"/>
            <w:noWrap w:val="0"/>
            <w:vAlign w:val="center"/>
          </w:tcPr>
          <w:p>
            <w:pPr>
              <w:pStyle w:val="39"/>
              <w:bidi w:val="0"/>
              <w:spacing w:beforeLines="0" w:beforeAutospacing="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p>
        </w:tc>
        <w:tc>
          <w:tcPr>
            <w:tcW w:w="1843"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w:t>
            </w:r>
          </w:p>
        </w:tc>
        <w:tc>
          <w:tcPr>
            <w:tcW w:w="1276" w:type="dxa"/>
            <w:noWrap w:val="0"/>
            <w:vAlign w:val="center"/>
          </w:tcPr>
          <w:p>
            <w:pPr>
              <w:autoSpaceDE w:val="0"/>
              <w:autoSpaceDN w:val="0"/>
              <w:bidi w:val="0"/>
              <w:spacing w:beforeAutospacing="0" w:afterAutospacing="0"/>
              <w:ind w:left="0" w:leftChars="0" w:right="0" w:rightChars="0"/>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w:t>
            </w:r>
          </w:p>
        </w:tc>
      </w:tr>
    </w:tbl>
    <w:p>
      <w:pPr>
        <w:pStyle w:val="39"/>
        <w:bidi w:val="0"/>
        <w:spacing w:beforeLines="0" w:beforeAutospacing="0" w:afterLines="0" w:afterAutospacing="0"/>
        <w:ind w:left="0" w:leftChars="0" w:right="0" w:rightChars="0"/>
        <w:jc w:val="left"/>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kern w:val="21"/>
          <w:szCs w:val="21"/>
        </w:rPr>
        <w:t>注：</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3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③</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4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④</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5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⑤</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7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⑦</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p>
    <w:p>
      <w:pPr>
        <w:bidi w:val="0"/>
        <w:spacing w:beforeAutospacing="0" w:afterAutospacing="0"/>
        <w:ind w:left="0" w:leftChars="0" w:right="0" w:rightChars="0"/>
        <w:rPr>
          <w:rFonts w:hint="default" w:ascii="Times New Roman" w:hAnsi="Times New Roman" w:eastAsia="宋体" w:cs="Times New Roman"/>
          <w:color w:val="auto"/>
        </w:rPr>
      </w:pPr>
    </w:p>
    <w:p>
      <w:pPr>
        <w:bidi w:val="0"/>
        <w:adjustRightInd w:val="0"/>
        <w:snapToGrid w:val="0"/>
        <w:spacing w:beforeAutospacing="0" w:afterAutospacing="0"/>
        <w:ind w:left="0" w:leftChars="0" w:right="0" w:rightChars="0"/>
        <w:rPr>
          <w:rFonts w:hint="default" w:ascii="Times New Roman" w:hAnsi="Times New Roman" w:eastAsia="宋体" w:cs="Times New Roman"/>
          <w:color w:val="auto"/>
        </w:r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32"/>
          <w:szCs w:val="32"/>
          <w:lang w:eastAsia="zh-CN"/>
        </w:rPr>
        <w:sectPr>
          <w:type w:val="continuous"/>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70" w:name="_Toc32654"/>
      <w:r>
        <w:rPr>
          <w:rFonts w:hint="default" w:ascii="Times New Roman" w:hAnsi="Times New Roman" w:eastAsia="宋体" w:cs="Times New Roman"/>
          <w:b/>
          <w:bCs/>
          <w:snapToGrid w:val="0"/>
          <w:color w:val="auto"/>
          <w:sz w:val="28"/>
          <w:szCs w:val="28"/>
          <w:lang w:val="en-US" w:eastAsia="zh-CN"/>
        </w:rPr>
        <w:t>附图1  项目地理位置图</w:t>
      </w:r>
      <w:bookmarkEnd w:id="70"/>
    </w:p>
    <w:p>
      <w:pPr>
        <w:bidi w:val="0"/>
        <w:spacing w:beforeAutospacing="0" w:afterAutospacing="0"/>
        <w:ind w:left="0" w:leftChars="0" w:right="0" w:rightChars="0"/>
        <w:jc w:val="center"/>
        <w:rPr>
          <w:rFonts w:hint="default" w:ascii="Times New Roman" w:hAnsi="Times New Roman" w:eastAsia="宋体" w:cs="Times New Roman"/>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drawing>
          <wp:anchor distT="0" distB="0" distL="114300" distR="114300" simplePos="0" relativeHeight="251684864" behindDoc="0" locked="0" layoutInCell="1" allowOverlap="1">
            <wp:simplePos x="0" y="0"/>
            <wp:positionH relativeFrom="margin">
              <wp:posOffset>7313930</wp:posOffset>
            </wp:positionH>
            <wp:positionV relativeFrom="paragraph">
              <wp:posOffset>51435</wp:posOffset>
            </wp:positionV>
            <wp:extent cx="631190" cy="865505"/>
            <wp:effectExtent l="0" t="0" r="16510" b="10795"/>
            <wp:wrapNone/>
            <wp:docPr id="83" name="图片 11" descr="风玫瑰方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1" descr="风玫瑰方位图"/>
                    <pic:cNvPicPr>
                      <a:picLocks noChangeAspect="1"/>
                    </pic:cNvPicPr>
                  </pic:nvPicPr>
                  <pic:blipFill>
                    <a:blip r:embed="rId28"/>
                    <a:stretch>
                      <a:fillRect/>
                    </a:stretch>
                  </pic:blipFill>
                  <pic:spPr>
                    <a:xfrm>
                      <a:off x="0" y="0"/>
                      <a:ext cx="631190" cy="865505"/>
                    </a:xfrm>
                    <a:prstGeom prst="rect">
                      <a:avLst/>
                    </a:prstGeom>
                    <a:noFill/>
                    <a:ln>
                      <a:noFill/>
                    </a:ln>
                  </pic:spPr>
                </pic:pic>
              </a:graphicData>
            </a:graphic>
          </wp:anchor>
        </w:drawing>
      </w:r>
      <w:r>
        <w:rPr>
          <w:rFonts w:hint="default" w:ascii="Times New Roman" w:hAnsi="Times New Roman" w:eastAsia="宋体" w:cs="Times New Roman"/>
          <w:color w:val="auto"/>
          <w:sz w:val="21"/>
        </w:rPr>
        <mc:AlternateContent>
          <mc:Choice Requires="wps">
            <w:drawing>
              <wp:anchor distT="0" distB="0" distL="114300" distR="114300" simplePos="0" relativeHeight="251679744" behindDoc="0" locked="0" layoutInCell="1" allowOverlap="1">
                <wp:simplePos x="0" y="0"/>
                <wp:positionH relativeFrom="column">
                  <wp:posOffset>2531110</wp:posOffset>
                </wp:positionH>
                <wp:positionV relativeFrom="paragraph">
                  <wp:posOffset>3639185</wp:posOffset>
                </wp:positionV>
                <wp:extent cx="952500" cy="314325"/>
                <wp:effectExtent l="6350" t="315595" r="584200" b="17780"/>
                <wp:wrapNone/>
                <wp:docPr id="493" name="矩形标注 493"/>
                <wp:cNvGraphicFramePr/>
                <a:graphic xmlns:a="http://schemas.openxmlformats.org/drawingml/2006/main">
                  <a:graphicData uri="http://schemas.microsoft.com/office/word/2010/wordprocessingShape">
                    <wps:wsp>
                      <wps:cNvSpPr/>
                      <wps:spPr>
                        <a:xfrm>
                          <a:off x="3601720" y="4410075"/>
                          <a:ext cx="952500" cy="314325"/>
                        </a:xfrm>
                        <a:prstGeom prst="wedgeRectCallout">
                          <a:avLst>
                            <a:gd name="adj1" fmla="val 104400"/>
                            <a:gd name="adj2" fmla="val -14353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9.3pt;margin-top:286.55pt;height:24.75pt;width:75pt;z-index:251679744;v-text-anchor:middle;mso-width-relative:page;mso-height-relative:page;" filled="f" stroked="t" coordsize="21600,21600" o:gfxdata="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QmSc/2gAAAAsBAAAPAAAAAAAAAAEAIAAAACIA&#10;AABkcnMvZG93bnJldi54bWxQSwECFAAUAAAACACHTuJADgopW7ICAABLBQAADgAAAAAAAAABACAA&#10;AAApAQAAZHJzL2Uyb0RvYy54bWxQSwUGAAAAAAYABgBZAQAATQYAAAAA&#10;" adj="33350,-20204">
                <v:fill on="f" focussize="0,0"/>
                <v:stroke weight="1pt" color="#000000 [3213]" miterlimit="8" joinstyle="miter"/>
                <v:imagedata o:title=""/>
                <o:lock v:ext="edit" aspectratio="f"/>
                <v:textbox>
                  <w:txbxContent>
                    <w:p>
                      <w:pPr>
                        <w:jc w:val="center"/>
                        <w:rPr>
                          <w:rFonts w:hint="default" w:eastAsia="宋体"/>
                          <w:color w:val="FF0000"/>
                          <w:lang w:val="en-US" w:eastAsia="zh-CN"/>
                        </w:rPr>
                      </w:pPr>
                      <w:r>
                        <w:rPr>
                          <w:rFonts w:hint="eastAsia"/>
                          <w:color w:val="FF0000"/>
                          <w:lang w:val="en-US" w:eastAsia="zh-CN"/>
                        </w:rPr>
                        <w:t>本项目位置</w:t>
                      </w:r>
                    </w:p>
                  </w:txbxContent>
                </v:textbox>
              </v:shap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78720" behindDoc="0" locked="0" layoutInCell="1" allowOverlap="1">
                <wp:simplePos x="0" y="0"/>
                <wp:positionH relativeFrom="column">
                  <wp:posOffset>4055110</wp:posOffset>
                </wp:positionH>
                <wp:positionV relativeFrom="paragraph">
                  <wp:posOffset>3172460</wp:posOffset>
                </wp:positionV>
                <wp:extent cx="142875" cy="133350"/>
                <wp:effectExtent l="19685" t="20320" r="27940" b="17780"/>
                <wp:wrapNone/>
                <wp:docPr id="492" name="五角星 492"/>
                <wp:cNvGraphicFramePr/>
                <a:graphic xmlns:a="http://schemas.openxmlformats.org/drawingml/2006/main">
                  <a:graphicData uri="http://schemas.microsoft.com/office/word/2010/wordprocessingShape">
                    <wps:wsp>
                      <wps:cNvSpPr/>
                      <wps:spPr>
                        <a:xfrm>
                          <a:off x="3315970" y="3648075"/>
                          <a:ext cx="142875" cy="13335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9.3pt;margin-top:249.8pt;height:10.5pt;width:11.25pt;z-index:251678720;v-text-anchor:middle;mso-width-relative:page;mso-height-relative:page;" fillcolor="#FF0000" filled="t" stroked="t" coordsize="142875,133350" o:gfxdata="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fQCxhtgAAAALAQAADwAAAAAAAAAB&#10;ACAAAAAiAAAAZHJzL2Rvd25yZXYueG1sUEsBAhQAFAAAAAgAh07iQBnuEMmCAgAABwUAAA4AAAAA&#10;AAAAAQAgAAAAJwEAAGRycy9lMm9Eb2MueG1sUEsFBgAAAAAGAAYAWQEAABsGAAAAAA==&#10;" path="m0,50935l54573,50935,71437,0,88301,50935,142874,50935,98723,82414,115588,133349,71437,101869,27286,133349,44151,82414xe">
                <v:path o:connectlocs="71437,0;0,50935;27286,133349;115588,133349;142874,50935" o:connectangles="247,164,82,82,0"/>
                <v:fill on="t" focussize="0,0"/>
                <v:stroke weight="1pt" color="#FF0000 [3204]" miterlimit="8" joinstyle="miter"/>
                <v:imagedata o:title=""/>
                <o:lock v:ext="edit" aspectratio="f"/>
              </v:shape>
            </w:pict>
          </mc:Fallback>
        </mc:AlternateContent>
      </w:r>
      <w:r>
        <w:drawing>
          <wp:anchor distT="0" distB="0" distL="114300" distR="114300" simplePos="0" relativeHeight="251685888" behindDoc="1" locked="0" layoutInCell="1" allowOverlap="1">
            <wp:simplePos x="0" y="0"/>
            <wp:positionH relativeFrom="column">
              <wp:posOffset>532130</wp:posOffset>
            </wp:positionH>
            <wp:positionV relativeFrom="paragraph">
              <wp:posOffset>38100</wp:posOffset>
            </wp:positionV>
            <wp:extent cx="7433945" cy="5295900"/>
            <wp:effectExtent l="0" t="0" r="0" b="0"/>
            <wp:wrapTight wrapText="bothSides">
              <wp:wrapPolygon>
                <wp:start x="0" y="0"/>
                <wp:lineTo x="0" y="21522"/>
                <wp:lineTo x="21532" y="21522"/>
                <wp:lineTo x="21532" y="0"/>
                <wp:lineTo x="0" y="0"/>
              </wp:wrapPolygon>
            </wp:wrapTight>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29"/>
                    <a:stretch>
                      <a:fillRect/>
                    </a:stretch>
                  </pic:blipFill>
                  <pic:spPr>
                    <a:xfrm>
                      <a:off x="0" y="0"/>
                      <a:ext cx="7433945" cy="5295900"/>
                    </a:xfrm>
                    <a:prstGeom prst="rect">
                      <a:avLst/>
                    </a:prstGeom>
                    <a:noFill/>
                    <a:ln>
                      <a:noFill/>
                    </a:ln>
                  </pic:spPr>
                </pic:pic>
              </a:graphicData>
            </a:graphic>
          </wp:anchor>
        </w:drawing>
      </w:r>
    </w:p>
    <w:p>
      <w:pPr>
        <w:bidi w:val="0"/>
        <w:spacing w:beforeAutospacing="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71" w:name="_Toc15175"/>
      <w:r>
        <w:rPr>
          <w:rFonts w:hint="default" w:ascii="Times New Roman" w:hAnsi="Times New Roman" w:eastAsia="宋体" w:cs="Times New Roman"/>
          <w:b/>
          <w:bCs/>
          <w:snapToGrid w:val="0"/>
          <w:color w:val="auto"/>
          <w:sz w:val="28"/>
          <w:szCs w:val="28"/>
          <w:lang w:val="en-US" w:eastAsia="zh-CN"/>
        </w:rPr>
        <w:t>附图</w:t>
      </w:r>
      <w:r>
        <w:rPr>
          <w:rFonts w:hint="eastAsia" w:cs="Times New Roman"/>
          <w:b/>
          <w:bCs/>
          <w:snapToGrid w:val="0"/>
          <w:color w:val="auto"/>
          <w:sz w:val="28"/>
          <w:szCs w:val="28"/>
          <w:lang w:val="en-US" w:eastAsia="zh-CN"/>
        </w:rPr>
        <w:t>2</w:t>
      </w:r>
      <w:r>
        <w:rPr>
          <w:rFonts w:hint="default" w:ascii="Times New Roman" w:hAnsi="Times New Roman" w:eastAsia="宋体" w:cs="Times New Roman"/>
          <w:b/>
          <w:bCs/>
          <w:snapToGrid w:val="0"/>
          <w:color w:val="auto"/>
          <w:sz w:val="28"/>
          <w:szCs w:val="28"/>
          <w:lang w:val="en-US" w:eastAsia="zh-CN"/>
        </w:rPr>
        <w:t xml:space="preserve">  项目平面布置</w:t>
      </w:r>
      <w:r>
        <w:rPr>
          <w:rFonts w:hint="eastAsia" w:cs="Times New Roman"/>
          <w:b/>
          <w:bCs/>
          <w:snapToGrid w:val="0"/>
          <w:color w:val="auto"/>
          <w:sz w:val="28"/>
          <w:szCs w:val="28"/>
          <w:lang w:val="en-US" w:eastAsia="zh-CN"/>
        </w:rPr>
        <w:t>示意</w:t>
      </w:r>
      <w:r>
        <w:rPr>
          <w:rFonts w:hint="default" w:ascii="Times New Roman" w:hAnsi="Times New Roman" w:eastAsia="宋体" w:cs="Times New Roman"/>
          <w:b/>
          <w:bCs/>
          <w:snapToGrid w:val="0"/>
          <w:color w:val="auto"/>
          <w:sz w:val="28"/>
          <w:szCs w:val="28"/>
          <w:lang w:val="en-US" w:eastAsia="zh-CN"/>
        </w:rPr>
        <w:t>图</w:t>
      </w:r>
      <w:bookmarkEnd w:id="71"/>
    </w:p>
    <w:p>
      <w:pPr>
        <w:bidi w:val="0"/>
        <w:spacing w:beforeAutospacing="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72" w:name="_Toc17551"/>
      <w:bookmarkStart w:id="73" w:name="_Toc19249"/>
      <w:bookmarkStart w:id="74" w:name="_Toc23718"/>
      <w:bookmarkStart w:id="75" w:name="_Toc8906"/>
      <w:bookmarkStart w:id="76" w:name="_Toc3159"/>
      <w:r>
        <w:drawing>
          <wp:anchor distT="0" distB="0" distL="114300" distR="114300" simplePos="0" relativeHeight="251683840" behindDoc="0" locked="0" layoutInCell="1" allowOverlap="1">
            <wp:simplePos x="0" y="0"/>
            <wp:positionH relativeFrom="margin">
              <wp:posOffset>5202555</wp:posOffset>
            </wp:positionH>
            <wp:positionV relativeFrom="paragraph">
              <wp:posOffset>-7071360</wp:posOffset>
            </wp:positionV>
            <wp:extent cx="631190" cy="865505"/>
            <wp:effectExtent l="0" t="0" r="16510" b="10795"/>
            <wp:wrapNone/>
            <wp:docPr id="81" name="图片 11" descr="风玫瑰方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1" descr="风玫瑰方位图"/>
                    <pic:cNvPicPr>
                      <a:picLocks noChangeAspect="1"/>
                    </pic:cNvPicPr>
                  </pic:nvPicPr>
                  <pic:blipFill>
                    <a:blip r:embed="rId28"/>
                    <a:stretch>
                      <a:fillRect/>
                    </a:stretch>
                  </pic:blipFill>
                  <pic:spPr>
                    <a:xfrm>
                      <a:off x="0" y="0"/>
                      <a:ext cx="631190" cy="865505"/>
                    </a:xfrm>
                    <a:prstGeom prst="rect">
                      <a:avLst/>
                    </a:prstGeom>
                    <a:noFill/>
                    <a:ln>
                      <a:noFill/>
                    </a:ln>
                  </pic:spPr>
                </pic:pic>
              </a:graphicData>
            </a:graphic>
          </wp:anchor>
        </w:drawing>
      </w:r>
      <w:r>
        <w:rPr>
          <w:sz w:val="28"/>
        </w:rPr>
        <mc:AlternateContent>
          <mc:Choice Requires="wps">
            <w:drawing>
              <wp:anchor distT="0" distB="0" distL="114300" distR="114300" simplePos="0" relativeHeight="251687936" behindDoc="0" locked="0" layoutInCell="1" allowOverlap="1">
                <wp:simplePos x="0" y="0"/>
                <wp:positionH relativeFrom="column">
                  <wp:posOffset>42545</wp:posOffset>
                </wp:positionH>
                <wp:positionV relativeFrom="paragraph">
                  <wp:posOffset>-7058025</wp:posOffset>
                </wp:positionV>
                <wp:extent cx="5796280" cy="5080"/>
                <wp:effectExtent l="0" t="0" r="0" b="0"/>
                <wp:wrapNone/>
                <wp:docPr id="72" name="直接连接符 72"/>
                <wp:cNvGraphicFramePr/>
                <a:graphic xmlns:a="http://schemas.openxmlformats.org/drawingml/2006/main">
                  <a:graphicData uri="http://schemas.microsoft.com/office/word/2010/wordprocessingShape">
                    <wps:wsp>
                      <wps:cNvCnPr/>
                      <wps:spPr>
                        <a:xfrm flipV="1">
                          <a:off x="1062355" y="1403350"/>
                          <a:ext cx="5796280" cy="50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3.35pt;margin-top:-555.75pt;height:0.4pt;width:456.4pt;z-index:251687936;mso-width-relative:page;mso-height-relative:page;" filled="f" stroked="t" coordsize="21600,21600" o:gfxdata="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uluU7tkAAAANAQAADwAAAAAAAAABACAAAAAiAAAAZHJzL2Rvd25yZXYu&#10;eG1sUEsBAhQAFAAAAAgAh07iQEE0DKb6AQAAzAMAAA4AAAAAAAAAAQAgAAAAKAEAAGRycy9lMm9E&#10;b2MueG1sUEsFBgAAAAAGAAYAWQEAAJQFAAAAAA==&#10;">
                <v:fill on="f" focussize="0,0"/>
                <v:stroke weight="0.5pt" color="#000000 [3200]" miterlimit="8" joinstyle="miter"/>
                <v:imagedata o:title=""/>
                <o:lock v:ext="edit" aspectratio="f"/>
              </v:lin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4981575</wp:posOffset>
                </wp:positionH>
                <wp:positionV relativeFrom="paragraph">
                  <wp:posOffset>-4629785</wp:posOffset>
                </wp:positionV>
                <wp:extent cx="628650" cy="352425"/>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62865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2.25pt;margin-top:-364.55pt;height:27.75pt;width:49.5pt;z-index:251697152;mso-width-relative:page;mso-height-relative:page;" filled="f" stroked="f" coordsize="21600,21600" o:gfxdata="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&#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vCGn/dAAAADQEAAA8AAAAAAAAAAQAgAAAAIgAAAGRy&#10;cy9kb3ducmV2LnhtbFBLAQIUABQAAAAIAIdO4kCZBn9NOQIAAGcEAAAOAAAAAAAAAAEAIAAAACwB&#10;AABkcnMvZTJvRG9jLnhtbFBLBQYAAAAABgAGAFkBAADXBQAAAAA=&#10;">
                <v:fill on="f" focussize="0,0"/>
                <v:stroke on="f" weight="0.5pt"/>
                <v:imagedata o:title=""/>
                <o:lock v:ext="edit" aspectratio="f"/>
                <v:textbox>
                  <w:txbxContent>
                    <w:p>
                      <w:pPr>
                        <w:rPr>
                          <w:rFonts w:hint="default" w:eastAsia="宋体"/>
                          <w:lang w:val="en-US" w:eastAsia="zh-CN"/>
                        </w:rPr>
                      </w:pPr>
                      <w:r>
                        <w:rPr>
                          <w:rFonts w:hint="eastAsia"/>
                          <w:lang w:val="en-US" w:eastAsia="zh-CN"/>
                        </w:rPr>
                        <w:t>DA002</w:t>
                      </w:r>
                    </w:p>
                  </w:txbxContent>
                </v:textbox>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5505450</wp:posOffset>
                </wp:positionH>
                <wp:positionV relativeFrom="paragraph">
                  <wp:posOffset>-4444365</wp:posOffset>
                </wp:positionV>
                <wp:extent cx="152400" cy="142875"/>
                <wp:effectExtent l="6350" t="6350" r="12700" b="22225"/>
                <wp:wrapNone/>
                <wp:docPr id="88" name="椭圆 88"/>
                <wp:cNvGraphicFramePr/>
                <a:graphic xmlns:a="http://schemas.openxmlformats.org/drawingml/2006/main">
                  <a:graphicData uri="http://schemas.microsoft.com/office/word/2010/wordprocessingShape">
                    <wps:wsp>
                      <wps:cNvSpPr/>
                      <wps:spPr>
                        <a:xfrm>
                          <a:off x="0" y="0"/>
                          <a:ext cx="152400" cy="14287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3.5pt;margin-top:-349.95pt;height:11.25pt;width:12pt;z-index:251695104;v-text-anchor:middle;mso-width-relative:page;mso-height-relative:page;" fillcolor="#FFFFFF [3201]" filled="t" stroked="t" coordsize="21600,21600" o:gfxdata="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o2qU13AAAAA0BAAAPAAAAAAAAAAEAIAAAACIAAABkcnMvZG93&#10;bnJldi54bWxQSwECFAAUAAAACACHTuJAScJak24CAAD4BAAADgAAAAAAAAABACAAAAArAQAAZHJz&#10;L2Uyb0RvYy54bWxQSwUGAAAAAAYABgBZAQAACwYAAAAA&#1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2933700</wp:posOffset>
                </wp:positionH>
                <wp:positionV relativeFrom="paragraph">
                  <wp:posOffset>-502920</wp:posOffset>
                </wp:positionV>
                <wp:extent cx="561975" cy="304800"/>
                <wp:effectExtent l="0" t="0" r="0" b="0"/>
                <wp:wrapNone/>
                <wp:docPr id="86" name="文本框 86"/>
                <wp:cNvGraphicFramePr/>
                <a:graphic xmlns:a="http://schemas.openxmlformats.org/drawingml/2006/main">
                  <a:graphicData uri="http://schemas.microsoft.com/office/word/2010/wordprocessingShape">
                    <wps:wsp>
                      <wps:cNvSpPr txBox="1"/>
                      <wps:spPr>
                        <a:xfrm>
                          <a:off x="3896360" y="8430260"/>
                          <a:ext cx="56197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pt;margin-top:-39.6pt;height:24pt;width:44.25pt;z-index:251693056;mso-width-relative:page;mso-height-relative:page;" filled="f" stroked="f" coordsize="21600,21600" o:gfxdata="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P8NS9wAAAALAQAADwAAAAAA&#10;AAABACAAAAAiAAAAZHJzL2Rvd25yZXYueG1sUEsBAhQAFAAAAAgAh07iQFiBFYFIAgAAcwQAAA4A&#10;AAAAAAAAAQAgAAAAKwEAAGRycy9lMm9Eb2MueG1sUEsFBgAAAAAGAAYAWQEAAOUFAAAAAA==&#10;">
                <v:fill on="f" focussize="0,0"/>
                <v:stroke on="f" weight="0.5pt"/>
                <v:imagedata o:title=""/>
                <o:lock v:ext="edit" aspectratio="f"/>
                <v:textbox>
                  <w:txbxContent>
                    <w:p>
                      <w:pPr>
                        <w:rPr>
                          <w:rFonts w:hint="eastAsia" w:eastAsia="宋体"/>
                          <w:lang w:val="en-US" w:eastAsia="zh-CN"/>
                        </w:rPr>
                      </w:pPr>
                      <w:r>
                        <w:rPr>
                          <w:rFonts w:hint="eastAsia"/>
                          <w:lang w:val="en-US" w:eastAsia="zh-CN"/>
                        </w:rPr>
                        <w:t>大门</w:t>
                      </w:r>
                    </w:p>
                  </w:txbxContent>
                </v:textbox>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514350</wp:posOffset>
                </wp:positionH>
                <wp:positionV relativeFrom="paragraph">
                  <wp:posOffset>-3020060</wp:posOffset>
                </wp:positionV>
                <wp:extent cx="628650" cy="352425"/>
                <wp:effectExtent l="0" t="0" r="0" b="0"/>
                <wp:wrapNone/>
                <wp:docPr id="89" name="文本框 89"/>
                <wp:cNvGraphicFramePr/>
                <a:graphic xmlns:a="http://schemas.openxmlformats.org/drawingml/2006/main">
                  <a:graphicData uri="http://schemas.microsoft.com/office/word/2010/wordprocessingShape">
                    <wps:wsp>
                      <wps:cNvSpPr txBox="1"/>
                      <wps:spPr>
                        <a:xfrm>
                          <a:off x="3991610" y="5826760"/>
                          <a:ext cx="62865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pt;margin-top:-237.8pt;height:27.75pt;width:49.5pt;z-index:251696128;mso-width-relative:page;mso-height-relative:page;" filled="f" stroked="f" coordsize="21600,21600" o:gfxdata="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D9qA9sAAAAMAQAADwAAAAAAAAAB&#10;ACAAAAAiAAAAZHJzL2Rvd25yZXYueG1sUEsBAhQAFAAAAAgAh07iQEC3OzFGAgAAcwQAAA4AAAAA&#10;AAAAAQAgAAAAKgEAAGRycy9lMm9Eb2MueG1sUEsFBgAAAAAGAAYAWQEAAOIFAAAAAA==&#10;">
                <v:fill on="f" focussize="0,0"/>
                <v:stroke on="f" weight="0.5pt"/>
                <v:imagedata o:title=""/>
                <o:lock v:ext="edit" aspectratio="f"/>
                <v:textbox>
                  <w:txbxContent>
                    <w:p>
                      <w:pPr>
                        <w:rPr>
                          <w:rFonts w:hint="default" w:eastAsia="宋体"/>
                          <w:lang w:val="en-US" w:eastAsia="zh-CN"/>
                        </w:rPr>
                      </w:pPr>
                      <w:r>
                        <w:rPr>
                          <w:rFonts w:hint="eastAsia"/>
                          <w:lang w:val="en-US" w:eastAsia="zh-CN"/>
                        </w:rPr>
                        <w:t>DA001</w:t>
                      </w:r>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400050</wp:posOffset>
                </wp:positionH>
                <wp:positionV relativeFrom="paragraph">
                  <wp:posOffset>-2844165</wp:posOffset>
                </wp:positionV>
                <wp:extent cx="152400" cy="142875"/>
                <wp:effectExtent l="6350" t="6350" r="12700" b="22225"/>
                <wp:wrapNone/>
                <wp:docPr id="87" name="椭圆 87"/>
                <wp:cNvGraphicFramePr/>
                <a:graphic xmlns:a="http://schemas.openxmlformats.org/drawingml/2006/main">
                  <a:graphicData uri="http://schemas.microsoft.com/office/word/2010/wordprocessingShape">
                    <wps:wsp>
                      <wps:cNvSpPr/>
                      <wps:spPr>
                        <a:xfrm>
                          <a:off x="1419860" y="6193155"/>
                          <a:ext cx="152400" cy="14287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5pt;margin-top:-223.95pt;height:11.25pt;width:12pt;z-index:251694080;v-text-anchor:middle;mso-width-relative:page;mso-height-relative:page;" fillcolor="#FFFFFF [3201]" filled="t" stroked="t" coordsize="21600,21600" o:gfxdata="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xT+gTcAAAACwEAAA8AAAAAAAAAAQAg&#10;AAAAIgAAAGRycy9kb3ducmV2LnhtbFBLAQIUABQAAAAIAIdO4kDcyyu0fAIAAAQFAAAOAAAAAAAA&#10;AAEAIAAAACsBAABkcnMvZTJvRG9jLnhtbFBLBQYAAAAABgAGAFkBAAAZBgAAAAA=&#1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2705100</wp:posOffset>
                </wp:positionH>
                <wp:positionV relativeFrom="paragraph">
                  <wp:posOffset>-521335</wp:posOffset>
                </wp:positionV>
                <wp:extent cx="952500" cy="266700"/>
                <wp:effectExtent l="6350" t="6350" r="12700" b="12700"/>
                <wp:wrapNone/>
                <wp:docPr id="84" name="矩形 84"/>
                <wp:cNvGraphicFramePr/>
                <a:graphic xmlns:a="http://schemas.openxmlformats.org/drawingml/2006/main">
                  <a:graphicData uri="http://schemas.microsoft.com/office/word/2010/wordprocessingShape">
                    <wps:wsp>
                      <wps:cNvSpPr/>
                      <wps:spPr>
                        <a:xfrm>
                          <a:off x="3677285" y="8354060"/>
                          <a:ext cx="952500" cy="2667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pt;margin-top:-41.05pt;height:21pt;width:75pt;z-index:251692032;v-text-anchor:middle;mso-width-relative:page;mso-height-relative:page;" fillcolor="#FFFFFF [3201]" filled="t" stroked="t" coordsize="21600,21600" o:gfxdata="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AqHbAdgAAAALAQAADwAAAAAAAAABACAAAAAiAAAA&#10;ZHJzL2Rvd25yZXYueG1sUEsBAhQAFAAAAAgAh07iQN+HF+d5AgAAAQUAAA4AAAAAAAAAAQAgAAAA&#10;JwEAAGRycy9lMm9Eb2MueG1sUEsFBgAAAAAGAAYAWQEAABIGAAAAAA==&#10;">
                <v:fill on="t" focussize="0,0"/>
                <v:stroke weight="1pt" color="#000000 [3200]" miterlimit="8" joinstyle="miter"/>
                <v:imagedata o:title=""/>
                <o:lock v:ext="edit" aspectratio="f"/>
              </v:rect>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5867400</wp:posOffset>
                </wp:positionH>
                <wp:positionV relativeFrom="paragraph">
                  <wp:posOffset>-7041515</wp:posOffset>
                </wp:positionV>
                <wp:extent cx="19050" cy="6793865"/>
                <wp:effectExtent l="4445" t="0" r="14605" b="6985"/>
                <wp:wrapNone/>
                <wp:docPr id="79" name="直接连接符 79"/>
                <wp:cNvGraphicFramePr/>
                <a:graphic xmlns:a="http://schemas.openxmlformats.org/drawingml/2006/main">
                  <a:graphicData uri="http://schemas.microsoft.com/office/word/2010/wordprocessingShape">
                    <wps:wsp>
                      <wps:cNvCnPr/>
                      <wps:spPr>
                        <a:xfrm>
                          <a:off x="7030085" y="1421130"/>
                          <a:ext cx="19050" cy="67938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462pt;margin-top:-554.45pt;height:534.95pt;width:1.5pt;z-index:251691008;mso-width-relative:page;mso-height-relative:page;" filled="f" stroked="t" coordsize="21600,21600" o:gfxdata="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9cR+jtoAAAANAQAADwAAAAAAAAABACAAAAAiAAAAZHJzL2Rvd25yZXYueG1sUEsB&#10;AhQAFAAAAAgAh07iQOK4dCPzAQAAwwMAAA4AAAAAAAAAAQAgAAAAKQEAAGRycy9lMm9Eb2MueG1s&#10;UEsFBgAAAAAGAAYAWQEAAI4FAAAAAA==&#10;">
                <v:fill on="f" focussize="0,0"/>
                <v:stroke weight="0.5pt" color="#000000 [3200]" miterlimit="8" joinstyle="miter"/>
                <v:imagedata o:title=""/>
                <o:lock v:ext="edit" aspectratio="f"/>
              </v:lin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57150</wp:posOffset>
                </wp:positionH>
                <wp:positionV relativeFrom="paragraph">
                  <wp:posOffset>-247650</wp:posOffset>
                </wp:positionV>
                <wp:extent cx="5819775" cy="22860"/>
                <wp:effectExtent l="0" t="4445" r="9525" b="10795"/>
                <wp:wrapNone/>
                <wp:docPr id="78" name="直接连接符 78"/>
                <wp:cNvGraphicFramePr/>
                <a:graphic xmlns:a="http://schemas.openxmlformats.org/drawingml/2006/main">
                  <a:graphicData uri="http://schemas.microsoft.com/office/word/2010/wordprocessingShape">
                    <wps:wsp>
                      <wps:cNvCnPr/>
                      <wps:spPr>
                        <a:xfrm flipV="1">
                          <a:off x="1029335" y="8631555"/>
                          <a:ext cx="5819775" cy="22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4.5pt;margin-top:-19.5pt;height:1.8pt;width:458.25pt;z-index:251689984;mso-width-relative:page;mso-height-relative:page;" filled="f" stroked="t" coordsize="21600,21600" o:gfxdata="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voSbn1wAAAAkBAAAPAAAAAAAAAAEAIAAAACIAAABkcnMvZG93bnJl&#10;di54bWxQSwECFAAUAAAACACHTuJAhzDFIv4BAADNAwAADgAAAAAAAAABACAAAAAmAQAAZHJzL2Uy&#10;b0RvYy54bWxQSwUGAAAAAAYABgBZAQAAlgUAAAAA&#10;">
                <v:fill on="f" focussize="0,0"/>
                <v:stroke weight="0.5pt" color="#000000 [3200]" miterlimit="8" joinstyle="miter"/>
                <v:imagedata o:title=""/>
                <o:lock v:ext="edit" aspectratio="f"/>
              </v:lin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57150</wp:posOffset>
                </wp:positionH>
                <wp:positionV relativeFrom="paragraph">
                  <wp:posOffset>-7051040</wp:posOffset>
                </wp:positionV>
                <wp:extent cx="33020" cy="6798945"/>
                <wp:effectExtent l="4445" t="0" r="19685" b="1905"/>
                <wp:wrapNone/>
                <wp:docPr id="77" name="直接连接符 77"/>
                <wp:cNvGraphicFramePr/>
                <a:graphic xmlns:a="http://schemas.openxmlformats.org/drawingml/2006/main">
                  <a:graphicData uri="http://schemas.microsoft.com/office/word/2010/wordprocessingShape">
                    <wps:wsp>
                      <wps:cNvCnPr/>
                      <wps:spPr>
                        <a:xfrm>
                          <a:off x="1043305" y="1422400"/>
                          <a:ext cx="33020" cy="67989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4.5pt;margin-top:-555.2pt;height:535.35pt;width:2.6pt;z-index:251688960;mso-width-relative:page;mso-height-relative:page;" filled="f" stroked="t" coordsize="21600,21600" o:gfxdata="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LYXLfYAAAACgEAAA8AAAAAAAAAAQAgAAAAIgAAAGRycy9kb3ducmV2LnhtbFBLAQIU&#10;ABQAAAAIAIdO4kBkaThI8wEAAMMDAAAOAAAAAAAAAAEAIAAAACcBAABkcnMvZTJvRG9jLnhtbFBL&#10;BQYAAAAABgAGAFkBAACMBQAAAAA=&#10;">
                <v:fill on="f" focussize="0,0"/>
                <v:stroke weight="0.5pt" color="#000000 [3200]" miterlimit="8" joinstyle="miter"/>
                <v:imagedata o:title=""/>
                <o:lock v:ext="edit" aspectratio="f"/>
              </v:line>
            </w:pict>
          </mc:Fallback>
        </mc:AlternateContent>
      </w:r>
      <w:r>
        <w:rPr>
          <w:rFonts w:hint="eastAsia" w:eastAsia="宋体"/>
          <w:lang w:eastAsia="zh-CN"/>
        </w:rPr>
        <w:drawing>
          <wp:anchor distT="0" distB="0" distL="114300" distR="114300" simplePos="0" relativeHeight="251682816" behindDoc="1" locked="0" layoutInCell="1" allowOverlap="1">
            <wp:simplePos x="0" y="0"/>
            <wp:positionH relativeFrom="column">
              <wp:posOffset>-173355</wp:posOffset>
            </wp:positionH>
            <wp:positionV relativeFrom="paragraph">
              <wp:posOffset>99695</wp:posOffset>
            </wp:positionV>
            <wp:extent cx="6068060" cy="7019925"/>
            <wp:effectExtent l="0" t="0" r="46990" b="47625"/>
            <wp:wrapTight wrapText="bothSides">
              <wp:wrapPolygon>
                <wp:start x="0" y="0"/>
                <wp:lineTo x="0" y="21571"/>
                <wp:lineTo x="21564" y="21571"/>
                <wp:lineTo x="21564" y="0"/>
                <wp:lineTo x="0" y="0"/>
              </wp:wrapPolygon>
            </wp:wrapTight>
            <wp:docPr id="73" name="图片 73" descr="厂区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厂区平面布置图"/>
                    <pic:cNvPicPr>
                      <a:picLocks noChangeAspect="1"/>
                    </pic:cNvPicPr>
                  </pic:nvPicPr>
                  <pic:blipFill>
                    <a:blip r:embed="rId30"/>
                    <a:stretch>
                      <a:fillRect/>
                    </a:stretch>
                  </pic:blipFill>
                  <pic:spPr>
                    <a:xfrm>
                      <a:off x="0" y="0"/>
                      <a:ext cx="6068060" cy="7019925"/>
                    </a:xfrm>
                    <a:prstGeom prst="rect">
                      <a:avLst/>
                    </a:prstGeom>
                  </pic:spPr>
                </pic:pic>
              </a:graphicData>
            </a:graphic>
          </wp:anchor>
        </w:drawing>
      </w:r>
      <w:bookmarkEnd w:id="72"/>
      <w:bookmarkEnd w:id="73"/>
      <w:bookmarkEnd w:id="74"/>
      <w:bookmarkEnd w:id="75"/>
      <w:bookmarkEnd w:id="76"/>
    </w:p>
    <w:p>
      <w:pPr>
        <w:pStyle w:val="14"/>
        <w:bidi w:val="0"/>
        <w:adjustRightInd w:val="0"/>
        <w:snapToGrid w:val="0"/>
        <w:spacing w:before="0" w:beforeAutospacing="0" w:after="0" w:afterAutospacing="0"/>
        <w:ind w:left="0" w:leftChars="0" w:right="0" w:rightChars="0"/>
        <w:jc w:val="center"/>
        <w:outlineLvl w:val="0"/>
        <w:rPr>
          <w:rFonts w:hint="default" w:ascii="Times New Roman" w:hAnsi="Times New Roman" w:eastAsia="宋体" w:cs="Times New Roman"/>
          <w:b/>
          <w:bCs/>
          <w:snapToGrid w:val="0"/>
          <w:color w:val="auto"/>
          <w:sz w:val="28"/>
          <w:szCs w:val="28"/>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bidi w:val="0"/>
        <w:adjustRightInd w:val="0"/>
        <w:snapToGrid w:val="0"/>
        <w:spacing w:before="0" w:beforeAutospacing="0" w:after="0" w:afterAutospacing="0"/>
        <w:ind w:left="0" w:leftChars="0" w:right="0" w:rightChars="0"/>
        <w:jc w:val="both"/>
        <w:outlineLvl w:val="0"/>
        <w:rPr>
          <w:rFonts w:hint="default" w:ascii="Times New Roman" w:hAnsi="Times New Roman" w:eastAsia="宋体" w:cs="Times New Roman"/>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bookmarkStart w:id="77" w:name="_Toc7303"/>
      <w:bookmarkStart w:id="78" w:name="_Toc23967"/>
      <w:bookmarkStart w:id="79" w:name="_Toc22603"/>
      <w:bookmarkStart w:id="80" w:name="_Toc880"/>
      <w:bookmarkStart w:id="81" w:name="_Toc5216"/>
      <w:bookmarkStart w:id="82" w:name="_Toc31526"/>
      <w:r>
        <w:drawing>
          <wp:anchor distT="0" distB="0" distL="114300" distR="114300" simplePos="0" relativeHeight="251681792" behindDoc="1" locked="0" layoutInCell="1" allowOverlap="1">
            <wp:simplePos x="0" y="0"/>
            <wp:positionH relativeFrom="column">
              <wp:posOffset>325120</wp:posOffset>
            </wp:positionH>
            <wp:positionV relativeFrom="paragraph">
              <wp:posOffset>428625</wp:posOffset>
            </wp:positionV>
            <wp:extent cx="7395845" cy="5248275"/>
            <wp:effectExtent l="0" t="0" r="14605" b="9525"/>
            <wp:wrapNone/>
            <wp:docPr id="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7395845" cy="5248275"/>
                    </a:xfrm>
                    <a:prstGeom prst="rect">
                      <a:avLst/>
                    </a:prstGeom>
                    <a:noFill/>
                    <a:ln>
                      <a:noFill/>
                    </a:ln>
                  </pic:spPr>
                </pic:pic>
              </a:graphicData>
            </a:graphic>
          </wp:anchor>
        </w:drawing>
      </w:r>
      <w:r>
        <w:rPr>
          <w:rFonts w:hint="default" w:ascii="Times New Roman" w:hAnsi="Times New Roman" w:eastAsia="宋体" w:cs="Times New Roman"/>
          <w:color w:val="auto"/>
          <w:sz w:val="28"/>
        </w:rPr>
        <mc:AlternateContent>
          <mc:Choice Requires="wps">
            <w:drawing>
              <wp:anchor distT="0" distB="0" distL="114300" distR="114300" simplePos="0" relativeHeight="251680768" behindDoc="0" locked="0" layoutInCell="1" allowOverlap="1">
                <wp:simplePos x="0" y="0"/>
                <wp:positionH relativeFrom="column">
                  <wp:posOffset>1673225</wp:posOffset>
                </wp:positionH>
                <wp:positionV relativeFrom="paragraph">
                  <wp:posOffset>3060700</wp:posOffset>
                </wp:positionV>
                <wp:extent cx="914400" cy="240030"/>
                <wp:effectExtent l="0" t="0" r="0" b="0"/>
                <wp:wrapNone/>
                <wp:docPr id="517" name="文本框 517"/>
                <wp:cNvGraphicFramePr/>
                <a:graphic xmlns:a="http://schemas.openxmlformats.org/drawingml/2006/main">
                  <a:graphicData uri="http://schemas.microsoft.com/office/word/2010/wordprocessingShape">
                    <wps:wsp>
                      <wps:cNvSpPr txBox="1"/>
                      <wps:spPr>
                        <a:xfrm>
                          <a:off x="0" y="0"/>
                          <a:ext cx="914400" cy="240030"/>
                        </a:xfrm>
                        <a:prstGeom prst="rect">
                          <a:avLst/>
                        </a:prstGeom>
                        <a:noFill/>
                        <a:ln>
                          <a:noFill/>
                        </a:ln>
                      </wps:spPr>
                      <wps:txbx>
                        <w:txbxContent>
                          <w:p>
                            <w:pPr>
                              <w:rPr>
                                <w:rFonts w:hint="eastAsia"/>
                                <w:b/>
                                <w:bCs/>
                              </w:rPr>
                            </w:pPr>
                            <w:r>
                              <w:rPr>
                                <w:rFonts w:hint="eastAsia"/>
                                <w:b/>
                                <w:bCs/>
                              </w:rPr>
                              <w:t>项目所在地</w:t>
                            </w:r>
                          </w:p>
                        </w:txbxContent>
                      </wps:txbx>
                      <wps:bodyPr upright="1"/>
                    </wps:wsp>
                  </a:graphicData>
                </a:graphic>
              </wp:anchor>
            </w:drawing>
          </mc:Choice>
          <mc:Fallback>
            <w:pict>
              <v:shape id="_x0000_s1026" o:spid="_x0000_s1026" o:spt="202" type="#_x0000_t202" style="position:absolute;left:0pt;margin-left:131.75pt;margin-top:241pt;height:18.9pt;width:72pt;z-index:251680768;mso-width-relative:page;mso-height-relative:page;" filled="f" stroked="f" coordsize="21600,21600" o:gfxdata="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hs44fdgA&#10;AAALAQAADwAAAAAAAAABACAAAAAiAAAAZHJzL2Rvd25yZXYueG1sUEsBAhQAFAAAAAgAh07iQBhP&#10;v/itAQAAUQMAAA4AAAAAAAAAAQAgAAAAJwEAAGRycy9lMm9Eb2MueG1sUEsFBgAAAAAGAAYAWQEA&#10;AEYFAAAAAA==&#10;">
                <v:fill on="f" focussize="0,0"/>
                <v:stroke on="f"/>
                <v:imagedata o:title=""/>
                <o:lock v:ext="edit" aspectratio="f"/>
                <v:textbox>
                  <w:txbxContent>
                    <w:p>
                      <w:pPr>
                        <w:rPr>
                          <w:rFonts w:hint="eastAsia"/>
                          <w:b/>
                          <w:bCs/>
                        </w:rPr>
                      </w:pPr>
                      <w:r>
                        <w:rPr>
                          <w:rFonts w:hint="eastAsia"/>
                          <w:b/>
                          <w:bCs/>
                        </w:rPr>
                        <w:t>项目所在地</w:t>
                      </w:r>
                    </w:p>
                  </w:txbxContent>
                </v:textbox>
              </v:shape>
            </w:pict>
          </mc:Fallback>
        </mc:AlternateContent>
      </w:r>
      <w:bookmarkEnd w:id="77"/>
      <w:bookmarkEnd w:id="78"/>
      <w:bookmarkEnd w:id="79"/>
      <w:bookmarkEnd w:id="80"/>
      <w:bookmarkEnd w:id="81"/>
      <w:r>
        <w:rPr>
          <w:rFonts w:hint="default" w:ascii="Times New Roman" w:hAnsi="Times New Roman" w:eastAsia="宋体" w:cs="Times New Roman"/>
          <w:color w:val="auto"/>
        </w:rPr>
        <mc:AlternateContent>
          <mc:Choice Requires="wps">
            <w:drawing>
              <wp:anchor distT="0" distB="0" distL="114300" distR="114300" simplePos="0" relativeHeight="251666432" behindDoc="0" locked="0" layoutInCell="1" allowOverlap="1">
                <wp:simplePos x="0" y="0"/>
                <wp:positionH relativeFrom="column">
                  <wp:posOffset>1551940</wp:posOffset>
                </wp:positionH>
                <wp:positionV relativeFrom="paragraph">
                  <wp:posOffset>3134360</wp:posOffset>
                </wp:positionV>
                <wp:extent cx="83185" cy="95250"/>
                <wp:effectExtent l="12700" t="18415" r="18415" b="19685"/>
                <wp:wrapNone/>
                <wp:docPr id="69" name="五角星 69"/>
                <wp:cNvGraphicFramePr/>
                <a:graphic xmlns:a="http://schemas.openxmlformats.org/drawingml/2006/main">
                  <a:graphicData uri="http://schemas.microsoft.com/office/word/2010/wordprocessingShape">
                    <wps:wsp>
                      <wps:cNvSpPr/>
                      <wps:spPr>
                        <a:xfrm>
                          <a:off x="0" y="0"/>
                          <a:ext cx="83185" cy="9525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22.2pt;margin-top:246.8pt;height:7.5pt;width:6.55pt;z-index:251666432;mso-width-relative:page;mso-height-relative:page;" fillcolor="#FF0000" filled="t" stroked="t" coordsize="83185,95250" o:gfxdata="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&#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W3DNb3QAAAAsBAAAPAAAAAAAAAAEAIAAAACIAAABk&#10;cnMvZG93bnJldi54bWxQSwECFAAUAAAACACHTuJAj9yrjAECAAAhBAAADgAAAAAAAAABACAAAAAs&#10;AQAAZHJzL2Uyb0RvYy54bWxQSwUGAAAAAAYABgBZAQAAnwUAAAAA&#10;" path="m0,36382l31774,36382,41592,0,51410,36382,83184,36382,57479,58867,67298,95249,41592,72764,15886,95249,25705,58867xe">
                <v:path o:connectlocs="41592,0;0,36382;15886,95249;67298,95249;83184,36382" o:connectangles="247,164,82,82,0"/>
                <v:fill on="t" focussize="0,0"/>
                <v:stroke color="#000000" joinstyle="miter"/>
                <v:imagedata o:title=""/>
                <o:lock v:ext="edit" aspectratio="f"/>
              </v:shape>
            </w:pict>
          </mc:Fallback>
        </mc:AlternateContent>
      </w:r>
      <w:r>
        <w:rPr>
          <w:rFonts w:hint="default" w:ascii="Times New Roman" w:hAnsi="Times New Roman" w:eastAsia="宋体" w:cs="Times New Roman"/>
          <w:b/>
          <w:bCs/>
          <w:snapToGrid w:val="0"/>
          <w:color w:val="auto"/>
          <w:sz w:val="28"/>
          <w:szCs w:val="28"/>
          <w:lang w:val="en-US" w:eastAsia="zh-CN"/>
        </w:rPr>
        <mc:AlternateContent>
          <mc:Choice Requires="wps">
            <w:drawing>
              <wp:anchor distT="0" distB="0" distL="114300" distR="114300" simplePos="0" relativeHeight="251665408" behindDoc="0" locked="0" layoutInCell="1" allowOverlap="1">
                <wp:simplePos x="0" y="0"/>
                <wp:positionH relativeFrom="column">
                  <wp:posOffset>7844790</wp:posOffset>
                </wp:positionH>
                <wp:positionV relativeFrom="paragraph">
                  <wp:posOffset>7465695</wp:posOffset>
                </wp:positionV>
                <wp:extent cx="762000" cy="332105"/>
                <wp:effectExtent l="0" t="0" r="0" b="0"/>
                <wp:wrapNone/>
                <wp:docPr id="75" name="矩形 75"/>
                <wp:cNvGraphicFramePr/>
                <a:graphic xmlns:a="http://schemas.openxmlformats.org/drawingml/2006/main">
                  <a:graphicData uri="http://schemas.microsoft.com/office/word/2010/wordprocessingShape">
                    <wps:wsp>
                      <wps:cNvSpPr/>
                      <wps:spPr>
                        <a:xfrm>
                          <a:off x="0" y="0"/>
                          <a:ext cx="762000" cy="332105"/>
                        </a:xfrm>
                        <a:prstGeom prst="rect">
                          <a:avLst/>
                        </a:prstGeom>
                        <a:noFill/>
                        <a:ln>
                          <a:noFill/>
                        </a:ln>
                      </wps:spPr>
                      <wps:txbx>
                        <w:txbxContent>
                          <w:p>
                            <w:pPr>
                              <w:rPr>
                                <w:color w:val="FF0000"/>
                              </w:rPr>
                            </w:pPr>
                            <w:r>
                              <w:rPr>
                                <w:rFonts w:hint="eastAsia"/>
                                <w:color w:val="FF0000"/>
                              </w:rPr>
                              <w:t>化粪池</w:t>
                            </w:r>
                          </w:p>
                        </w:txbxContent>
                      </wps:txbx>
                      <wps:bodyPr upright="1"/>
                    </wps:wsp>
                  </a:graphicData>
                </a:graphic>
              </wp:anchor>
            </w:drawing>
          </mc:Choice>
          <mc:Fallback>
            <w:pict>
              <v:rect id="_x0000_s1026" o:spid="_x0000_s1026" o:spt="1" style="position:absolute;left:0pt;margin-left:617.7pt;margin-top:587.85pt;height:26.15pt;width:60pt;z-index:251665408;mso-width-relative:page;mso-height-relative:page;" filled="f" stroked="f" coordsize="21600,21600" o:gfxdata="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xPtW2t0AAAAPAQAA&#10;DwAAAAAAAAABACAAAAAiAAAAZHJzL2Rvd25yZXYueG1sUEsBAhQAFAAAAAgAh07iQB78fw2iAQAA&#10;QgMAAA4AAAAAAAAAAQAgAAAALAEAAGRycy9lMm9Eb2MueG1sUEsFBgAAAAAGAAYAWQEAAEAFAAAA&#10;AA==&#10;">
                <v:fill on="f" focussize="0,0"/>
                <v:stroke on="f"/>
                <v:imagedata o:title=""/>
                <o:lock v:ext="edit" aspectratio="f"/>
                <v:textbox>
                  <w:txbxContent>
                    <w:p>
                      <w:pPr>
                        <w:rPr>
                          <w:color w:val="FF0000"/>
                        </w:rPr>
                      </w:pPr>
                      <w:r>
                        <w:rPr>
                          <w:rFonts w:hint="eastAsia"/>
                          <w:color w:val="FF0000"/>
                        </w:rPr>
                        <w:t>化粪池</w:t>
                      </w:r>
                    </w:p>
                  </w:txbxContent>
                </v:textbox>
              </v:rect>
            </w:pict>
          </mc:Fallback>
        </mc:AlternateContent>
      </w:r>
      <w:r>
        <w:rPr>
          <w:rFonts w:hint="default" w:ascii="Times New Roman" w:hAnsi="Times New Roman" w:eastAsia="宋体" w:cs="Times New Roman"/>
          <w:b/>
          <w:bCs/>
          <w:snapToGrid w:val="0"/>
          <w:color w:val="auto"/>
          <w:sz w:val="28"/>
          <w:szCs w:val="28"/>
          <w:lang w:val="en-US" w:eastAsia="zh-CN"/>
        </w:rPr>
        <mc:AlternateContent>
          <mc:Choice Requires="wps">
            <w:drawing>
              <wp:anchor distT="0" distB="0" distL="114300" distR="114300" simplePos="0" relativeHeight="251664384" behindDoc="0" locked="0" layoutInCell="1" allowOverlap="1">
                <wp:simplePos x="0" y="0"/>
                <wp:positionH relativeFrom="column">
                  <wp:posOffset>7751445</wp:posOffset>
                </wp:positionH>
                <wp:positionV relativeFrom="paragraph">
                  <wp:posOffset>7521575</wp:posOffset>
                </wp:positionV>
                <wp:extent cx="142875" cy="162560"/>
                <wp:effectExtent l="4445" t="4445" r="5080" b="23495"/>
                <wp:wrapNone/>
                <wp:docPr id="76" name="流程图: 联系 76"/>
                <wp:cNvGraphicFramePr/>
                <a:graphic xmlns:a="http://schemas.openxmlformats.org/drawingml/2006/main">
                  <a:graphicData uri="http://schemas.microsoft.com/office/word/2010/wordprocessingShape">
                    <wps:wsp>
                      <wps:cNvSpPr/>
                      <wps:spPr>
                        <a:xfrm>
                          <a:off x="0" y="0"/>
                          <a:ext cx="142875" cy="162560"/>
                        </a:xfrm>
                        <a:prstGeom prst="flowChartConnector">
                          <a:avLst/>
                        </a:prstGeom>
                        <a:solidFill>
                          <a:srgbClr val="FFFF00"/>
                        </a:solid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20" type="#_x0000_t120" style="position:absolute;left:0pt;margin-left:610.35pt;margin-top:592.25pt;height:12.8pt;width:11.25pt;z-index:251664384;mso-width-relative:page;mso-height-relative:page;" fillcolor="#FFFF00" filled="t" stroked="t" coordsize="21600,21600" o:gfxdata="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ooHKh9wAAAAPAQAADwAAAAAA&#10;AAABACAAAAAiAAAAZHJzL2Rvd25yZXYueG1sUEsBAhQAFAAAAAgAh07iQIPIpT8PAgAALgQAAA4A&#10;AAAAAAAAAQAgAAAAKwEAAGRycy9lMm9Eb2MueG1sUEsFBgAAAAAGAAYAWQEAAKwFAAAAAA==&#10;">
                <v:fill on="t" focussize="0,0"/>
                <v:stroke color="#FFFF00" joinstyle="round"/>
                <v:imagedata o:title=""/>
                <o:lock v:ext="edit" aspectratio="f"/>
              </v:shape>
            </w:pict>
          </mc:Fallback>
        </mc:AlternateContent>
      </w:r>
      <w:r>
        <w:rPr>
          <w:rFonts w:hint="default" w:ascii="Times New Roman" w:hAnsi="Times New Roman" w:eastAsia="宋体" w:cs="Times New Roman"/>
          <w:b/>
          <w:bCs/>
          <w:snapToGrid w:val="0"/>
          <w:color w:val="auto"/>
          <w:sz w:val="28"/>
          <w:szCs w:val="28"/>
          <w:lang w:val="en-US" w:eastAsia="zh-CN"/>
        </w:rPr>
        <mc:AlternateContent>
          <mc:Choice Requires="wps">
            <w:drawing>
              <wp:anchor distT="0" distB="0" distL="114300" distR="114300" simplePos="0" relativeHeight="251663360" behindDoc="0" locked="0" layoutInCell="1" allowOverlap="1">
                <wp:simplePos x="0" y="0"/>
                <wp:positionH relativeFrom="column">
                  <wp:posOffset>7063740</wp:posOffset>
                </wp:positionH>
                <wp:positionV relativeFrom="paragraph">
                  <wp:posOffset>6875145</wp:posOffset>
                </wp:positionV>
                <wp:extent cx="752475" cy="351155"/>
                <wp:effectExtent l="0" t="0" r="0" b="0"/>
                <wp:wrapNone/>
                <wp:docPr id="80" name="矩形 80"/>
                <wp:cNvGraphicFramePr/>
                <a:graphic xmlns:a="http://schemas.openxmlformats.org/drawingml/2006/main">
                  <a:graphicData uri="http://schemas.microsoft.com/office/word/2010/wordprocessingShape">
                    <wps:wsp>
                      <wps:cNvSpPr/>
                      <wps:spPr>
                        <a:xfrm>
                          <a:off x="0" y="0"/>
                          <a:ext cx="752475" cy="351155"/>
                        </a:xfrm>
                        <a:prstGeom prst="rect">
                          <a:avLst/>
                        </a:prstGeom>
                        <a:noFill/>
                        <a:ln>
                          <a:noFill/>
                        </a:ln>
                      </wps:spPr>
                      <wps:txbx>
                        <w:txbxContent>
                          <w:p>
                            <w:pPr>
                              <w:rPr>
                                <w:color w:val="FF0000"/>
                              </w:rPr>
                            </w:pPr>
                            <w:r>
                              <w:rPr>
                                <w:rFonts w:hint="eastAsia"/>
                                <w:color w:val="FF0000"/>
                              </w:rPr>
                              <w:t>食堂油烟</w:t>
                            </w:r>
                          </w:p>
                        </w:txbxContent>
                      </wps:txbx>
                      <wps:bodyPr upright="1"/>
                    </wps:wsp>
                  </a:graphicData>
                </a:graphic>
              </wp:anchor>
            </w:drawing>
          </mc:Choice>
          <mc:Fallback>
            <w:pict>
              <v:rect id="_x0000_s1026" o:spid="_x0000_s1026" o:spt="1" style="position:absolute;left:0pt;margin-left:556.2pt;margin-top:541.35pt;height:27.65pt;width:59.25pt;z-index:251663360;mso-width-relative:page;mso-height-relative:page;" filled="f" stroked="f" coordsize="21600,21600" o:gfxdata="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dBY2g3AAAAA8BAAAP&#10;AAAAAAAAAAEAIAAAACIAAABkcnMvZG93bnJldi54bWxQSwECFAAUAAAACACHTuJAUhR3x6IBAABC&#10;AwAADgAAAAAAAAABACAAAAArAQAAZHJzL2Uyb0RvYy54bWxQSwUGAAAAAAYABgBZAQAAPwUAAAAA&#10;">
                <v:fill on="f" focussize="0,0"/>
                <v:stroke on="f"/>
                <v:imagedata o:title=""/>
                <o:lock v:ext="edit" aspectratio="f"/>
                <v:textbox>
                  <w:txbxContent>
                    <w:p>
                      <w:pPr>
                        <w:rPr>
                          <w:color w:val="FF0000"/>
                        </w:rPr>
                      </w:pPr>
                      <w:r>
                        <w:rPr>
                          <w:rFonts w:hint="eastAsia"/>
                          <w:color w:val="FF0000"/>
                        </w:rPr>
                        <w:t>食堂油烟</w:t>
                      </w:r>
                    </w:p>
                  </w:txbxContent>
                </v:textbox>
              </v:rect>
            </w:pict>
          </mc:Fallback>
        </mc:AlternateContent>
      </w:r>
      <w:r>
        <w:rPr>
          <w:rFonts w:hint="default" w:ascii="Times New Roman" w:hAnsi="Times New Roman" w:eastAsia="宋体" w:cs="Times New Roman"/>
          <w:b/>
          <w:bCs/>
          <w:snapToGrid w:val="0"/>
          <w:color w:val="auto"/>
          <w:sz w:val="28"/>
          <w:szCs w:val="28"/>
          <w:lang w:val="en-US" w:eastAsia="zh-CN"/>
        </w:rPr>
        <mc:AlternateContent>
          <mc:Choice Requires="wps">
            <w:drawing>
              <wp:anchor distT="0" distB="0" distL="114300" distR="114300" simplePos="0" relativeHeight="251662336" behindDoc="0" locked="0" layoutInCell="1" allowOverlap="1">
                <wp:simplePos x="0" y="0"/>
                <wp:positionH relativeFrom="column">
                  <wp:posOffset>7162165</wp:posOffset>
                </wp:positionH>
                <wp:positionV relativeFrom="paragraph">
                  <wp:posOffset>7111365</wp:posOffset>
                </wp:positionV>
                <wp:extent cx="122555" cy="76200"/>
                <wp:effectExtent l="4445" t="4445" r="6350" b="14605"/>
                <wp:wrapNone/>
                <wp:docPr id="85" name="任意多边形 85"/>
                <wp:cNvGraphicFramePr/>
                <a:graphic xmlns:a="http://schemas.openxmlformats.org/drawingml/2006/main">
                  <a:graphicData uri="http://schemas.microsoft.com/office/word/2010/wordprocessingShape">
                    <wps:wsp>
                      <wps:cNvSpPr/>
                      <wps:spPr>
                        <a:xfrm>
                          <a:off x="0" y="0"/>
                          <a:ext cx="122555"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63.95pt;margin-top:559.95pt;height:6pt;width:9.65pt;z-index:251662336;mso-width-relative:page;mso-height-relative:page;" fillcolor="#FFFFFF" filled="t" stroked="t" coordsize="21600,21600" o:gfxdata="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KIfZkDYAAAADwEAAA8AAAAAAAAAAQAgAAAAIgAAAGRycy9kb3ducmV2LnhtbFBL&#10;AQIUABQAAAAIAIdO4kBUm5N8TAMAAEgJAAAOAAAAAAAAAAEAIAAAACcBAABkcnMvZTJvRG9jLnht&#10;bFBLBQYAAAAABgAGAFkBAADlBg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FF0000" joinstyle="round"/>
                <v:imagedata o:title=""/>
                <o:lock v:ext="edit" aspectratio="f"/>
              </v:shape>
            </w:pict>
          </mc:Fallback>
        </mc:AlternateContent>
      </w:r>
      <w:r>
        <w:rPr>
          <w:rFonts w:hint="default" w:ascii="Times New Roman" w:hAnsi="Times New Roman" w:eastAsia="宋体" w:cs="Times New Roman"/>
          <w:b/>
          <w:bCs/>
          <w:snapToGrid w:val="0"/>
          <w:color w:val="auto"/>
          <w:sz w:val="28"/>
          <w:szCs w:val="28"/>
          <w:lang w:val="en-US" w:eastAsia="zh-CN"/>
        </w:rPr>
        <w:t>附图</w:t>
      </w:r>
      <w:r>
        <w:rPr>
          <w:rFonts w:hint="eastAsia" w:ascii="Times New Roman" w:hAnsi="Times New Roman" w:cs="Times New Roman"/>
          <w:b/>
          <w:bCs/>
          <w:snapToGrid w:val="0"/>
          <w:color w:val="auto"/>
          <w:sz w:val="28"/>
          <w:szCs w:val="28"/>
          <w:lang w:val="en-US" w:eastAsia="zh-CN"/>
        </w:rPr>
        <w:t>3</w:t>
      </w:r>
      <w:r>
        <w:rPr>
          <w:rFonts w:hint="default" w:ascii="Times New Roman" w:hAnsi="Times New Roman" w:eastAsia="宋体" w:cs="Times New Roman"/>
          <w:b/>
          <w:bCs/>
          <w:snapToGrid w:val="0"/>
          <w:color w:val="auto"/>
          <w:sz w:val="28"/>
          <w:szCs w:val="28"/>
          <w:lang w:val="en-US" w:eastAsia="zh-CN"/>
        </w:rPr>
        <w:t xml:space="preserve">  环境管控单元分布图</w:t>
      </w:r>
      <w:bookmarkEnd w:id="82"/>
    </w:p>
    <w:p>
      <w:pPr>
        <w:pStyle w:val="14"/>
        <w:bidi w:val="0"/>
        <w:adjustRightInd w:val="0"/>
        <w:snapToGrid w:val="0"/>
        <w:spacing w:before="0" w:beforeAutospacing="0" w:after="0" w:afterAutospacing="0"/>
        <w:ind w:left="0" w:leftChars="0" w:right="0" w:rightChars="0"/>
        <w:jc w:val="both"/>
        <w:outlineLvl w:val="0"/>
        <w:rPr>
          <w:rFonts w:hint="default" w:ascii="Times New Roman" w:hAnsi="Times New Roman" w:eastAsia="宋体" w:cs="Times New Roman"/>
          <w:b/>
          <w:bCs/>
          <w:snapToGrid w:val="0"/>
          <w:color w:val="auto"/>
          <w:sz w:val="28"/>
          <w:szCs w:val="28"/>
          <w:vertAlign w:val="baseline"/>
          <w:lang w:val="en-US" w:eastAsia="zh-CN"/>
        </w:rPr>
      </w:pPr>
      <w:bookmarkStart w:id="83" w:name="_Toc16138"/>
      <w:bookmarkStart w:id="84" w:name="_Toc15742"/>
      <w:bookmarkStart w:id="85" w:name="_Toc848"/>
      <w:bookmarkStart w:id="86" w:name="_Toc19559"/>
      <w:bookmarkStart w:id="87" w:name="_Toc28025"/>
      <w:bookmarkStart w:id="88" w:name="_Toc7678"/>
      <w:bookmarkStart w:id="89" w:name="_Toc14093"/>
      <w:bookmarkStart w:id="90" w:name="_Toc12375"/>
      <w:r>
        <w:rPr>
          <w:rFonts w:hint="eastAsia" w:ascii="Times New Roman" w:hAnsi="Times New Roman" w:eastAsia="宋体" w:cs="Times New Roman"/>
          <w:b/>
          <w:bCs/>
          <w:snapToGrid w:val="0"/>
          <w:color w:val="auto"/>
          <w:sz w:val="28"/>
          <w:szCs w:val="28"/>
          <w:lang w:val="en-US" w:eastAsia="zh-CN"/>
        </w:rPr>
        <w:t>附图4 项目四周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86"/>
        <w:gridCol w:w="6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pStyle w:val="14"/>
              <w:bidi w:val="0"/>
              <w:adjustRightInd w:val="0"/>
              <w:snapToGrid w:val="0"/>
              <w:spacing w:before="0" w:beforeAutospacing="0" w:after="0" w:afterAutospacing="0"/>
              <w:ind w:right="0" w:rightChars="0"/>
              <w:jc w:val="both"/>
              <w:outlineLvl w:val="0"/>
              <w:rPr>
                <w:rFonts w:hint="default" w:ascii="Times New Roman" w:hAnsi="Times New Roman" w:eastAsia="宋体" w:cs="Times New Roman"/>
                <w:b/>
                <w:bCs/>
                <w:snapToGrid w:val="0"/>
                <w:color w:val="auto"/>
                <w:sz w:val="28"/>
                <w:szCs w:val="28"/>
                <w:vertAlign w:val="baseline"/>
                <w:lang w:val="en-US" w:eastAsia="zh-CN"/>
              </w:rPr>
            </w:pPr>
            <w:r>
              <w:rPr>
                <w:rFonts w:hint="default" w:ascii="Times New Roman" w:hAnsi="Times New Roman" w:eastAsia="宋体" w:cs="Times New Roman"/>
                <w:b/>
                <w:bCs/>
                <w:snapToGrid w:val="0"/>
                <w:color w:val="auto"/>
                <w:sz w:val="28"/>
                <w:szCs w:val="28"/>
                <w:vertAlign w:val="baseline"/>
                <w:lang w:val="en-US" w:eastAsia="zh-CN"/>
              </w:rPr>
              <w:drawing>
                <wp:inline distT="0" distB="0" distL="114300" distR="114300">
                  <wp:extent cx="2305050" cy="3969385"/>
                  <wp:effectExtent l="0" t="0" r="12065" b="0"/>
                  <wp:docPr id="6" name="图片 6" descr="北侧农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北侧农田"/>
                          <pic:cNvPicPr>
                            <a:picLocks noChangeAspect="1"/>
                          </pic:cNvPicPr>
                        </pic:nvPicPr>
                        <pic:blipFill>
                          <a:blip r:embed="rId32"/>
                          <a:stretch>
                            <a:fillRect/>
                          </a:stretch>
                        </pic:blipFill>
                        <pic:spPr>
                          <a:xfrm rot="16200000">
                            <a:off x="0" y="0"/>
                            <a:ext cx="2305050" cy="3969385"/>
                          </a:xfrm>
                          <a:prstGeom prst="rect">
                            <a:avLst/>
                          </a:prstGeom>
                        </pic:spPr>
                      </pic:pic>
                    </a:graphicData>
                  </a:graphic>
                </wp:inline>
              </w:drawing>
            </w:r>
          </w:p>
        </w:tc>
        <w:tc>
          <w:tcPr>
            <w:tcW w:w="4530" w:type="dxa"/>
          </w:tcPr>
          <w:p>
            <w:pPr>
              <w:pStyle w:val="14"/>
              <w:bidi w:val="0"/>
              <w:adjustRightInd w:val="0"/>
              <w:snapToGrid w:val="0"/>
              <w:spacing w:before="0" w:beforeAutospacing="0" w:after="0" w:afterAutospacing="0"/>
              <w:ind w:right="0" w:rightChars="0"/>
              <w:jc w:val="both"/>
              <w:outlineLvl w:val="0"/>
              <w:rPr>
                <w:rFonts w:hint="default" w:ascii="Times New Roman" w:hAnsi="Times New Roman" w:eastAsia="宋体" w:cs="Times New Roman"/>
                <w:b/>
                <w:bCs/>
                <w:snapToGrid w:val="0"/>
                <w:color w:val="auto"/>
                <w:sz w:val="28"/>
                <w:szCs w:val="28"/>
                <w:vertAlign w:val="baseline"/>
                <w:lang w:val="en-US" w:eastAsia="zh-CN"/>
              </w:rPr>
            </w:pPr>
            <w:r>
              <w:rPr>
                <w:rFonts w:hint="default" w:ascii="Times New Roman" w:hAnsi="Times New Roman" w:eastAsia="宋体" w:cs="Times New Roman"/>
                <w:b/>
                <w:bCs/>
                <w:snapToGrid w:val="0"/>
                <w:color w:val="auto"/>
                <w:sz w:val="28"/>
                <w:szCs w:val="28"/>
                <w:vertAlign w:val="baseline"/>
                <w:lang w:val="en-US" w:eastAsia="zh-CN"/>
              </w:rPr>
              <w:drawing>
                <wp:inline distT="0" distB="0" distL="114300" distR="114300">
                  <wp:extent cx="3667760" cy="2386330"/>
                  <wp:effectExtent l="0" t="0" r="8890" b="13970"/>
                  <wp:docPr id="43" name="图片 43" descr="南侧隔路农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南侧隔路农田"/>
                          <pic:cNvPicPr>
                            <a:picLocks noChangeAspect="1"/>
                          </pic:cNvPicPr>
                        </pic:nvPicPr>
                        <pic:blipFill>
                          <a:blip r:embed="rId33"/>
                          <a:stretch>
                            <a:fillRect/>
                          </a:stretch>
                        </pic:blipFill>
                        <pic:spPr>
                          <a:xfrm>
                            <a:off x="0" y="0"/>
                            <a:ext cx="3667760" cy="23863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pStyle w:val="14"/>
              <w:bidi w:val="0"/>
              <w:adjustRightInd w:val="0"/>
              <w:snapToGrid w:val="0"/>
              <w:spacing w:before="0" w:beforeAutospacing="0" w:after="0" w:afterAutospacing="0"/>
              <w:ind w:right="0" w:rightChars="0"/>
              <w:jc w:val="both"/>
              <w:outlineLvl w:val="0"/>
              <w:rPr>
                <w:rFonts w:hint="default" w:ascii="Times New Roman" w:hAnsi="Times New Roman" w:eastAsia="宋体" w:cs="Times New Roman"/>
                <w:b/>
                <w:bCs/>
                <w:snapToGrid w:val="0"/>
                <w:color w:val="auto"/>
                <w:sz w:val="28"/>
                <w:szCs w:val="28"/>
                <w:vertAlign w:val="baseline"/>
                <w:lang w:val="en-US" w:eastAsia="zh-CN"/>
              </w:rPr>
            </w:pPr>
            <w:r>
              <w:rPr>
                <w:rFonts w:hint="eastAsia" w:ascii="Times New Roman" w:hAnsi="Times New Roman" w:cs="Times New Roman"/>
                <w:b/>
                <w:bCs/>
                <w:snapToGrid w:val="0"/>
                <w:color w:val="auto"/>
                <w:sz w:val="28"/>
                <w:szCs w:val="28"/>
                <w:vertAlign w:val="baseline"/>
                <w:lang w:val="en-US" w:eastAsia="zh-CN"/>
              </w:rPr>
              <w:t>北侧农田</w:t>
            </w:r>
          </w:p>
        </w:tc>
        <w:tc>
          <w:tcPr>
            <w:tcW w:w="4530" w:type="dxa"/>
          </w:tcPr>
          <w:p>
            <w:pPr>
              <w:pStyle w:val="14"/>
              <w:bidi w:val="0"/>
              <w:adjustRightInd w:val="0"/>
              <w:snapToGrid w:val="0"/>
              <w:spacing w:before="0" w:beforeAutospacing="0" w:after="0" w:afterAutospacing="0"/>
              <w:ind w:right="0" w:rightChars="0"/>
              <w:jc w:val="both"/>
              <w:outlineLvl w:val="0"/>
              <w:rPr>
                <w:rFonts w:hint="default" w:ascii="Times New Roman" w:hAnsi="Times New Roman" w:eastAsia="宋体" w:cs="Times New Roman"/>
                <w:b/>
                <w:bCs/>
                <w:snapToGrid w:val="0"/>
                <w:color w:val="auto"/>
                <w:sz w:val="28"/>
                <w:szCs w:val="28"/>
                <w:vertAlign w:val="baseline"/>
                <w:lang w:val="en-US" w:eastAsia="zh-CN"/>
              </w:rPr>
            </w:pPr>
            <w:r>
              <w:rPr>
                <w:rFonts w:hint="eastAsia" w:ascii="Times New Roman" w:hAnsi="Times New Roman" w:cs="Times New Roman"/>
                <w:b/>
                <w:bCs/>
                <w:snapToGrid w:val="0"/>
                <w:color w:val="auto"/>
                <w:sz w:val="28"/>
                <w:szCs w:val="28"/>
                <w:vertAlign w:val="baseline"/>
                <w:lang w:val="en-US" w:eastAsia="zh-CN"/>
              </w:rPr>
              <w:t>南侧隔路为农田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pStyle w:val="14"/>
              <w:bidi w:val="0"/>
              <w:adjustRightInd w:val="0"/>
              <w:snapToGrid w:val="0"/>
              <w:spacing w:before="0" w:beforeAutospacing="0" w:after="0" w:afterAutospacing="0"/>
              <w:ind w:right="0" w:rightChars="0"/>
              <w:jc w:val="both"/>
              <w:outlineLvl w:val="0"/>
              <w:rPr>
                <w:rFonts w:hint="default" w:ascii="Times New Roman" w:hAnsi="Times New Roman" w:eastAsia="宋体" w:cs="Times New Roman"/>
                <w:b/>
                <w:bCs/>
                <w:snapToGrid w:val="0"/>
                <w:color w:val="auto"/>
                <w:sz w:val="28"/>
                <w:szCs w:val="28"/>
                <w:vertAlign w:val="baseline"/>
                <w:lang w:val="en-US" w:eastAsia="zh-CN"/>
              </w:rPr>
            </w:pPr>
            <w:r>
              <w:rPr>
                <w:rFonts w:hint="default" w:ascii="Times New Roman" w:hAnsi="Times New Roman" w:eastAsia="宋体" w:cs="Times New Roman"/>
                <w:b/>
                <w:bCs/>
                <w:snapToGrid w:val="0"/>
                <w:color w:val="auto"/>
                <w:sz w:val="28"/>
                <w:szCs w:val="28"/>
                <w:vertAlign w:val="baseline"/>
                <w:lang w:val="en-US" w:eastAsia="zh-CN"/>
              </w:rPr>
              <w:drawing>
                <wp:inline distT="0" distB="0" distL="114300" distR="114300">
                  <wp:extent cx="2191385" cy="2922905"/>
                  <wp:effectExtent l="0" t="0" r="10795" b="18415"/>
                  <wp:docPr id="50" name="图片 50" descr="东侧居民民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东侧居民民房"/>
                          <pic:cNvPicPr>
                            <a:picLocks noChangeAspect="1"/>
                          </pic:cNvPicPr>
                        </pic:nvPicPr>
                        <pic:blipFill>
                          <a:blip r:embed="rId34"/>
                          <a:stretch>
                            <a:fillRect/>
                          </a:stretch>
                        </pic:blipFill>
                        <pic:spPr>
                          <a:xfrm rot="16200000">
                            <a:off x="0" y="0"/>
                            <a:ext cx="2191385" cy="2922905"/>
                          </a:xfrm>
                          <a:prstGeom prst="rect">
                            <a:avLst/>
                          </a:prstGeom>
                        </pic:spPr>
                      </pic:pic>
                    </a:graphicData>
                  </a:graphic>
                </wp:inline>
              </w:drawing>
            </w:r>
          </w:p>
        </w:tc>
        <w:tc>
          <w:tcPr>
            <w:tcW w:w="4530" w:type="dxa"/>
          </w:tcPr>
          <w:p>
            <w:pPr>
              <w:pStyle w:val="14"/>
              <w:bidi w:val="0"/>
              <w:adjustRightInd w:val="0"/>
              <w:snapToGrid w:val="0"/>
              <w:spacing w:before="0" w:beforeAutospacing="0" w:after="0" w:afterAutospacing="0"/>
              <w:ind w:right="0" w:rightChars="0"/>
              <w:jc w:val="both"/>
              <w:outlineLvl w:val="0"/>
              <w:rPr>
                <w:rFonts w:hint="default" w:ascii="Times New Roman" w:hAnsi="Times New Roman" w:eastAsia="宋体" w:cs="Times New Roman"/>
                <w:b/>
                <w:bCs/>
                <w:snapToGrid w:val="0"/>
                <w:color w:val="auto"/>
                <w:sz w:val="28"/>
                <w:szCs w:val="28"/>
                <w:vertAlign w:val="baseline"/>
                <w:lang w:val="en-US" w:eastAsia="zh-CN"/>
              </w:rPr>
            </w:pPr>
            <w:r>
              <w:rPr>
                <w:rFonts w:hint="default" w:ascii="Times New Roman" w:hAnsi="Times New Roman" w:eastAsia="宋体" w:cs="Times New Roman"/>
                <w:b/>
                <w:bCs/>
                <w:snapToGrid w:val="0"/>
                <w:color w:val="auto"/>
                <w:sz w:val="28"/>
                <w:szCs w:val="28"/>
                <w:vertAlign w:val="baseline"/>
                <w:lang w:val="en-US" w:eastAsia="zh-CN"/>
              </w:rPr>
              <w:drawing>
                <wp:inline distT="0" distB="0" distL="114300" distR="114300">
                  <wp:extent cx="2202815" cy="3793490"/>
                  <wp:effectExtent l="0" t="0" r="16510" b="6985"/>
                  <wp:docPr id="46" name="图片 46" descr="西侧农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西侧农田"/>
                          <pic:cNvPicPr>
                            <a:picLocks noChangeAspect="1"/>
                          </pic:cNvPicPr>
                        </pic:nvPicPr>
                        <pic:blipFill>
                          <a:blip r:embed="rId35"/>
                          <a:stretch>
                            <a:fillRect/>
                          </a:stretch>
                        </pic:blipFill>
                        <pic:spPr>
                          <a:xfrm rot="16200000">
                            <a:off x="0" y="0"/>
                            <a:ext cx="2202815" cy="37934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pStyle w:val="14"/>
              <w:bidi w:val="0"/>
              <w:adjustRightInd w:val="0"/>
              <w:snapToGrid w:val="0"/>
              <w:spacing w:before="0" w:beforeAutospacing="0" w:after="0" w:afterAutospacing="0"/>
              <w:ind w:right="0" w:rightChars="0"/>
              <w:jc w:val="both"/>
              <w:outlineLvl w:val="0"/>
              <w:rPr>
                <w:rFonts w:hint="default" w:ascii="Times New Roman" w:hAnsi="Times New Roman" w:eastAsia="宋体" w:cs="Times New Roman"/>
                <w:b/>
                <w:bCs/>
                <w:snapToGrid w:val="0"/>
                <w:color w:val="auto"/>
                <w:sz w:val="28"/>
                <w:szCs w:val="28"/>
                <w:vertAlign w:val="baseline"/>
                <w:lang w:val="en-US" w:eastAsia="zh-CN"/>
              </w:rPr>
            </w:pPr>
            <w:r>
              <w:rPr>
                <w:rFonts w:hint="eastAsia" w:ascii="Times New Roman" w:hAnsi="Times New Roman" w:cs="Times New Roman"/>
                <w:b/>
                <w:bCs/>
                <w:snapToGrid w:val="0"/>
                <w:color w:val="auto"/>
                <w:sz w:val="28"/>
                <w:szCs w:val="28"/>
                <w:vertAlign w:val="baseline"/>
                <w:lang w:val="en-US" w:eastAsia="zh-CN"/>
              </w:rPr>
              <w:t>东侧居民民房</w:t>
            </w:r>
          </w:p>
        </w:tc>
        <w:tc>
          <w:tcPr>
            <w:tcW w:w="4530" w:type="dxa"/>
          </w:tcPr>
          <w:p>
            <w:pPr>
              <w:pStyle w:val="14"/>
              <w:bidi w:val="0"/>
              <w:adjustRightInd w:val="0"/>
              <w:snapToGrid w:val="0"/>
              <w:spacing w:before="0" w:beforeAutospacing="0" w:after="0" w:afterAutospacing="0"/>
              <w:ind w:right="0" w:rightChars="0"/>
              <w:jc w:val="both"/>
              <w:outlineLvl w:val="0"/>
              <w:rPr>
                <w:rFonts w:hint="default" w:ascii="Times New Roman" w:hAnsi="Times New Roman" w:eastAsia="宋体" w:cs="Times New Roman"/>
                <w:b/>
                <w:bCs/>
                <w:snapToGrid w:val="0"/>
                <w:color w:val="auto"/>
                <w:sz w:val="28"/>
                <w:szCs w:val="28"/>
                <w:vertAlign w:val="baseline"/>
                <w:lang w:val="en-US" w:eastAsia="zh-CN"/>
              </w:rPr>
            </w:pPr>
            <w:r>
              <w:rPr>
                <w:rFonts w:hint="eastAsia" w:ascii="Times New Roman" w:hAnsi="Times New Roman" w:cs="Times New Roman"/>
                <w:b/>
                <w:bCs/>
                <w:snapToGrid w:val="0"/>
                <w:color w:val="auto"/>
                <w:sz w:val="28"/>
                <w:szCs w:val="28"/>
                <w:vertAlign w:val="baseline"/>
                <w:lang w:val="en-US" w:eastAsia="zh-CN"/>
              </w:rPr>
              <w:t>西侧农田</w:t>
            </w:r>
          </w:p>
        </w:tc>
      </w:tr>
    </w:tbl>
    <w:p>
      <w:pPr>
        <w:pStyle w:val="14"/>
        <w:bidi w:val="0"/>
        <w:adjustRightInd w:val="0"/>
        <w:snapToGrid w:val="0"/>
        <w:spacing w:before="0" w:beforeAutospacing="0" w:after="0" w:afterAutospacing="0"/>
        <w:ind w:left="0" w:leftChars="0" w:right="0" w:rightChars="0"/>
        <w:jc w:val="both"/>
        <w:outlineLvl w:val="0"/>
        <w:rPr>
          <w:rFonts w:hint="default" w:ascii="Times New Roman" w:hAnsi="Times New Roman" w:eastAsia="宋体" w:cs="Times New Roman"/>
          <w:b/>
          <w:bCs/>
          <w:snapToGrid w:val="0"/>
          <w:color w:val="auto"/>
          <w:sz w:val="28"/>
          <w:szCs w:val="28"/>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32"/>
          <w:szCs w:val="32"/>
          <w:lang w:eastAsia="zh-CN"/>
        </w:rPr>
      </w:pPr>
      <w:r>
        <w:rPr>
          <w:rFonts w:hint="default" w:ascii="Times New Roman" w:hAnsi="Times New Roman" w:eastAsia="宋体" w:cs="Times New Roman"/>
          <w:b/>
          <w:bCs/>
          <w:snapToGrid w:val="0"/>
          <w:color w:val="auto"/>
          <w:sz w:val="32"/>
          <w:szCs w:val="32"/>
          <w:lang w:eastAsia="zh-CN"/>
        </w:rPr>
        <w:t>附件</w:t>
      </w:r>
      <w:bookmarkEnd w:id="83"/>
      <w:bookmarkEnd w:id="84"/>
      <w:bookmarkEnd w:id="85"/>
      <w:bookmarkEnd w:id="86"/>
      <w:bookmarkEnd w:id="87"/>
      <w:bookmarkEnd w:id="88"/>
      <w:bookmarkEnd w:id="89"/>
      <w:bookmarkEnd w:id="90"/>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91" w:name="_Toc27657"/>
      <w:r>
        <w:rPr>
          <w:rFonts w:hint="default" w:ascii="Times New Roman" w:hAnsi="Times New Roman" w:eastAsia="宋体" w:cs="Times New Roman"/>
          <w:b/>
          <w:bCs/>
          <w:snapToGrid w:val="0"/>
          <w:color w:val="auto"/>
          <w:sz w:val="28"/>
          <w:szCs w:val="28"/>
          <w:lang w:val="en-US" w:eastAsia="zh-CN"/>
        </w:rPr>
        <w:t>附件1  营业执照</w:t>
      </w:r>
      <w:bookmarkEnd w:id="91"/>
    </w:p>
    <w:p>
      <w:pPr>
        <w:pStyle w:val="16"/>
        <w:bidi w:val="0"/>
        <w:spacing w:beforeAutospacing="0" w:after="0" w:afterAutospacing="0"/>
        <w:ind w:left="0" w:leftChars="0" w:right="0" w:rightChars="0" w:firstLine="210"/>
        <w:rPr>
          <w:rFonts w:hint="default" w:ascii="Times New Roman" w:hAnsi="Times New Roman" w:eastAsia="宋体" w:cs="Times New Roman"/>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eastAsia="宋体"/>
          <w:lang w:eastAsia="zh-CN"/>
        </w:rPr>
        <w:drawing>
          <wp:inline distT="0" distB="0" distL="114300" distR="114300">
            <wp:extent cx="7072630" cy="4980940"/>
            <wp:effectExtent l="0" t="0" r="13970" b="10160"/>
            <wp:docPr id="71" name="图片 71" descr="众诚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众诚营业执照"/>
                    <pic:cNvPicPr>
                      <a:picLocks noChangeAspect="1"/>
                    </pic:cNvPicPr>
                  </pic:nvPicPr>
                  <pic:blipFill>
                    <a:blip r:embed="rId36"/>
                    <a:stretch>
                      <a:fillRect/>
                    </a:stretch>
                  </pic:blipFill>
                  <pic:spPr>
                    <a:xfrm>
                      <a:off x="0" y="0"/>
                      <a:ext cx="7072630" cy="4980940"/>
                    </a:xfrm>
                    <a:prstGeom prst="rect">
                      <a:avLst/>
                    </a:prstGeom>
                  </pic:spPr>
                </pic:pic>
              </a:graphicData>
            </a:graphic>
          </wp:inline>
        </w:drawing>
      </w: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92" w:name="_Toc20781"/>
      <w:r>
        <w:rPr>
          <w:rFonts w:hint="default" w:ascii="Times New Roman" w:hAnsi="Times New Roman" w:eastAsia="宋体" w:cs="Times New Roman"/>
          <w:b/>
          <w:bCs/>
          <w:snapToGrid w:val="0"/>
          <w:color w:val="auto"/>
          <w:sz w:val="28"/>
          <w:szCs w:val="28"/>
          <w:lang w:val="en-US" w:eastAsia="zh-CN"/>
        </w:rPr>
        <w:t xml:space="preserve">附件2  </w:t>
      </w:r>
      <w:r>
        <w:rPr>
          <w:rFonts w:hint="eastAsia" w:ascii="Times New Roman" w:hAnsi="Times New Roman" w:cs="Times New Roman"/>
          <w:b/>
          <w:bCs/>
          <w:snapToGrid w:val="0"/>
          <w:color w:val="auto"/>
          <w:sz w:val="28"/>
          <w:szCs w:val="28"/>
          <w:lang w:val="en-US" w:eastAsia="zh-CN"/>
        </w:rPr>
        <w:t>用地证明</w:t>
      </w:r>
      <w:bookmarkEnd w:id="92"/>
    </w:p>
    <w:p>
      <w:pPr>
        <w:bidi w:val="0"/>
        <w:spacing w:beforeAutospacing="0" w:afterAutospacing="0"/>
        <w:ind w:left="0" w:leftChars="0" w:right="0" w:rightChars="0"/>
        <w:rPr>
          <w:rFonts w:hint="default" w:ascii="Times New Roman" w:hAnsi="Times New Roman" w:eastAsia="宋体" w:cs="Times New Roman"/>
          <w:color w:val="auto"/>
          <w:lang w:eastAsia="zh-CN"/>
        </w:rPr>
      </w:pPr>
    </w:p>
    <w:p>
      <w:pPr>
        <w:pStyle w:val="23"/>
        <w:rPr>
          <w:rFonts w:hint="default"/>
          <w:lang w:eastAsia="zh-CN"/>
        </w:rPr>
      </w:pPr>
      <w:r>
        <w:rPr>
          <w:rFonts w:hint="default"/>
          <w:lang w:eastAsia="zh-CN"/>
        </w:rPr>
        <w:drawing>
          <wp:inline distT="0" distB="0" distL="114300" distR="114300">
            <wp:extent cx="5608320" cy="7474585"/>
            <wp:effectExtent l="0" t="0" r="11430" b="12065"/>
            <wp:docPr id="54" name="图片 54" descr="微信图片_2022112414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微信图片_20221124140925"/>
                    <pic:cNvPicPr>
                      <a:picLocks noChangeAspect="1"/>
                    </pic:cNvPicPr>
                  </pic:nvPicPr>
                  <pic:blipFill>
                    <a:blip r:embed="rId37"/>
                    <a:stretch>
                      <a:fillRect/>
                    </a:stretch>
                  </pic:blipFill>
                  <pic:spPr>
                    <a:xfrm>
                      <a:off x="0" y="0"/>
                      <a:ext cx="5608320" cy="7474585"/>
                    </a:xfrm>
                    <a:prstGeom prst="rect">
                      <a:avLst/>
                    </a:prstGeom>
                  </pic:spPr>
                </pic:pic>
              </a:graphicData>
            </a:graphic>
          </wp:inline>
        </w:drawing>
      </w:r>
    </w:p>
    <w:p>
      <w:pPr>
        <w:rPr>
          <w:rFonts w:hint="default"/>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textAlignment w:val="auto"/>
        <w:outlineLvl w:val="0"/>
        <w:rPr>
          <w:rFonts w:hint="default" w:ascii="Times New Roman" w:hAnsi="Times New Roman" w:eastAsia="宋体" w:cs="Times New Roman"/>
          <w:b/>
          <w:bCs/>
          <w:snapToGrid w:val="0"/>
          <w:color w:val="auto"/>
          <w:sz w:val="28"/>
          <w:szCs w:val="28"/>
          <w:lang w:val="en-US" w:eastAsia="zh-CN"/>
        </w:rPr>
      </w:pPr>
      <w:bookmarkStart w:id="93" w:name="_Toc6905"/>
      <w:r>
        <w:rPr>
          <w:rFonts w:hint="default" w:ascii="Times New Roman" w:hAnsi="Times New Roman" w:eastAsia="宋体" w:cs="Times New Roman"/>
          <w:b/>
          <w:bCs/>
          <w:snapToGrid w:val="0"/>
          <w:color w:val="auto"/>
          <w:sz w:val="28"/>
          <w:szCs w:val="28"/>
          <w:lang w:val="en-US" w:eastAsia="zh-CN"/>
        </w:rPr>
        <w:t>附件</w:t>
      </w:r>
      <w:r>
        <w:rPr>
          <w:rFonts w:hint="eastAsia" w:ascii="Times New Roman" w:hAnsi="Times New Roman" w:cs="Times New Roman"/>
          <w:b/>
          <w:bCs/>
          <w:snapToGrid w:val="0"/>
          <w:color w:val="auto"/>
          <w:sz w:val="28"/>
          <w:szCs w:val="28"/>
          <w:lang w:val="en-US" w:eastAsia="zh-CN"/>
        </w:rPr>
        <w:t>3</w:t>
      </w:r>
      <w:r>
        <w:rPr>
          <w:rFonts w:hint="default" w:ascii="Times New Roman" w:hAnsi="Times New Roman" w:eastAsia="宋体" w:cs="Times New Roman"/>
          <w:b/>
          <w:bCs/>
          <w:snapToGrid w:val="0"/>
          <w:color w:val="auto"/>
          <w:sz w:val="28"/>
          <w:szCs w:val="28"/>
          <w:lang w:val="en-US" w:eastAsia="zh-CN"/>
        </w:rPr>
        <w:t xml:space="preserve">  </w:t>
      </w:r>
      <w:r>
        <w:rPr>
          <w:rFonts w:hint="eastAsia" w:ascii="Times New Roman" w:hAnsi="Times New Roman" w:cs="Times New Roman"/>
          <w:b/>
          <w:bCs/>
          <w:snapToGrid w:val="0"/>
          <w:color w:val="auto"/>
          <w:sz w:val="28"/>
          <w:szCs w:val="28"/>
          <w:lang w:val="en-US" w:eastAsia="zh-CN"/>
        </w:rPr>
        <w:t>租赁合同</w:t>
      </w:r>
      <w:r>
        <w:rPr>
          <w:rFonts w:hint="default" w:ascii="Times New Roman" w:hAnsi="Times New Roman" w:eastAsia="宋体" w:cs="Times New Roman"/>
          <w:b/>
          <w:bCs/>
          <w:snapToGrid w:val="0"/>
          <w:color w:val="auto"/>
          <w:sz w:val="28"/>
          <w:szCs w:val="28"/>
          <w:lang w:val="en-US" w:eastAsia="zh-CN"/>
        </w:rPr>
        <w:drawing>
          <wp:inline distT="0" distB="0" distL="114300" distR="114300">
            <wp:extent cx="5595620" cy="7912100"/>
            <wp:effectExtent l="0" t="0" r="5080" b="12700"/>
            <wp:docPr id="23" name="图片 23" descr="租赁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租赁合同"/>
                    <pic:cNvPicPr>
                      <a:picLocks noChangeAspect="1"/>
                    </pic:cNvPicPr>
                  </pic:nvPicPr>
                  <pic:blipFill>
                    <a:blip r:embed="rId38"/>
                    <a:stretch>
                      <a:fillRect/>
                    </a:stretch>
                  </pic:blipFill>
                  <pic:spPr>
                    <a:xfrm>
                      <a:off x="0" y="0"/>
                      <a:ext cx="5595620" cy="7912100"/>
                    </a:xfrm>
                    <a:prstGeom prst="rect">
                      <a:avLst/>
                    </a:prstGeom>
                  </pic:spPr>
                </pic:pic>
              </a:graphicData>
            </a:graphic>
          </wp:inline>
        </w:drawing>
      </w:r>
      <w:bookmarkEnd w:id="93"/>
    </w:p>
    <w:p>
      <w:pPr>
        <w:pStyle w:val="23"/>
        <w:rPr>
          <w:rFonts w:hint="default"/>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94" w:name="_Toc16097"/>
      <w:r>
        <w:rPr>
          <w:rFonts w:hint="default" w:ascii="Times New Roman" w:hAnsi="Times New Roman" w:eastAsia="宋体" w:cs="Times New Roman"/>
          <w:b/>
          <w:bCs/>
          <w:snapToGrid w:val="0"/>
          <w:color w:val="auto"/>
          <w:sz w:val="28"/>
          <w:szCs w:val="28"/>
          <w:lang w:val="en-US" w:eastAsia="zh-CN"/>
        </w:rPr>
        <w:t>附件</w:t>
      </w:r>
      <w:r>
        <w:rPr>
          <w:rFonts w:hint="eastAsia" w:ascii="Times New Roman" w:hAnsi="Times New Roman" w:cs="Times New Roman"/>
          <w:b/>
          <w:bCs/>
          <w:snapToGrid w:val="0"/>
          <w:color w:val="auto"/>
          <w:sz w:val="28"/>
          <w:szCs w:val="28"/>
          <w:lang w:val="en-US" w:eastAsia="zh-CN"/>
        </w:rPr>
        <w:t>4</w:t>
      </w:r>
      <w:r>
        <w:rPr>
          <w:rFonts w:hint="default" w:ascii="Times New Roman" w:hAnsi="Times New Roman" w:eastAsia="宋体" w:cs="Times New Roman"/>
          <w:b/>
          <w:bCs/>
          <w:snapToGrid w:val="0"/>
          <w:color w:val="auto"/>
          <w:sz w:val="28"/>
          <w:szCs w:val="28"/>
          <w:lang w:val="en-US" w:eastAsia="zh-CN"/>
        </w:rPr>
        <w:t xml:space="preserve">  </w:t>
      </w:r>
      <w:r>
        <w:rPr>
          <w:rFonts w:hint="eastAsia" w:ascii="Times New Roman" w:hAnsi="Times New Roman" w:cs="Times New Roman"/>
          <w:b/>
          <w:bCs/>
          <w:snapToGrid w:val="0"/>
          <w:color w:val="auto"/>
          <w:sz w:val="28"/>
          <w:szCs w:val="28"/>
          <w:lang w:val="en-US" w:eastAsia="zh-CN"/>
        </w:rPr>
        <w:t>燃料</w:t>
      </w:r>
      <w:r>
        <w:rPr>
          <w:rFonts w:hint="default" w:ascii="Times New Roman" w:hAnsi="Times New Roman" w:eastAsia="宋体" w:cs="Times New Roman"/>
          <w:b/>
          <w:bCs/>
          <w:snapToGrid w:val="0"/>
          <w:color w:val="auto"/>
          <w:sz w:val="28"/>
          <w:szCs w:val="28"/>
          <w:lang w:val="en-US" w:eastAsia="zh-CN"/>
        </w:rPr>
        <w:t>成分分析报告</w:t>
      </w:r>
      <w:bookmarkEnd w:id="94"/>
    </w:p>
    <w:p>
      <w:pPr>
        <w:pStyle w:val="16"/>
        <w:bidi w:val="0"/>
        <w:spacing w:beforeAutospacing="0" w:after="0" w:afterAutospacing="0"/>
        <w:ind w:left="0" w:leftChars="0" w:right="0" w:rightChars="0" w:firstLine="210"/>
        <w:rPr>
          <w:rFonts w:hint="default" w:ascii="Times New Roman" w:hAnsi="Times New Roman" w:eastAsia="宋体" w:cs="Times New Roman"/>
          <w:color w:val="auto"/>
        </w:rPr>
      </w:pPr>
      <w:r>
        <w:rPr>
          <w:b/>
          <w:bCs/>
          <w:szCs w:val="24"/>
        </w:rPr>
        <w:drawing>
          <wp:anchor distT="0" distB="0" distL="114300" distR="114300" simplePos="0" relativeHeight="251686912" behindDoc="1" locked="0" layoutInCell="1" allowOverlap="1">
            <wp:simplePos x="0" y="0"/>
            <wp:positionH relativeFrom="column">
              <wp:posOffset>162560</wp:posOffset>
            </wp:positionH>
            <wp:positionV relativeFrom="paragraph">
              <wp:posOffset>117475</wp:posOffset>
            </wp:positionV>
            <wp:extent cx="7825740" cy="4827270"/>
            <wp:effectExtent l="0" t="0" r="0" b="0"/>
            <wp:wrapTight wrapText="bothSides">
              <wp:wrapPolygon>
                <wp:start x="0" y="0"/>
                <wp:lineTo x="0" y="21481"/>
                <wp:lineTo x="21558" y="21481"/>
                <wp:lineTo x="21558" y="0"/>
                <wp:lineTo x="0" y="0"/>
              </wp:wrapPolygon>
            </wp:wrapTight>
            <wp:docPr id="10" name="图片 2" descr="生物质燃料分析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生物质燃料分析单"/>
                    <pic:cNvPicPr>
                      <a:picLocks noChangeAspect="1"/>
                    </pic:cNvPicPr>
                  </pic:nvPicPr>
                  <pic:blipFill>
                    <a:blip r:embed="rId39"/>
                    <a:stretch>
                      <a:fillRect/>
                    </a:stretch>
                  </pic:blipFill>
                  <pic:spPr>
                    <a:xfrm>
                      <a:off x="0" y="0"/>
                      <a:ext cx="7825740" cy="4827270"/>
                    </a:xfrm>
                    <a:prstGeom prst="rect">
                      <a:avLst/>
                    </a:prstGeom>
                    <a:noFill/>
                    <a:ln>
                      <a:noFill/>
                    </a:ln>
                  </pic:spPr>
                </pic:pic>
              </a:graphicData>
            </a:graphic>
          </wp:anchor>
        </w:drawing>
      </w:r>
    </w:p>
    <w:p>
      <w:pPr>
        <w:pStyle w:val="16"/>
        <w:bidi w:val="0"/>
        <w:spacing w:beforeAutospacing="0" w:after="0" w:afterAutospacing="0"/>
        <w:ind w:left="0" w:leftChars="0" w:right="0" w:rightChars="0" w:firstLine="254"/>
        <w:rPr>
          <w:rFonts w:hint="default" w:ascii="Times New Roman" w:hAnsi="Times New Roman" w:eastAsia="宋体" w:cs="Times New Roman"/>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95" w:name="_Toc18546"/>
      <w:r>
        <w:rPr>
          <w:rFonts w:hint="default" w:ascii="Times New Roman" w:hAnsi="Times New Roman" w:eastAsia="宋体" w:cs="Times New Roman"/>
          <w:b/>
          <w:bCs/>
          <w:snapToGrid w:val="0"/>
          <w:color w:val="auto"/>
          <w:sz w:val="28"/>
          <w:szCs w:val="28"/>
          <w:lang w:val="en-US" w:eastAsia="zh-CN"/>
        </w:rPr>
        <w:t>附件</w:t>
      </w:r>
      <w:r>
        <w:rPr>
          <w:rFonts w:hint="eastAsia" w:ascii="Times New Roman" w:hAnsi="Times New Roman" w:cs="Times New Roman"/>
          <w:b/>
          <w:bCs/>
          <w:snapToGrid w:val="0"/>
          <w:color w:val="auto"/>
          <w:sz w:val="28"/>
          <w:szCs w:val="28"/>
          <w:lang w:val="en-US" w:eastAsia="zh-CN"/>
        </w:rPr>
        <w:t>5</w:t>
      </w:r>
      <w:r>
        <w:rPr>
          <w:rFonts w:hint="default" w:ascii="Times New Roman" w:hAnsi="Times New Roman" w:eastAsia="宋体" w:cs="Times New Roman"/>
          <w:b/>
          <w:bCs/>
          <w:snapToGrid w:val="0"/>
          <w:color w:val="auto"/>
          <w:sz w:val="28"/>
          <w:szCs w:val="28"/>
          <w:lang w:val="en-US" w:eastAsia="zh-CN"/>
        </w:rPr>
        <w:t xml:space="preserve">  </w:t>
      </w:r>
      <w:r>
        <w:rPr>
          <w:rFonts w:hint="eastAsia" w:ascii="Times New Roman" w:hAnsi="Times New Roman" w:cs="Times New Roman"/>
          <w:b/>
          <w:bCs/>
          <w:snapToGrid w:val="0"/>
          <w:color w:val="auto"/>
          <w:sz w:val="28"/>
          <w:szCs w:val="28"/>
          <w:lang w:val="en-US" w:eastAsia="zh-CN"/>
        </w:rPr>
        <w:t>现状</w:t>
      </w:r>
      <w:r>
        <w:rPr>
          <w:rFonts w:hint="eastAsia" w:ascii="Times New Roman" w:hAnsi="Times New Roman" w:eastAsia="宋体" w:cs="Times New Roman"/>
          <w:b/>
          <w:bCs/>
          <w:snapToGrid w:val="0"/>
          <w:color w:val="auto"/>
          <w:sz w:val="28"/>
          <w:szCs w:val="28"/>
          <w:lang w:val="en-US" w:eastAsia="zh-CN"/>
        </w:rPr>
        <w:t>监测报告</w:t>
      </w:r>
      <w:r>
        <w:rPr>
          <w:rFonts w:hint="default" w:ascii="Times New Roman" w:hAnsi="Times New Roman" w:eastAsia="宋体" w:cs="Times New Roman"/>
          <w:b/>
          <w:bCs/>
          <w:snapToGrid w:val="0"/>
          <w:color w:val="auto"/>
          <w:sz w:val="28"/>
          <w:szCs w:val="28"/>
          <w:lang w:val="en-US" w:eastAsia="zh-CN"/>
        </w:rPr>
        <w:drawing>
          <wp:inline distT="0" distB="0" distL="114300" distR="114300">
            <wp:extent cx="5615305" cy="7945755"/>
            <wp:effectExtent l="0" t="0" r="4445" b="17145"/>
            <wp:docPr id="11" name="图片 11" descr="检测报告-哈尔滨众诚牧业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检测报告-哈尔滨众诚牧业_00"/>
                    <pic:cNvPicPr>
                      <a:picLocks noChangeAspect="1"/>
                    </pic:cNvPicPr>
                  </pic:nvPicPr>
                  <pic:blipFill>
                    <a:blip r:embed="rId40"/>
                    <a:stretch>
                      <a:fillRect/>
                    </a:stretch>
                  </pic:blipFill>
                  <pic:spPr>
                    <a:xfrm>
                      <a:off x="0" y="0"/>
                      <a:ext cx="5615305" cy="7945755"/>
                    </a:xfrm>
                    <a:prstGeom prst="rect">
                      <a:avLst/>
                    </a:prstGeom>
                  </pic:spPr>
                </pic:pic>
              </a:graphicData>
            </a:graphic>
          </wp:inline>
        </w:drawing>
      </w:r>
      <w:r>
        <w:rPr>
          <w:rFonts w:hint="default" w:ascii="Times New Roman" w:hAnsi="Times New Roman" w:eastAsia="宋体" w:cs="Times New Roman"/>
          <w:b/>
          <w:bCs/>
          <w:snapToGrid w:val="0"/>
          <w:color w:val="auto"/>
          <w:sz w:val="28"/>
          <w:szCs w:val="28"/>
          <w:lang w:val="en-US" w:eastAsia="zh-CN"/>
        </w:rPr>
        <w:drawing>
          <wp:inline distT="0" distB="0" distL="114300" distR="114300">
            <wp:extent cx="5615305" cy="7945755"/>
            <wp:effectExtent l="0" t="0" r="4445" b="17145"/>
            <wp:docPr id="14" name="图片 14" descr="检测报告-哈尔滨众诚牧业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检测报告-哈尔滨众诚牧业_01"/>
                    <pic:cNvPicPr>
                      <a:picLocks noChangeAspect="1"/>
                    </pic:cNvPicPr>
                  </pic:nvPicPr>
                  <pic:blipFill>
                    <a:blip r:embed="rId41"/>
                    <a:stretch>
                      <a:fillRect/>
                    </a:stretch>
                  </pic:blipFill>
                  <pic:spPr>
                    <a:xfrm>
                      <a:off x="0" y="0"/>
                      <a:ext cx="5615305" cy="7945755"/>
                    </a:xfrm>
                    <a:prstGeom prst="rect">
                      <a:avLst/>
                    </a:prstGeom>
                  </pic:spPr>
                </pic:pic>
              </a:graphicData>
            </a:graphic>
          </wp:inline>
        </w:drawing>
      </w:r>
      <w:r>
        <w:rPr>
          <w:rFonts w:hint="default" w:ascii="Times New Roman" w:hAnsi="Times New Roman" w:eastAsia="宋体" w:cs="Times New Roman"/>
          <w:b/>
          <w:bCs/>
          <w:snapToGrid w:val="0"/>
          <w:color w:val="auto"/>
          <w:sz w:val="28"/>
          <w:szCs w:val="28"/>
          <w:lang w:val="en-US" w:eastAsia="zh-CN"/>
        </w:rPr>
        <w:drawing>
          <wp:inline distT="0" distB="0" distL="114300" distR="114300">
            <wp:extent cx="5615305" cy="7945755"/>
            <wp:effectExtent l="0" t="0" r="4445" b="17145"/>
            <wp:docPr id="16" name="图片 16" descr="检测报告-哈尔滨众诚牧业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检测报告-哈尔滨众诚牧业_02"/>
                    <pic:cNvPicPr>
                      <a:picLocks noChangeAspect="1"/>
                    </pic:cNvPicPr>
                  </pic:nvPicPr>
                  <pic:blipFill>
                    <a:blip r:embed="rId42"/>
                    <a:stretch>
                      <a:fillRect/>
                    </a:stretch>
                  </pic:blipFill>
                  <pic:spPr>
                    <a:xfrm>
                      <a:off x="0" y="0"/>
                      <a:ext cx="5615305" cy="7945755"/>
                    </a:xfrm>
                    <a:prstGeom prst="rect">
                      <a:avLst/>
                    </a:prstGeom>
                  </pic:spPr>
                </pic:pic>
              </a:graphicData>
            </a:graphic>
          </wp:inline>
        </w:drawing>
      </w:r>
      <w:r>
        <w:rPr>
          <w:rFonts w:hint="default" w:ascii="Times New Roman" w:hAnsi="Times New Roman" w:eastAsia="宋体" w:cs="Times New Roman"/>
          <w:b/>
          <w:bCs/>
          <w:snapToGrid w:val="0"/>
          <w:color w:val="auto"/>
          <w:sz w:val="28"/>
          <w:szCs w:val="28"/>
          <w:lang w:val="en-US" w:eastAsia="zh-CN"/>
        </w:rPr>
        <w:drawing>
          <wp:inline distT="0" distB="0" distL="114300" distR="114300">
            <wp:extent cx="5615305" cy="7945755"/>
            <wp:effectExtent l="0" t="0" r="4445" b="17145"/>
            <wp:docPr id="17" name="图片 17" descr="检测报告-哈尔滨众诚牧业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检测报告-哈尔滨众诚牧业_03"/>
                    <pic:cNvPicPr>
                      <a:picLocks noChangeAspect="1"/>
                    </pic:cNvPicPr>
                  </pic:nvPicPr>
                  <pic:blipFill>
                    <a:blip r:embed="rId43"/>
                    <a:stretch>
                      <a:fillRect/>
                    </a:stretch>
                  </pic:blipFill>
                  <pic:spPr>
                    <a:xfrm>
                      <a:off x="0" y="0"/>
                      <a:ext cx="5615305" cy="7945755"/>
                    </a:xfrm>
                    <a:prstGeom prst="rect">
                      <a:avLst/>
                    </a:prstGeom>
                  </pic:spPr>
                </pic:pic>
              </a:graphicData>
            </a:graphic>
          </wp:inline>
        </w:drawing>
      </w:r>
      <w:r>
        <w:rPr>
          <w:rFonts w:hint="default" w:ascii="Times New Roman" w:hAnsi="Times New Roman" w:eastAsia="宋体" w:cs="Times New Roman"/>
          <w:b/>
          <w:bCs/>
          <w:snapToGrid w:val="0"/>
          <w:color w:val="auto"/>
          <w:sz w:val="28"/>
          <w:szCs w:val="28"/>
          <w:lang w:val="en-US" w:eastAsia="zh-CN"/>
        </w:rPr>
        <w:drawing>
          <wp:inline distT="0" distB="0" distL="114300" distR="114300">
            <wp:extent cx="5615305" cy="7945755"/>
            <wp:effectExtent l="0" t="0" r="4445" b="17145"/>
            <wp:docPr id="20" name="图片 20" descr="检测报告-哈尔滨众诚牧业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检测报告-哈尔滨众诚牧业_04"/>
                    <pic:cNvPicPr>
                      <a:picLocks noChangeAspect="1"/>
                    </pic:cNvPicPr>
                  </pic:nvPicPr>
                  <pic:blipFill>
                    <a:blip r:embed="rId44"/>
                    <a:stretch>
                      <a:fillRect/>
                    </a:stretch>
                  </pic:blipFill>
                  <pic:spPr>
                    <a:xfrm>
                      <a:off x="0" y="0"/>
                      <a:ext cx="5615305" cy="7945755"/>
                    </a:xfrm>
                    <a:prstGeom prst="rect">
                      <a:avLst/>
                    </a:prstGeom>
                  </pic:spPr>
                </pic:pic>
              </a:graphicData>
            </a:graphic>
          </wp:inline>
        </w:drawing>
      </w:r>
      <w:r>
        <w:rPr>
          <w:rFonts w:hint="default" w:ascii="Times New Roman" w:hAnsi="Times New Roman" w:eastAsia="宋体" w:cs="Times New Roman"/>
          <w:b/>
          <w:bCs/>
          <w:snapToGrid w:val="0"/>
          <w:color w:val="auto"/>
          <w:sz w:val="28"/>
          <w:szCs w:val="28"/>
          <w:lang w:val="en-US" w:eastAsia="zh-CN"/>
        </w:rPr>
        <w:drawing>
          <wp:inline distT="0" distB="0" distL="114300" distR="114300">
            <wp:extent cx="5615305" cy="7945755"/>
            <wp:effectExtent l="0" t="0" r="4445" b="17145"/>
            <wp:docPr id="22" name="图片 22" descr="检测报告-哈尔滨众诚牧业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检测报告-哈尔滨众诚牧业_05"/>
                    <pic:cNvPicPr>
                      <a:picLocks noChangeAspect="1"/>
                    </pic:cNvPicPr>
                  </pic:nvPicPr>
                  <pic:blipFill>
                    <a:blip r:embed="rId45"/>
                    <a:stretch>
                      <a:fillRect/>
                    </a:stretch>
                  </pic:blipFill>
                  <pic:spPr>
                    <a:xfrm>
                      <a:off x="0" y="0"/>
                      <a:ext cx="5615305" cy="7945755"/>
                    </a:xfrm>
                    <a:prstGeom prst="rect">
                      <a:avLst/>
                    </a:prstGeom>
                  </pic:spPr>
                </pic:pic>
              </a:graphicData>
            </a:graphic>
          </wp:inline>
        </w:drawing>
      </w:r>
      <w:bookmarkEnd w:id="95"/>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jc w:val="both"/>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jc w:val="center"/>
        <w:outlineLvl w:val="0"/>
        <w:rPr>
          <w:rFonts w:hint="default" w:ascii="Times New Roman" w:hAnsi="Times New Roman" w:eastAsia="宋体" w:cs="Times New Roman"/>
          <w:b/>
          <w:bCs/>
          <w:snapToGrid w:val="0"/>
          <w:color w:val="auto"/>
          <w:sz w:val="28"/>
          <w:szCs w:val="28"/>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96" w:name="_Toc8274"/>
      <w:r>
        <w:rPr>
          <w:rFonts w:hint="default" w:ascii="Times New Roman" w:hAnsi="Times New Roman" w:eastAsia="宋体" w:cs="Times New Roman"/>
          <w:b/>
          <w:bCs/>
          <w:snapToGrid w:val="0"/>
          <w:color w:val="auto"/>
          <w:sz w:val="28"/>
          <w:szCs w:val="28"/>
          <w:lang w:val="en-US" w:eastAsia="zh-CN"/>
        </w:rPr>
        <w:t>附件</w:t>
      </w:r>
      <w:r>
        <w:rPr>
          <w:rFonts w:hint="eastAsia" w:ascii="Times New Roman" w:hAnsi="Times New Roman" w:cs="Times New Roman"/>
          <w:b/>
          <w:bCs/>
          <w:snapToGrid w:val="0"/>
          <w:color w:val="auto"/>
          <w:sz w:val="28"/>
          <w:szCs w:val="28"/>
          <w:lang w:val="en-US" w:eastAsia="zh-CN"/>
        </w:rPr>
        <w:t xml:space="preserve">6 </w:t>
      </w:r>
      <w:r>
        <w:rPr>
          <w:rFonts w:hint="default" w:ascii="Times New Roman" w:hAnsi="Times New Roman" w:eastAsia="宋体" w:cs="Times New Roman"/>
          <w:b/>
          <w:bCs/>
          <w:snapToGrid w:val="0"/>
          <w:color w:val="auto"/>
          <w:sz w:val="28"/>
          <w:szCs w:val="28"/>
          <w:lang w:val="en-US" w:eastAsia="zh-CN"/>
        </w:rPr>
        <w:t xml:space="preserve"> </w:t>
      </w:r>
      <w:r>
        <w:rPr>
          <w:rFonts w:hint="eastAsia" w:ascii="Times New Roman" w:hAnsi="Times New Roman" w:cs="Times New Roman"/>
          <w:b/>
          <w:bCs/>
          <w:snapToGrid w:val="0"/>
          <w:color w:val="auto"/>
          <w:sz w:val="28"/>
          <w:szCs w:val="28"/>
          <w:lang w:val="en-US" w:eastAsia="zh-CN"/>
        </w:rPr>
        <w:t>白水牧原农牧有限公司雷村分场年加工6万吨饲料项目检测报告</w:t>
      </w:r>
      <w:bookmarkEnd w:id="96"/>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97" w:name="_Toc32174"/>
      <w:bookmarkStart w:id="98" w:name="_Toc22719"/>
      <w:bookmarkStart w:id="99" w:name="_Toc27871"/>
      <w:bookmarkStart w:id="100" w:name="_Toc2115"/>
      <w:r>
        <w:drawing>
          <wp:inline distT="0" distB="0" distL="114300" distR="114300">
            <wp:extent cx="5610860" cy="7905115"/>
            <wp:effectExtent l="0" t="0" r="8890" b="635"/>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46"/>
                    <a:stretch>
                      <a:fillRect/>
                    </a:stretch>
                  </pic:blipFill>
                  <pic:spPr>
                    <a:xfrm>
                      <a:off x="0" y="0"/>
                      <a:ext cx="5610860" cy="7905115"/>
                    </a:xfrm>
                    <a:prstGeom prst="rect">
                      <a:avLst/>
                    </a:prstGeom>
                    <a:noFill/>
                    <a:ln>
                      <a:noFill/>
                    </a:ln>
                  </pic:spPr>
                </pic:pic>
              </a:graphicData>
            </a:graphic>
          </wp:inline>
        </w:drawing>
      </w:r>
      <w:bookmarkEnd w:id="97"/>
      <w:bookmarkEnd w:id="98"/>
      <w:bookmarkEnd w:id="99"/>
      <w:bookmarkEnd w:id="100"/>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01" w:name="_Toc26094"/>
      <w:bookmarkStart w:id="102" w:name="_Toc21241"/>
      <w:bookmarkStart w:id="103" w:name="_Toc11921"/>
      <w:bookmarkStart w:id="104" w:name="_Toc22249"/>
      <w:r>
        <w:drawing>
          <wp:inline distT="0" distB="0" distL="114300" distR="114300">
            <wp:extent cx="5612765" cy="7896225"/>
            <wp:effectExtent l="0" t="0" r="6985" b="9525"/>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47"/>
                    <a:stretch>
                      <a:fillRect/>
                    </a:stretch>
                  </pic:blipFill>
                  <pic:spPr>
                    <a:xfrm>
                      <a:off x="0" y="0"/>
                      <a:ext cx="5612765" cy="7896225"/>
                    </a:xfrm>
                    <a:prstGeom prst="rect">
                      <a:avLst/>
                    </a:prstGeom>
                    <a:noFill/>
                    <a:ln>
                      <a:noFill/>
                    </a:ln>
                  </pic:spPr>
                </pic:pic>
              </a:graphicData>
            </a:graphic>
          </wp:inline>
        </w:drawing>
      </w:r>
      <w:bookmarkEnd w:id="101"/>
      <w:bookmarkEnd w:id="102"/>
      <w:bookmarkEnd w:id="103"/>
      <w:bookmarkEnd w:id="104"/>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05" w:name="_Toc18189"/>
      <w:bookmarkStart w:id="106" w:name="_Toc6447"/>
      <w:bookmarkStart w:id="107" w:name="_Toc2489"/>
      <w:bookmarkStart w:id="108" w:name="_Toc14842"/>
      <w:r>
        <w:drawing>
          <wp:inline distT="0" distB="0" distL="114300" distR="114300">
            <wp:extent cx="5612765" cy="7835265"/>
            <wp:effectExtent l="0" t="0" r="6985" b="13335"/>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48"/>
                    <a:stretch>
                      <a:fillRect/>
                    </a:stretch>
                  </pic:blipFill>
                  <pic:spPr>
                    <a:xfrm>
                      <a:off x="0" y="0"/>
                      <a:ext cx="5612765" cy="7835265"/>
                    </a:xfrm>
                    <a:prstGeom prst="rect">
                      <a:avLst/>
                    </a:prstGeom>
                    <a:noFill/>
                    <a:ln>
                      <a:noFill/>
                    </a:ln>
                  </pic:spPr>
                </pic:pic>
              </a:graphicData>
            </a:graphic>
          </wp:inline>
        </w:drawing>
      </w:r>
      <w:bookmarkEnd w:id="105"/>
      <w:bookmarkEnd w:id="106"/>
      <w:bookmarkEnd w:id="107"/>
      <w:bookmarkEnd w:id="108"/>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09" w:name="_Toc13926"/>
      <w:bookmarkStart w:id="110" w:name="_Toc28542"/>
      <w:bookmarkStart w:id="111" w:name="_Toc2718"/>
      <w:bookmarkStart w:id="112" w:name="_Toc6384"/>
      <w:r>
        <w:drawing>
          <wp:inline distT="0" distB="0" distL="114300" distR="114300">
            <wp:extent cx="5612765" cy="7878445"/>
            <wp:effectExtent l="0" t="0" r="6985" b="8255"/>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pic:cNvPicPr>
                      <a:picLocks noChangeAspect="1"/>
                    </pic:cNvPicPr>
                  </pic:nvPicPr>
                  <pic:blipFill>
                    <a:blip r:embed="rId49"/>
                    <a:stretch>
                      <a:fillRect/>
                    </a:stretch>
                  </pic:blipFill>
                  <pic:spPr>
                    <a:xfrm>
                      <a:off x="0" y="0"/>
                      <a:ext cx="5612765" cy="7878445"/>
                    </a:xfrm>
                    <a:prstGeom prst="rect">
                      <a:avLst/>
                    </a:prstGeom>
                    <a:noFill/>
                    <a:ln>
                      <a:noFill/>
                    </a:ln>
                  </pic:spPr>
                </pic:pic>
              </a:graphicData>
            </a:graphic>
          </wp:inline>
        </w:drawing>
      </w:r>
      <w:bookmarkEnd w:id="109"/>
      <w:bookmarkEnd w:id="110"/>
      <w:bookmarkEnd w:id="111"/>
      <w:bookmarkEnd w:id="112"/>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13" w:name="_Toc29879"/>
      <w:bookmarkStart w:id="114" w:name="_Toc18514"/>
      <w:bookmarkStart w:id="115" w:name="_Toc29715"/>
      <w:bookmarkStart w:id="116" w:name="_Toc29837"/>
      <w:r>
        <w:drawing>
          <wp:inline distT="0" distB="0" distL="114300" distR="114300">
            <wp:extent cx="5612765" cy="7939405"/>
            <wp:effectExtent l="0" t="0" r="6985" b="4445"/>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50"/>
                    <a:stretch>
                      <a:fillRect/>
                    </a:stretch>
                  </pic:blipFill>
                  <pic:spPr>
                    <a:xfrm>
                      <a:off x="0" y="0"/>
                      <a:ext cx="5612765" cy="7939405"/>
                    </a:xfrm>
                    <a:prstGeom prst="rect">
                      <a:avLst/>
                    </a:prstGeom>
                    <a:noFill/>
                    <a:ln>
                      <a:noFill/>
                    </a:ln>
                  </pic:spPr>
                </pic:pic>
              </a:graphicData>
            </a:graphic>
          </wp:inline>
        </w:drawing>
      </w:r>
      <w:bookmarkEnd w:id="113"/>
      <w:bookmarkEnd w:id="114"/>
      <w:bookmarkEnd w:id="115"/>
      <w:bookmarkEnd w:id="116"/>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17" w:name="_Toc29111"/>
      <w:bookmarkStart w:id="118" w:name="_Toc17413"/>
      <w:bookmarkStart w:id="119" w:name="_Toc2265"/>
      <w:bookmarkStart w:id="120" w:name="_Toc32366"/>
      <w:r>
        <w:drawing>
          <wp:inline distT="0" distB="0" distL="114300" distR="114300">
            <wp:extent cx="5612765" cy="7887335"/>
            <wp:effectExtent l="0" t="0" r="6985" b="18415"/>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51"/>
                    <a:stretch>
                      <a:fillRect/>
                    </a:stretch>
                  </pic:blipFill>
                  <pic:spPr>
                    <a:xfrm>
                      <a:off x="0" y="0"/>
                      <a:ext cx="5612765" cy="7887335"/>
                    </a:xfrm>
                    <a:prstGeom prst="rect">
                      <a:avLst/>
                    </a:prstGeom>
                    <a:noFill/>
                    <a:ln>
                      <a:noFill/>
                    </a:ln>
                  </pic:spPr>
                </pic:pic>
              </a:graphicData>
            </a:graphic>
          </wp:inline>
        </w:drawing>
      </w:r>
      <w:bookmarkEnd w:id="117"/>
      <w:bookmarkEnd w:id="118"/>
      <w:bookmarkEnd w:id="119"/>
      <w:bookmarkEnd w:id="120"/>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21" w:name="_Toc13598"/>
      <w:bookmarkStart w:id="122" w:name="_Toc6867"/>
      <w:bookmarkStart w:id="123" w:name="_Toc5597"/>
      <w:bookmarkStart w:id="124" w:name="_Toc22116"/>
      <w:r>
        <w:drawing>
          <wp:inline distT="0" distB="0" distL="114300" distR="114300">
            <wp:extent cx="5612765" cy="7852410"/>
            <wp:effectExtent l="0" t="0" r="6985" b="15240"/>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pic:cNvPicPr>
                      <a:picLocks noChangeAspect="1"/>
                    </pic:cNvPicPr>
                  </pic:nvPicPr>
                  <pic:blipFill>
                    <a:blip r:embed="rId52"/>
                    <a:stretch>
                      <a:fillRect/>
                    </a:stretch>
                  </pic:blipFill>
                  <pic:spPr>
                    <a:xfrm>
                      <a:off x="0" y="0"/>
                      <a:ext cx="5612765" cy="7852410"/>
                    </a:xfrm>
                    <a:prstGeom prst="rect">
                      <a:avLst/>
                    </a:prstGeom>
                    <a:noFill/>
                    <a:ln>
                      <a:noFill/>
                    </a:ln>
                  </pic:spPr>
                </pic:pic>
              </a:graphicData>
            </a:graphic>
          </wp:inline>
        </w:drawing>
      </w:r>
      <w:bookmarkEnd w:id="121"/>
      <w:bookmarkEnd w:id="122"/>
      <w:bookmarkEnd w:id="123"/>
      <w:bookmarkEnd w:id="124"/>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25" w:name="_Toc10072"/>
      <w:bookmarkStart w:id="126" w:name="_Toc12250"/>
      <w:bookmarkStart w:id="127" w:name="_Toc20984"/>
      <w:bookmarkStart w:id="128" w:name="_Toc27142"/>
      <w:r>
        <w:drawing>
          <wp:inline distT="0" distB="0" distL="114300" distR="114300">
            <wp:extent cx="5612765" cy="7905115"/>
            <wp:effectExtent l="0" t="0" r="6985" b="635"/>
            <wp:docPr id="1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
                    <pic:cNvPicPr>
                      <a:picLocks noChangeAspect="1"/>
                    </pic:cNvPicPr>
                  </pic:nvPicPr>
                  <pic:blipFill>
                    <a:blip r:embed="rId53"/>
                    <a:stretch>
                      <a:fillRect/>
                    </a:stretch>
                  </pic:blipFill>
                  <pic:spPr>
                    <a:xfrm>
                      <a:off x="0" y="0"/>
                      <a:ext cx="5612765" cy="7905115"/>
                    </a:xfrm>
                    <a:prstGeom prst="rect">
                      <a:avLst/>
                    </a:prstGeom>
                    <a:noFill/>
                    <a:ln>
                      <a:noFill/>
                    </a:ln>
                  </pic:spPr>
                </pic:pic>
              </a:graphicData>
            </a:graphic>
          </wp:inline>
        </w:drawing>
      </w:r>
      <w:bookmarkEnd w:id="125"/>
      <w:bookmarkEnd w:id="126"/>
      <w:bookmarkEnd w:id="127"/>
      <w:bookmarkEnd w:id="128"/>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29" w:name="_Toc5341"/>
      <w:bookmarkStart w:id="130" w:name="_Toc12587"/>
      <w:bookmarkStart w:id="131" w:name="_Toc29096"/>
      <w:bookmarkStart w:id="132" w:name="_Toc27685"/>
      <w:r>
        <w:drawing>
          <wp:inline distT="0" distB="0" distL="114300" distR="114300">
            <wp:extent cx="5612765" cy="7887335"/>
            <wp:effectExtent l="0" t="0" r="6985" b="18415"/>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54"/>
                    <a:stretch>
                      <a:fillRect/>
                    </a:stretch>
                  </pic:blipFill>
                  <pic:spPr>
                    <a:xfrm>
                      <a:off x="0" y="0"/>
                      <a:ext cx="5612765" cy="7887335"/>
                    </a:xfrm>
                    <a:prstGeom prst="rect">
                      <a:avLst/>
                    </a:prstGeom>
                    <a:noFill/>
                    <a:ln>
                      <a:noFill/>
                    </a:ln>
                  </pic:spPr>
                </pic:pic>
              </a:graphicData>
            </a:graphic>
          </wp:inline>
        </w:drawing>
      </w:r>
      <w:bookmarkEnd w:id="129"/>
      <w:bookmarkEnd w:id="130"/>
      <w:bookmarkEnd w:id="131"/>
      <w:bookmarkEnd w:id="132"/>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33" w:name="_Toc28367"/>
      <w:bookmarkStart w:id="134" w:name="_Toc28786"/>
      <w:bookmarkStart w:id="135" w:name="_Toc27854"/>
      <w:bookmarkStart w:id="136" w:name="_Toc11073"/>
      <w:r>
        <w:drawing>
          <wp:inline distT="0" distB="0" distL="114300" distR="114300">
            <wp:extent cx="5612765" cy="7896225"/>
            <wp:effectExtent l="0" t="0" r="6985" b="952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55"/>
                    <a:stretch>
                      <a:fillRect/>
                    </a:stretch>
                  </pic:blipFill>
                  <pic:spPr>
                    <a:xfrm>
                      <a:off x="0" y="0"/>
                      <a:ext cx="5612765" cy="7896225"/>
                    </a:xfrm>
                    <a:prstGeom prst="rect">
                      <a:avLst/>
                    </a:prstGeom>
                    <a:noFill/>
                    <a:ln>
                      <a:noFill/>
                    </a:ln>
                  </pic:spPr>
                </pic:pic>
              </a:graphicData>
            </a:graphic>
          </wp:inline>
        </w:drawing>
      </w:r>
      <w:bookmarkEnd w:id="133"/>
      <w:bookmarkEnd w:id="134"/>
      <w:bookmarkEnd w:id="135"/>
      <w:bookmarkEnd w:id="136"/>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37" w:name="_Toc15983"/>
      <w:bookmarkStart w:id="138" w:name="_Toc8920"/>
      <w:bookmarkStart w:id="139" w:name="_Toc2188"/>
      <w:bookmarkStart w:id="140" w:name="_Toc12302"/>
      <w:r>
        <w:drawing>
          <wp:inline distT="0" distB="0" distL="114300" distR="114300">
            <wp:extent cx="5612765" cy="7896225"/>
            <wp:effectExtent l="0" t="0" r="6985" b="9525"/>
            <wp:docPr id="1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
                    <pic:cNvPicPr>
                      <a:picLocks noChangeAspect="1"/>
                    </pic:cNvPicPr>
                  </pic:nvPicPr>
                  <pic:blipFill>
                    <a:blip r:embed="rId56"/>
                    <a:stretch>
                      <a:fillRect/>
                    </a:stretch>
                  </pic:blipFill>
                  <pic:spPr>
                    <a:xfrm>
                      <a:off x="0" y="0"/>
                      <a:ext cx="5612765" cy="7896225"/>
                    </a:xfrm>
                    <a:prstGeom prst="rect">
                      <a:avLst/>
                    </a:prstGeom>
                    <a:noFill/>
                    <a:ln>
                      <a:noFill/>
                    </a:ln>
                  </pic:spPr>
                </pic:pic>
              </a:graphicData>
            </a:graphic>
          </wp:inline>
        </w:drawing>
      </w:r>
      <w:bookmarkEnd w:id="137"/>
      <w:bookmarkEnd w:id="138"/>
      <w:bookmarkEnd w:id="139"/>
      <w:bookmarkEnd w:id="140"/>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41" w:name="_Toc5691"/>
      <w:bookmarkStart w:id="142" w:name="_Toc16226"/>
      <w:bookmarkStart w:id="143" w:name="_Toc28797"/>
      <w:bookmarkStart w:id="144" w:name="_Toc3409"/>
      <w:r>
        <w:drawing>
          <wp:inline distT="0" distB="0" distL="114300" distR="114300">
            <wp:extent cx="5612765" cy="7809230"/>
            <wp:effectExtent l="0" t="0" r="6985" b="1270"/>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57"/>
                    <a:stretch>
                      <a:fillRect/>
                    </a:stretch>
                  </pic:blipFill>
                  <pic:spPr>
                    <a:xfrm>
                      <a:off x="0" y="0"/>
                      <a:ext cx="5612765" cy="7809230"/>
                    </a:xfrm>
                    <a:prstGeom prst="rect">
                      <a:avLst/>
                    </a:prstGeom>
                    <a:noFill/>
                    <a:ln>
                      <a:noFill/>
                    </a:ln>
                  </pic:spPr>
                </pic:pic>
              </a:graphicData>
            </a:graphic>
          </wp:inline>
        </w:drawing>
      </w:r>
      <w:bookmarkEnd w:id="141"/>
      <w:bookmarkEnd w:id="142"/>
      <w:bookmarkEnd w:id="143"/>
      <w:bookmarkEnd w:id="144"/>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45" w:name="_Toc24732"/>
      <w:bookmarkStart w:id="146" w:name="_Toc10154"/>
      <w:bookmarkStart w:id="147" w:name="_Toc4574"/>
      <w:bookmarkStart w:id="148" w:name="_Toc16435"/>
      <w:r>
        <w:drawing>
          <wp:inline distT="0" distB="0" distL="114300" distR="114300">
            <wp:extent cx="5612765" cy="7878445"/>
            <wp:effectExtent l="0" t="0" r="6985" b="8255"/>
            <wp:docPr id="1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3"/>
                    <pic:cNvPicPr>
                      <a:picLocks noChangeAspect="1"/>
                    </pic:cNvPicPr>
                  </pic:nvPicPr>
                  <pic:blipFill>
                    <a:blip r:embed="rId58"/>
                    <a:stretch>
                      <a:fillRect/>
                    </a:stretch>
                  </pic:blipFill>
                  <pic:spPr>
                    <a:xfrm>
                      <a:off x="0" y="0"/>
                      <a:ext cx="5612765" cy="7878445"/>
                    </a:xfrm>
                    <a:prstGeom prst="rect">
                      <a:avLst/>
                    </a:prstGeom>
                    <a:noFill/>
                    <a:ln>
                      <a:noFill/>
                    </a:ln>
                  </pic:spPr>
                </pic:pic>
              </a:graphicData>
            </a:graphic>
          </wp:inline>
        </w:drawing>
      </w:r>
      <w:bookmarkEnd w:id="145"/>
      <w:bookmarkEnd w:id="146"/>
      <w:bookmarkEnd w:id="147"/>
      <w:bookmarkEnd w:id="148"/>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49" w:name="_Toc16385"/>
      <w:bookmarkStart w:id="150" w:name="_Toc599"/>
      <w:bookmarkStart w:id="151" w:name="_Toc28986"/>
      <w:bookmarkStart w:id="152" w:name="_Toc17672"/>
      <w:r>
        <w:drawing>
          <wp:inline distT="0" distB="0" distL="114300" distR="114300">
            <wp:extent cx="5612765" cy="7922260"/>
            <wp:effectExtent l="0" t="0" r="6985" b="2540"/>
            <wp:docPr id="1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4"/>
                    <pic:cNvPicPr>
                      <a:picLocks noChangeAspect="1"/>
                    </pic:cNvPicPr>
                  </pic:nvPicPr>
                  <pic:blipFill>
                    <a:blip r:embed="rId59"/>
                    <a:stretch>
                      <a:fillRect/>
                    </a:stretch>
                  </pic:blipFill>
                  <pic:spPr>
                    <a:xfrm>
                      <a:off x="0" y="0"/>
                      <a:ext cx="5612765" cy="7922260"/>
                    </a:xfrm>
                    <a:prstGeom prst="rect">
                      <a:avLst/>
                    </a:prstGeom>
                    <a:noFill/>
                    <a:ln>
                      <a:noFill/>
                    </a:ln>
                  </pic:spPr>
                </pic:pic>
              </a:graphicData>
            </a:graphic>
          </wp:inline>
        </w:drawing>
      </w:r>
      <w:bookmarkEnd w:id="149"/>
      <w:bookmarkEnd w:id="150"/>
      <w:bookmarkEnd w:id="151"/>
      <w:bookmarkEnd w:id="152"/>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53" w:name="_Toc30571"/>
      <w:bookmarkStart w:id="154" w:name="_Toc18963"/>
      <w:bookmarkStart w:id="155" w:name="_Toc1673"/>
      <w:bookmarkStart w:id="156" w:name="_Toc8525"/>
      <w:r>
        <w:drawing>
          <wp:inline distT="0" distB="0" distL="114300" distR="114300">
            <wp:extent cx="5612765" cy="7922260"/>
            <wp:effectExtent l="0" t="0" r="6985" b="2540"/>
            <wp:docPr id="1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5"/>
                    <pic:cNvPicPr>
                      <a:picLocks noChangeAspect="1"/>
                    </pic:cNvPicPr>
                  </pic:nvPicPr>
                  <pic:blipFill>
                    <a:blip r:embed="rId60"/>
                    <a:stretch>
                      <a:fillRect/>
                    </a:stretch>
                  </pic:blipFill>
                  <pic:spPr>
                    <a:xfrm>
                      <a:off x="0" y="0"/>
                      <a:ext cx="5612765" cy="7922260"/>
                    </a:xfrm>
                    <a:prstGeom prst="rect">
                      <a:avLst/>
                    </a:prstGeom>
                    <a:noFill/>
                    <a:ln>
                      <a:noFill/>
                    </a:ln>
                  </pic:spPr>
                </pic:pic>
              </a:graphicData>
            </a:graphic>
          </wp:inline>
        </w:drawing>
      </w:r>
      <w:bookmarkEnd w:id="153"/>
      <w:bookmarkEnd w:id="154"/>
      <w:bookmarkEnd w:id="155"/>
      <w:bookmarkEnd w:id="156"/>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57" w:name="_Toc10002"/>
      <w:bookmarkStart w:id="158" w:name="_Toc7556"/>
      <w:bookmarkStart w:id="159" w:name="_Toc15098"/>
      <w:bookmarkStart w:id="160" w:name="_Toc28545"/>
      <w:r>
        <w:drawing>
          <wp:inline distT="0" distB="0" distL="114300" distR="114300">
            <wp:extent cx="5612765" cy="7948295"/>
            <wp:effectExtent l="0" t="0" r="6985" b="14605"/>
            <wp:docPr id="10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6"/>
                    <pic:cNvPicPr>
                      <a:picLocks noChangeAspect="1"/>
                    </pic:cNvPicPr>
                  </pic:nvPicPr>
                  <pic:blipFill>
                    <a:blip r:embed="rId61"/>
                    <a:stretch>
                      <a:fillRect/>
                    </a:stretch>
                  </pic:blipFill>
                  <pic:spPr>
                    <a:xfrm>
                      <a:off x="0" y="0"/>
                      <a:ext cx="5612765" cy="7948295"/>
                    </a:xfrm>
                    <a:prstGeom prst="rect">
                      <a:avLst/>
                    </a:prstGeom>
                    <a:noFill/>
                    <a:ln>
                      <a:noFill/>
                    </a:ln>
                  </pic:spPr>
                </pic:pic>
              </a:graphicData>
            </a:graphic>
          </wp:inline>
        </w:drawing>
      </w:r>
      <w:bookmarkEnd w:id="157"/>
      <w:bookmarkEnd w:id="158"/>
      <w:bookmarkEnd w:id="159"/>
      <w:bookmarkEnd w:id="160"/>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61" w:name="_Toc4724"/>
      <w:bookmarkStart w:id="162" w:name="_Toc6835"/>
      <w:bookmarkStart w:id="163" w:name="_Toc19827"/>
      <w:bookmarkStart w:id="164" w:name="_Toc8957"/>
      <w:r>
        <w:drawing>
          <wp:inline distT="0" distB="0" distL="114300" distR="114300">
            <wp:extent cx="5612765" cy="7983220"/>
            <wp:effectExtent l="0" t="0" r="6985" b="17780"/>
            <wp:docPr id="1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7"/>
                    <pic:cNvPicPr>
                      <a:picLocks noChangeAspect="1"/>
                    </pic:cNvPicPr>
                  </pic:nvPicPr>
                  <pic:blipFill>
                    <a:blip r:embed="rId62"/>
                    <a:stretch>
                      <a:fillRect/>
                    </a:stretch>
                  </pic:blipFill>
                  <pic:spPr>
                    <a:xfrm>
                      <a:off x="0" y="0"/>
                      <a:ext cx="5612765" cy="7983220"/>
                    </a:xfrm>
                    <a:prstGeom prst="rect">
                      <a:avLst/>
                    </a:prstGeom>
                    <a:noFill/>
                    <a:ln>
                      <a:noFill/>
                    </a:ln>
                  </pic:spPr>
                </pic:pic>
              </a:graphicData>
            </a:graphic>
          </wp:inline>
        </w:drawing>
      </w:r>
      <w:bookmarkEnd w:id="161"/>
      <w:bookmarkEnd w:id="162"/>
      <w:bookmarkEnd w:id="163"/>
      <w:bookmarkEnd w:id="164"/>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65" w:name="_Toc82"/>
      <w:bookmarkStart w:id="166" w:name="_Toc17058"/>
      <w:bookmarkStart w:id="167" w:name="_Toc23344"/>
      <w:bookmarkStart w:id="168" w:name="_Toc24108"/>
      <w:r>
        <w:drawing>
          <wp:inline distT="0" distB="0" distL="114300" distR="114300">
            <wp:extent cx="5612765" cy="7931150"/>
            <wp:effectExtent l="0" t="0" r="6985" b="12700"/>
            <wp:docPr id="1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8"/>
                    <pic:cNvPicPr>
                      <a:picLocks noChangeAspect="1"/>
                    </pic:cNvPicPr>
                  </pic:nvPicPr>
                  <pic:blipFill>
                    <a:blip r:embed="rId63"/>
                    <a:stretch>
                      <a:fillRect/>
                    </a:stretch>
                  </pic:blipFill>
                  <pic:spPr>
                    <a:xfrm>
                      <a:off x="0" y="0"/>
                      <a:ext cx="5612765" cy="7931150"/>
                    </a:xfrm>
                    <a:prstGeom prst="rect">
                      <a:avLst/>
                    </a:prstGeom>
                    <a:noFill/>
                    <a:ln>
                      <a:noFill/>
                    </a:ln>
                  </pic:spPr>
                </pic:pic>
              </a:graphicData>
            </a:graphic>
          </wp:inline>
        </w:drawing>
      </w:r>
      <w:bookmarkEnd w:id="165"/>
      <w:bookmarkEnd w:id="166"/>
      <w:bookmarkEnd w:id="167"/>
      <w:bookmarkEnd w:id="168"/>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69" w:name="_Toc7726"/>
      <w:bookmarkStart w:id="170" w:name="_Toc1431"/>
      <w:bookmarkStart w:id="171" w:name="_Toc7010"/>
      <w:bookmarkStart w:id="172" w:name="_Toc26009"/>
      <w:r>
        <w:drawing>
          <wp:inline distT="0" distB="0" distL="114300" distR="114300">
            <wp:extent cx="5612765" cy="7957185"/>
            <wp:effectExtent l="0" t="0" r="6985" b="5715"/>
            <wp:docPr id="1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
                    <pic:cNvPicPr>
                      <a:picLocks noChangeAspect="1"/>
                    </pic:cNvPicPr>
                  </pic:nvPicPr>
                  <pic:blipFill>
                    <a:blip r:embed="rId64"/>
                    <a:stretch>
                      <a:fillRect/>
                    </a:stretch>
                  </pic:blipFill>
                  <pic:spPr>
                    <a:xfrm>
                      <a:off x="0" y="0"/>
                      <a:ext cx="5612765" cy="7957185"/>
                    </a:xfrm>
                    <a:prstGeom prst="rect">
                      <a:avLst/>
                    </a:prstGeom>
                    <a:noFill/>
                    <a:ln>
                      <a:noFill/>
                    </a:ln>
                  </pic:spPr>
                </pic:pic>
              </a:graphicData>
            </a:graphic>
          </wp:inline>
        </w:drawing>
      </w:r>
      <w:bookmarkEnd w:id="169"/>
      <w:bookmarkEnd w:id="170"/>
      <w:bookmarkEnd w:id="171"/>
      <w:bookmarkEnd w:id="172"/>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73" w:name="_Toc4881"/>
      <w:r>
        <w:rPr>
          <w:rFonts w:hint="default" w:ascii="Times New Roman" w:hAnsi="Times New Roman" w:eastAsia="宋体" w:cs="Times New Roman"/>
          <w:b/>
          <w:bCs/>
          <w:snapToGrid w:val="0"/>
          <w:color w:val="auto"/>
          <w:sz w:val="28"/>
          <w:szCs w:val="28"/>
          <w:lang w:val="en-US" w:eastAsia="zh-CN"/>
        </w:rPr>
        <w:t>附件</w:t>
      </w:r>
      <w:r>
        <w:rPr>
          <w:rFonts w:hint="eastAsia" w:ascii="Times New Roman" w:hAnsi="Times New Roman" w:cs="Times New Roman"/>
          <w:b/>
          <w:bCs/>
          <w:snapToGrid w:val="0"/>
          <w:color w:val="auto"/>
          <w:sz w:val="28"/>
          <w:szCs w:val="28"/>
          <w:lang w:val="en-US" w:eastAsia="zh-CN"/>
        </w:rPr>
        <w:t>7</w:t>
      </w:r>
      <w:r>
        <w:rPr>
          <w:rFonts w:hint="default" w:ascii="Times New Roman" w:hAnsi="Times New Roman" w:eastAsia="宋体" w:cs="Times New Roman"/>
          <w:b/>
          <w:bCs/>
          <w:snapToGrid w:val="0"/>
          <w:color w:val="auto"/>
          <w:sz w:val="28"/>
          <w:szCs w:val="28"/>
          <w:lang w:val="en-US" w:eastAsia="zh-CN"/>
        </w:rPr>
        <w:t xml:space="preserve">  </w:t>
      </w:r>
      <w:r>
        <w:rPr>
          <w:rFonts w:hint="eastAsia" w:ascii="Times New Roman" w:hAnsi="Times New Roman" w:cs="Times New Roman"/>
          <w:b/>
          <w:bCs/>
          <w:snapToGrid w:val="0"/>
          <w:color w:val="auto"/>
          <w:sz w:val="28"/>
          <w:szCs w:val="28"/>
          <w:lang w:val="en-US" w:eastAsia="zh-CN"/>
        </w:rPr>
        <w:t>临沂群帮饲料有限公司年产30000吨饲料建设项目检测报告</w:t>
      </w:r>
      <w:bookmarkEnd w:id="173"/>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74" w:name="_Toc13212"/>
      <w:bookmarkStart w:id="175" w:name="_Toc27255"/>
      <w:bookmarkStart w:id="176" w:name="_Toc7542"/>
      <w:bookmarkStart w:id="177" w:name="_Toc13605"/>
      <w:r>
        <w:drawing>
          <wp:inline distT="0" distB="0" distL="114300" distR="114300">
            <wp:extent cx="5609590" cy="7465695"/>
            <wp:effectExtent l="0" t="0" r="10160" b="1905"/>
            <wp:docPr id="1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0"/>
                    <pic:cNvPicPr>
                      <a:picLocks noChangeAspect="1"/>
                    </pic:cNvPicPr>
                  </pic:nvPicPr>
                  <pic:blipFill>
                    <a:blip r:embed="rId65"/>
                    <a:stretch>
                      <a:fillRect/>
                    </a:stretch>
                  </pic:blipFill>
                  <pic:spPr>
                    <a:xfrm>
                      <a:off x="0" y="0"/>
                      <a:ext cx="5609590" cy="7465695"/>
                    </a:xfrm>
                    <a:prstGeom prst="rect">
                      <a:avLst/>
                    </a:prstGeom>
                    <a:noFill/>
                    <a:ln>
                      <a:noFill/>
                    </a:ln>
                  </pic:spPr>
                </pic:pic>
              </a:graphicData>
            </a:graphic>
          </wp:inline>
        </w:drawing>
      </w:r>
      <w:bookmarkEnd w:id="174"/>
      <w:bookmarkEnd w:id="175"/>
      <w:bookmarkEnd w:id="176"/>
      <w:bookmarkEnd w:id="177"/>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78" w:name="_Toc30146"/>
      <w:bookmarkStart w:id="179" w:name="_Toc11857"/>
      <w:bookmarkStart w:id="180" w:name="_Toc9030"/>
      <w:bookmarkStart w:id="181" w:name="_Toc30779"/>
      <w:r>
        <w:drawing>
          <wp:inline distT="0" distB="0" distL="114300" distR="114300">
            <wp:extent cx="5608955" cy="7936230"/>
            <wp:effectExtent l="0" t="0" r="10795" b="7620"/>
            <wp:docPr id="11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1"/>
                    <pic:cNvPicPr>
                      <a:picLocks noChangeAspect="1"/>
                    </pic:cNvPicPr>
                  </pic:nvPicPr>
                  <pic:blipFill>
                    <a:blip r:embed="rId66"/>
                    <a:stretch>
                      <a:fillRect/>
                    </a:stretch>
                  </pic:blipFill>
                  <pic:spPr>
                    <a:xfrm>
                      <a:off x="0" y="0"/>
                      <a:ext cx="5608955" cy="7936230"/>
                    </a:xfrm>
                    <a:prstGeom prst="rect">
                      <a:avLst/>
                    </a:prstGeom>
                    <a:noFill/>
                    <a:ln>
                      <a:noFill/>
                    </a:ln>
                  </pic:spPr>
                </pic:pic>
              </a:graphicData>
            </a:graphic>
          </wp:inline>
        </w:drawing>
      </w:r>
      <w:bookmarkEnd w:id="178"/>
      <w:bookmarkEnd w:id="179"/>
      <w:bookmarkEnd w:id="180"/>
      <w:bookmarkEnd w:id="181"/>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82" w:name="_Toc30412"/>
      <w:bookmarkStart w:id="183" w:name="_Toc8139"/>
      <w:bookmarkStart w:id="184" w:name="_Toc14580"/>
      <w:bookmarkStart w:id="185" w:name="_Toc10184"/>
      <w:r>
        <w:drawing>
          <wp:inline distT="0" distB="0" distL="114300" distR="114300">
            <wp:extent cx="5608955" cy="7964805"/>
            <wp:effectExtent l="0" t="0" r="10795" b="17145"/>
            <wp:docPr id="1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2"/>
                    <pic:cNvPicPr>
                      <a:picLocks noChangeAspect="1"/>
                    </pic:cNvPicPr>
                  </pic:nvPicPr>
                  <pic:blipFill>
                    <a:blip r:embed="rId67"/>
                    <a:stretch>
                      <a:fillRect/>
                    </a:stretch>
                  </pic:blipFill>
                  <pic:spPr>
                    <a:xfrm>
                      <a:off x="0" y="0"/>
                      <a:ext cx="5608955" cy="7964805"/>
                    </a:xfrm>
                    <a:prstGeom prst="rect">
                      <a:avLst/>
                    </a:prstGeom>
                    <a:noFill/>
                    <a:ln>
                      <a:noFill/>
                    </a:ln>
                  </pic:spPr>
                </pic:pic>
              </a:graphicData>
            </a:graphic>
          </wp:inline>
        </w:drawing>
      </w:r>
      <w:bookmarkEnd w:id="182"/>
      <w:bookmarkEnd w:id="183"/>
      <w:bookmarkEnd w:id="184"/>
      <w:bookmarkEnd w:id="185"/>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86" w:name="_Toc22219"/>
      <w:bookmarkStart w:id="187" w:name="_Toc31981"/>
      <w:bookmarkStart w:id="188" w:name="_Toc11057"/>
      <w:bookmarkStart w:id="189" w:name="_Toc17122"/>
      <w:r>
        <w:drawing>
          <wp:inline distT="0" distB="0" distL="114300" distR="114300">
            <wp:extent cx="5609590" cy="7988935"/>
            <wp:effectExtent l="0" t="0" r="10160" b="12065"/>
            <wp:docPr id="1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3"/>
                    <pic:cNvPicPr>
                      <a:picLocks noChangeAspect="1"/>
                    </pic:cNvPicPr>
                  </pic:nvPicPr>
                  <pic:blipFill>
                    <a:blip r:embed="rId68"/>
                    <a:stretch>
                      <a:fillRect/>
                    </a:stretch>
                  </pic:blipFill>
                  <pic:spPr>
                    <a:xfrm>
                      <a:off x="0" y="0"/>
                      <a:ext cx="5609590" cy="7988935"/>
                    </a:xfrm>
                    <a:prstGeom prst="rect">
                      <a:avLst/>
                    </a:prstGeom>
                    <a:noFill/>
                    <a:ln>
                      <a:noFill/>
                    </a:ln>
                  </pic:spPr>
                </pic:pic>
              </a:graphicData>
            </a:graphic>
          </wp:inline>
        </w:drawing>
      </w:r>
      <w:bookmarkEnd w:id="186"/>
      <w:bookmarkEnd w:id="187"/>
      <w:bookmarkEnd w:id="188"/>
      <w:bookmarkEnd w:id="189"/>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90" w:name="_Toc8893"/>
      <w:bookmarkStart w:id="191" w:name="_Toc4608"/>
      <w:bookmarkStart w:id="192" w:name="_Toc30661"/>
      <w:bookmarkStart w:id="193" w:name="_Toc7082"/>
      <w:r>
        <w:drawing>
          <wp:inline distT="0" distB="0" distL="114300" distR="114300">
            <wp:extent cx="5609590" cy="7985760"/>
            <wp:effectExtent l="0" t="0" r="10160" b="15240"/>
            <wp:docPr id="11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4"/>
                    <pic:cNvPicPr>
                      <a:picLocks noChangeAspect="1"/>
                    </pic:cNvPicPr>
                  </pic:nvPicPr>
                  <pic:blipFill>
                    <a:blip r:embed="rId69"/>
                    <a:stretch>
                      <a:fillRect/>
                    </a:stretch>
                  </pic:blipFill>
                  <pic:spPr>
                    <a:xfrm>
                      <a:off x="0" y="0"/>
                      <a:ext cx="5609590" cy="7985760"/>
                    </a:xfrm>
                    <a:prstGeom prst="rect">
                      <a:avLst/>
                    </a:prstGeom>
                    <a:noFill/>
                    <a:ln>
                      <a:noFill/>
                    </a:ln>
                  </pic:spPr>
                </pic:pic>
              </a:graphicData>
            </a:graphic>
          </wp:inline>
        </w:drawing>
      </w:r>
      <w:bookmarkEnd w:id="190"/>
      <w:bookmarkEnd w:id="191"/>
      <w:bookmarkEnd w:id="192"/>
      <w:bookmarkEnd w:id="193"/>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94" w:name="_Toc5952"/>
      <w:bookmarkStart w:id="195" w:name="_Toc17585"/>
      <w:bookmarkStart w:id="196" w:name="_Toc5502"/>
      <w:bookmarkStart w:id="197" w:name="_Toc12405"/>
      <w:r>
        <w:drawing>
          <wp:inline distT="0" distB="0" distL="114300" distR="114300">
            <wp:extent cx="5609590" cy="7999730"/>
            <wp:effectExtent l="0" t="0" r="10160" b="1270"/>
            <wp:docPr id="1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5"/>
                    <pic:cNvPicPr>
                      <a:picLocks noChangeAspect="1"/>
                    </pic:cNvPicPr>
                  </pic:nvPicPr>
                  <pic:blipFill>
                    <a:blip r:embed="rId70"/>
                    <a:stretch>
                      <a:fillRect/>
                    </a:stretch>
                  </pic:blipFill>
                  <pic:spPr>
                    <a:xfrm>
                      <a:off x="0" y="0"/>
                      <a:ext cx="5609590" cy="7999730"/>
                    </a:xfrm>
                    <a:prstGeom prst="rect">
                      <a:avLst/>
                    </a:prstGeom>
                    <a:noFill/>
                    <a:ln>
                      <a:noFill/>
                    </a:ln>
                  </pic:spPr>
                </pic:pic>
              </a:graphicData>
            </a:graphic>
          </wp:inline>
        </w:drawing>
      </w:r>
      <w:bookmarkEnd w:id="194"/>
      <w:bookmarkEnd w:id="195"/>
      <w:bookmarkEnd w:id="196"/>
      <w:bookmarkEnd w:id="197"/>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198" w:name="_Toc645"/>
      <w:bookmarkStart w:id="199" w:name="_Toc758"/>
      <w:bookmarkStart w:id="200" w:name="_Toc20943"/>
      <w:bookmarkStart w:id="201" w:name="_Toc929"/>
      <w:r>
        <w:drawing>
          <wp:inline distT="0" distB="0" distL="114300" distR="114300">
            <wp:extent cx="5609590" cy="7996555"/>
            <wp:effectExtent l="0" t="0" r="10160" b="4445"/>
            <wp:docPr id="11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6"/>
                    <pic:cNvPicPr>
                      <a:picLocks noChangeAspect="1"/>
                    </pic:cNvPicPr>
                  </pic:nvPicPr>
                  <pic:blipFill>
                    <a:blip r:embed="rId71"/>
                    <a:stretch>
                      <a:fillRect/>
                    </a:stretch>
                  </pic:blipFill>
                  <pic:spPr>
                    <a:xfrm>
                      <a:off x="0" y="0"/>
                      <a:ext cx="5609590" cy="7996555"/>
                    </a:xfrm>
                    <a:prstGeom prst="rect">
                      <a:avLst/>
                    </a:prstGeom>
                    <a:noFill/>
                    <a:ln>
                      <a:noFill/>
                    </a:ln>
                  </pic:spPr>
                </pic:pic>
              </a:graphicData>
            </a:graphic>
          </wp:inline>
        </w:drawing>
      </w:r>
      <w:bookmarkEnd w:id="198"/>
      <w:bookmarkEnd w:id="199"/>
      <w:bookmarkEnd w:id="200"/>
      <w:bookmarkEnd w:id="201"/>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02" w:name="_Toc23469"/>
      <w:bookmarkStart w:id="203" w:name="_Toc20839"/>
      <w:bookmarkStart w:id="204" w:name="_Toc10230"/>
      <w:bookmarkStart w:id="205" w:name="_Toc25101"/>
      <w:r>
        <w:drawing>
          <wp:inline distT="0" distB="0" distL="114300" distR="114300">
            <wp:extent cx="5609590" cy="7988935"/>
            <wp:effectExtent l="0" t="0" r="10160" b="12065"/>
            <wp:docPr id="12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7"/>
                    <pic:cNvPicPr>
                      <a:picLocks noChangeAspect="1"/>
                    </pic:cNvPicPr>
                  </pic:nvPicPr>
                  <pic:blipFill>
                    <a:blip r:embed="rId72"/>
                    <a:stretch>
                      <a:fillRect/>
                    </a:stretch>
                  </pic:blipFill>
                  <pic:spPr>
                    <a:xfrm>
                      <a:off x="0" y="0"/>
                      <a:ext cx="5609590" cy="7988935"/>
                    </a:xfrm>
                    <a:prstGeom prst="rect">
                      <a:avLst/>
                    </a:prstGeom>
                    <a:noFill/>
                    <a:ln>
                      <a:noFill/>
                    </a:ln>
                  </pic:spPr>
                </pic:pic>
              </a:graphicData>
            </a:graphic>
          </wp:inline>
        </w:drawing>
      </w:r>
      <w:bookmarkEnd w:id="202"/>
      <w:bookmarkEnd w:id="203"/>
      <w:bookmarkEnd w:id="204"/>
      <w:bookmarkEnd w:id="205"/>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06" w:name="_Toc26879"/>
      <w:bookmarkStart w:id="207" w:name="_Toc10559"/>
      <w:bookmarkStart w:id="208" w:name="_Toc2070"/>
      <w:bookmarkStart w:id="209" w:name="_Toc25925"/>
      <w:r>
        <w:drawing>
          <wp:inline distT="0" distB="0" distL="114300" distR="114300">
            <wp:extent cx="5609590" cy="7988935"/>
            <wp:effectExtent l="0" t="0" r="10160" b="12065"/>
            <wp:docPr id="12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8"/>
                    <pic:cNvPicPr>
                      <a:picLocks noChangeAspect="1"/>
                    </pic:cNvPicPr>
                  </pic:nvPicPr>
                  <pic:blipFill>
                    <a:blip r:embed="rId73"/>
                    <a:stretch>
                      <a:fillRect/>
                    </a:stretch>
                  </pic:blipFill>
                  <pic:spPr>
                    <a:xfrm>
                      <a:off x="0" y="0"/>
                      <a:ext cx="5609590" cy="7988935"/>
                    </a:xfrm>
                    <a:prstGeom prst="rect">
                      <a:avLst/>
                    </a:prstGeom>
                    <a:noFill/>
                    <a:ln>
                      <a:noFill/>
                    </a:ln>
                  </pic:spPr>
                </pic:pic>
              </a:graphicData>
            </a:graphic>
          </wp:inline>
        </w:drawing>
      </w:r>
      <w:bookmarkEnd w:id="206"/>
      <w:bookmarkEnd w:id="207"/>
      <w:bookmarkEnd w:id="208"/>
      <w:bookmarkEnd w:id="209"/>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10" w:name="_Toc20863"/>
      <w:bookmarkStart w:id="211" w:name="_Toc28561"/>
      <w:bookmarkStart w:id="212" w:name="_Toc22834"/>
      <w:bookmarkStart w:id="213" w:name="_Toc7291"/>
      <w:r>
        <w:drawing>
          <wp:inline distT="0" distB="0" distL="114300" distR="114300">
            <wp:extent cx="5609590" cy="7996555"/>
            <wp:effectExtent l="0" t="0" r="10160" b="4445"/>
            <wp:docPr id="1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9"/>
                    <pic:cNvPicPr>
                      <a:picLocks noChangeAspect="1"/>
                    </pic:cNvPicPr>
                  </pic:nvPicPr>
                  <pic:blipFill>
                    <a:blip r:embed="rId74"/>
                    <a:stretch>
                      <a:fillRect/>
                    </a:stretch>
                  </pic:blipFill>
                  <pic:spPr>
                    <a:xfrm>
                      <a:off x="0" y="0"/>
                      <a:ext cx="5609590" cy="7996555"/>
                    </a:xfrm>
                    <a:prstGeom prst="rect">
                      <a:avLst/>
                    </a:prstGeom>
                    <a:noFill/>
                    <a:ln>
                      <a:noFill/>
                    </a:ln>
                  </pic:spPr>
                </pic:pic>
              </a:graphicData>
            </a:graphic>
          </wp:inline>
        </w:drawing>
      </w:r>
      <w:bookmarkEnd w:id="210"/>
      <w:bookmarkEnd w:id="211"/>
      <w:bookmarkEnd w:id="212"/>
      <w:bookmarkEnd w:id="213"/>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14" w:name="_Toc29826"/>
      <w:bookmarkStart w:id="215" w:name="_Toc17219"/>
      <w:bookmarkStart w:id="216" w:name="_Toc21528"/>
      <w:bookmarkStart w:id="217" w:name="_Toc23602"/>
      <w:r>
        <w:drawing>
          <wp:inline distT="0" distB="0" distL="114300" distR="114300">
            <wp:extent cx="5610225" cy="8017510"/>
            <wp:effectExtent l="0" t="0" r="9525" b="2540"/>
            <wp:docPr id="12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0"/>
                    <pic:cNvPicPr>
                      <a:picLocks noChangeAspect="1"/>
                    </pic:cNvPicPr>
                  </pic:nvPicPr>
                  <pic:blipFill>
                    <a:blip r:embed="rId75"/>
                    <a:stretch>
                      <a:fillRect/>
                    </a:stretch>
                  </pic:blipFill>
                  <pic:spPr>
                    <a:xfrm>
                      <a:off x="0" y="0"/>
                      <a:ext cx="5610225" cy="8017510"/>
                    </a:xfrm>
                    <a:prstGeom prst="rect">
                      <a:avLst/>
                    </a:prstGeom>
                    <a:noFill/>
                    <a:ln>
                      <a:noFill/>
                    </a:ln>
                  </pic:spPr>
                </pic:pic>
              </a:graphicData>
            </a:graphic>
          </wp:inline>
        </w:drawing>
      </w:r>
      <w:bookmarkEnd w:id="214"/>
      <w:bookmarkEnd w:id="215"/>
      <w:bookmarkEnd w:id="216"/>
      <w:bookmarkEnd w:id="217"/>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18" w:name="_Toc28566"/>
      <w:bookmarkStart w:id="219" w:name="_Toc5305"/>
      <w:bookmarkStart w:id="220" w:name="_Toc6949"/>
      <w:bookmarkStart w:id="221" w:name="_Toc5675"/>
      <w:r>
        <w:drawing>
          <wp:inline distT="0" distB="0" distL="114300" distR="114300">
            <wp:extent cx="5609590" cy="7967980"/>
            <wp:effectExtent l="0" t="0" r="10160" b="13970"/>
            <wp:docPr id="12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1"/>
                    <pic:cNvPicPr>
                      <a:picLocks noChangeAspect="1"/>
                    </pic:cNvPicPr>
                  </pic:nvPicPr>
                  <pic:blipFill>
                    <a:blip r:embed="rId76"/>
                    <a:stretch>
                      <a:fillRect/>
                    </a:stretch>
                  </pic:blipFill>
                  <pic:spPr>
                    <a:xfrm>
                      <a:off x="0" y="0"/>
                      <a:ext cx="5609590" cy="7967980"/>
                    </a:xfrm>
                    <a:prstGeom prst="rect">
                      <a:avLst/>
                    </a:prstGeom>
                    <a:noFill/>
                    <a:ln>
                      <a:noFill/>
                    </a:ln>
                  </pic:spPr>
                </pic:pic>
              </a:graphicData>
            </a:graphic>
          </wp:inline>
        </w:drawing>
      </w:r>
      <w:bookmarkEnd w:id="218"/>
      <w:bookmarkEnd w:id="219"/>
      <w:bookmarkEnd w:id="220"/>
      <w:bookmarkEnd w:id="221"/>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22" w:name="_Toc12688"/>
      <w:bookmarkStart w:id="223" w:name="_Toc11848"/>
      <w:bookmarkStart w:id="224" w:name="_Toc25611"/>
      <w:bookmarkStart w:id="225" w:name="_Toc13118"/>
      <w:r>
        <w:drawing>
          <wp:inline distT="0" distB="0" distL="114300" distR="114300">
            <wp:extent cx="5609590" cy="7978775"/>
            <wp:effectExtent l="0" t="0" r="10160" b="3175"/>
            <wp:docPr id="12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2"/>
                    <pic:cNvPicPr>
                      <a:picLocks noChangeAspect="1"/>
                    </pic:cNvPicPr>
                  </pic:nvPicPr>
                  <pic:blipFill>
                    <a:blip r:embed="rId77"/>
                    <a:stretch>
                      <a:fillRect/>
                    </a:stretch>
                  </pic:blipFill>
                  <pic:spPr>
                    <a:xfrm>
                      <a:off x="0" y="0"/>
                      <a:ext cx="5609590" cy="7978775"/>
                    </a:xfrm>
                    <a:prstGeom prst="rect">
                      <a:avLst/>
                    </a:prstGeom>
                    <a:noFill/>
                    <a:ln>
                      <a:noFill/>
                    </a:ln>
                  </pic:spPr>
                </pic:pic>
              </a:graphicData>
            </a:graphic>
          </wp:inline>
        </w:drawing>
      </w:r>
      <w:bookmarkEnd w:id="222"/>
      <w:bookmarkEnd w:id="223"/>
      <w:bookmarkEnd w:id="224"/>
      <w:bookmarkEnd w:id="225"/>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26" w:name="_Toc22305"/>
      <w:bookmarkStart w:id="227" w:name="_Toc31577"/>
      <w:bookmarkStart w:id="228" w:name="_Toc16252"/>
      <w:bookmarkStart w:id="229" w:name="_Toc13772"/>
      <w:r>
        <w:drawing>
          <wp:inline distT="0" distB="0" distL="114300" distR="114300">
            <wp:extent cx="5608955" cy="7957185"/>
            <wp:effectExtent l="0" t="0" r="10795" b="5715"/>
            <wp:docPr id="12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3"/>
                    <pic:cNvPicPr>
                      <a:picLocks noChangeAspect="1"/>
                    </pic:cNvPicPr>
                  </pic:nvPicPr>
                  <pic:blipFill>
                    <a:blip r:embed="rId78"/>
                    <a:stretch>
                      <a:fillRect/>
                    </a:stretch>
                  </pic:blipFill>
                  <pic:spPr>
                    <a:xfrm>
                      <a:off x="0" y="0"/>
                      <a:ext cx="5608955" cy="7957185"/>
                    </a:xfrm>
                    <a:prstGeom prst="rect">
                      <a:avLst/>
                    </a:prstGeom>
                    <a:noFill/>
                    <a:ln>
                      <a:noFill/>
                    </a:ln>
                  </pic:spPr>
                </pic:pic>
              </a:graphicData>
            </a:graphic>
          </wp:inline>
        </w:drawing>
      </w:r>
      <w:bookmarkEnd w:id="226"/>
      <w:bookmarkEnd w:id="227"/>
      <w:bookmarkEnd w:id="228"/>
      <w:bookmarkEnd w:id="229"/>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30" w:name="_Toc339"/>
      <w:bookmarkStart w:id="231" w:name="_Toc24053"/>
      <w:bookmarkStart w:id="232" w:name="_Toc9755"/>
      <w:bookmarkStart w:id="233" w:name="_Toc21952"/>
      <w:r>
        <w:drawing>
          <wp:inline distT="0" distB="0" distL="114300" distR="114300">
            <wp:extent cx="5609590" cy="7985760"/>
            <wp:effectExtent l="0" t="0" r="10160" b="15240"/>
            <wp:docPr id="12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4"/>
                    <pic:cNvPicPr>
                      <a:picLocks noChangeAspect="1"/>
                    </pic:cNvPicPr>
                  </pic:nvPicPr>
                  <pic:blipFill>
                    <a:blip r:embed="rId79"/>
                    <a:stretch>
                      <a:fillRect/>
                    </a:stretch>
                  </pic:blipFill>
                  <pic:spPr>
                    <a:xfrm>
                      <a:off x="0" y="0"/>
                      <a:ext cx="5609590" cy="7985760"/>
                    </a:xfrm>
                    <a:prstGeom prst="rect">
                      <a:avLst/>
                    </a:prstGeom>
                    <a:noFill/>
                    <a:ln>
                      <a:noFill/>
                    </a:ln>
                  </pic:spPr>
                </pic:pic>
              </a:graphicData>
            </a:graphic>
          </wp:inline>
        </w:drawing>
      </w:r>
      <w:bookmarkEnd w:id="230"/>
      <w:bookmarkEnd w:id="231"/>
      <w:bookmarkEnd w:id="232"/>
      <w:bookmarkEnd w:id="233"/>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34" w:name="_Toc3708"/>
      <w:r>
        <w:rPr>
          <w:rFonts w:hint="default" w:ascii="Times New Roman" w:hAnsi="Times New Roman" w:eastAsia="宋体" w:cs="Times New Roman"/>
          <w:b/>
          <w:bCs/>
          <w:snapToGrid w:val="0"/>
          <w:color w:val="auto"/>
          <w:sz w:val="28"/>
          <w:szCs w:val="28"/>
          <w:lang w:val="en-US" w:eastAsia="zh-CN"/>
        </w:rPr>
        <w:t>附件</w:t>
      </w:r>
      <w:r>
        <w:rPr>
          <w:rFonts w:hint="eastAsia" w:ascii="Times New Roman" w:hAnsi="Times New Roman" w:cs="Times New Roman"/>
          <w:b/>
          <w:bCs/>
          <w:snapToGrid w:val="0"/>
          <w:color w:val="auto"/>
          <w:sz w:val="28"/>
          <w:szCs w:val="28"/>
          <w:lang w:val="en-US" w:eastAsia="zh-CN"/>
        </w:rPr>
        <w:t>8</w:t>
      </w:r>
      <w:r>
        <w:rPr>
          <w:rFonts w:hint="default" w:ascii="Times New Roman" w:hAnsi="Times New Roman" w:eastAsia="宋体" w:cs="Times New Roman"/>
          <w:b/>
          <w:bCs/>
          <w:snapToGrid w:val="0"/>
          <w:color w:val="auto"/>
          <w:sz w:val="28"/>
          <w:szCs w:val="28"/>
          <w:lang w:val="en-US" w:eastAsia="zh-CN"/>
        </w:rPr>
        <w:t xml:space="preserve">  </w:t>
      </w:r>
      <w:r>
        <w:rPr>
          <w:rFonts w:hint="eastAsia" w:ascii="Times New Roman" w:hAnsi="Times New Roman" w:cs="Times New Roman"/>
          <w:b/>
          <w:bCs/>
          <w:snapToGrid w:val="0"/>
          <w:color w:val="auto"/>
          <w:sz w:val="28"/>
          <w:szCs w:val="28"/>
          <w:lang w:val="en-US" w:eastAsia="zh-CN"/>
        </w:rPr>
        <w:t>公示截图</w:t>
      </w:r>
      <w:bookmarkEnd w:id="234"/>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p>
    <w:p>
      <w:pPr>
        <w:pStyle w:val="14"/>
        <w:bidi w:val="0"/>
        <w:adjustRightInd w:val="0"/>
        <w:snapToGrid w:val="0"/>
        <w:spacing w:before="0" w:beforeAutospacing="0" w:after="0" w:afterAutospacing="0"/>
        <w:ind w:left="0" w:leftChars="0" w:right="0" w:rightChars="0"/>
        <w:jc w:val="center"/>
        <w:outlineLvl w:val="0"/>
        <w:rPr>
          <w:rFonts w:hint="default" w:ascii="Times New Roman" w:hAnsi="Times New Roman" w:eastAsia="宋体" w:cs="Times New Roman"/>
          <w:b/>
          <w:bCs/>
          <w:snapToGrid w:val="0"/>
          <w:color w:val="auto"/>
          <w:sz w:val="28"/>
          <w:szCs w:val="28"/>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4"/>
        <w:bidi w:val="0"/>
        <w:adjustRightInd w:val="0"/>
        <w:snapToGrid w:val="0"/>
        <w:spacing w:before="0" w:beforeAutospacing="0" w:after="0" w:afterAutospacing="0"/>
        <w:ind w:left="0" w:leftChars="0" w:right="0" w:rightChars="0"/>
        <w:outlineLvl w:val="0"/>
        <w:rPr>
          <w:rFonts w:hint="default" w:ascii="Times New Roman" w:hAnsi="Times New Roman" w:eastAsia="宋体" w:cs="Times New Roman"/>
          <w:b/>
          <w:bCs/>
          <w:snapToGrid w:val="0"/>
          <w:color w:val="auto"/>
          <w:sz w:val="28"/>
          <w:szCs w:val="28"/>
          <w:lang w:val="en-US" w:eastAsia="zh-CN"/>
        </w:rPr>
      </w:pPr>
      <w:bookmarkStart w:id="235" w:name="_Toc1625"/>
      <w:r>
        <w:rPr>
          <w:rFonts w:hint="default" w:ascii="Times New Roman" w:hAnsi="Times New Roman" w:eastAsia="宋体" w:cs="Times New Roman"/>
          <w:b/>
          <w:bCs/>
          <w:snapToGrid w:val="0"/>
          <w:color w:val="auto"/>
          <w:sz w:val="28"/>
          <w:szCs w:val="28"/>
          <w:lang w:val="en-US" w:eastAsia="zh-CN"/>
        </w:rPr>
        <w:t>附件</w:t>
      </w:r>
      <w:r>
        <w:rPr>
          <w:rFonts w:hint="eastAsia" w:ascii="Times New Roman" w:hAnsi="Times New Roman" w:cs="Times New Roman"/>
          <w:b/>
          <w:bCs/>
          <w:snapToGrid w:val="0"/>
          <w:color w:val="auto"/>
          <w:sz w:val="28"/>
          <w:szCs w:val="28"/>
          <w:lang w:val="en-US" w:eastAsia="zh-CN"/>
        </w:rPr>
        <w:t>9</w:t>
      </w:r>
      <w:r>
        <w:rPr>
          <w:rFonts w:hint="default" w:ascii="Times New Roman" w:hAnsi="Times New Roman" w:eastAsia="宋体" w:cs="Times New Roman"/>
          <w:b/>
          <w:bCs/>
          <w:snapToGrid w:val="0"/>
          <w:color w:val="auto"/>
          <w:sz w:val="28"/>
          <w:szCs w:val="28"/>
          <w:lang w:val="en-US" w:eastAsia="zh-CN"/>
        </w:rPr>
        <w:t xml:space="preserve">  核定排放量计算说明</w:t>
      </w:r>
      <w:bookmarkEnd w:id="235"/>
    </w:p>
    <w:p>
      <w:pPr>
        <w:bidi w:val="0"/>
        <w:spacing w:beforeAutospacing="0" w:afterAutospacing="0" w:line="360" w:lineRule="auto"/>
        <w:ind w:left="0" w:leftChars="0" w:right="0" w:rightChars="0"/>
        <w:contextualSpacing/>
        <w:jc w:val="center"/>
        <w:rPr>
          <w:rFonts w:hint="default" w:ascii="Times New Roman" w:hAnsi="Times New Roman" w:eastAsia="宋体" w:cs="Times New Roman"/>
          <w:b/>
          <w:color w:val="auto"/>
          <w:sz w:val="32"/>
          <w:szCs w:val="32"/>
        </w:rPr>
      </w:pPr>
      <w:r>
        <w:rPr>
          <w:rFonts w:hint="default" w:ascii="Times New Roman" w:hAnsi="Times New Roman" w:eastAsia="宋体" w:cs="Times New Roman"/>
          <w:b/>
          <w:color w:val="auto"/>
          <w:sz w:val="32"/>
          <w:szCs w:val="32"/>
        </w:rPr>
        <w:t>核定排放量计算说明</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1、废气</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本项目锅炉烟气污染物允许排放量核算采用《排污许可证申请与核发技术规范 锅炉》（HJ953-2018）的允许排放量核算方法进行计算。</w:t>
      </w:r>
      <w:r>
        <w:rPr>
          <w:rFonts w:hint="eastAsia" w:cs="Times New Roman"/>
          <w:color w:val="auto"/>
          <w:sz w:val="24"/>
          <w:lang w:val="en-US" w:eastAsia="zh-CN"/>
        </w:rPr>
        <w:t>本项目生产用热锅炉及供暖锅炉年消耗生物质共1836.3t。</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①基准烟气量</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根据《排污许可证申请与核发技术规范—锅炉》（HJ953-2018）中表5，V </w:t>
      </w:r>
      <w:r>
        <w:rPr>
          <w:rFonts w:hint="default" w:ascii="Times New Roman" w:hAnsi="Times New Roman" w:eastAsia="宋体" w:cs="Times New Roman"/>
          <w:color w:val="auto"/>
          <w:sz w:val="24"/>
          <w:vertAlign w:val="subscript"/>
        </w:rPr>
        <w:t>gy</w:t>
      </w:r>
      <w:r>
        <w:rPr>
          <w:rFonts w:hint="default" w:ascii="Times New Roman" w:hAnsi="Times New Roman" w:eastAsia="宋体" w:cs="Times New Roman"/>
          <w:color w:val="auto"/>
          <w:sz w:val="24"/>
        </w:rPr>
        <w:t xml:space="preserve"> =0.</w:t>
      </w:r>
      <w:r>
        <w:rPr>
          <w:rFonts w:hint="eastAsia" w:cs="Times New Roman"/>
          <w:color w:val="auto"/>
          <w:sz w:val="24"/>
          <w:lang w:val="en-US" w:eastAsia="zh-CN"/>
        </w:rPr>
        <w:t>393</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net</w:t>
      </w:r>
      <w:r>
        <w:rPr>
          <w:rFonts w:hint="eastAsia" w:cs="Times New Roman"/>
          <w:color w:val="auto"/>
          <w:sz w:val="24"/>
          <w:vertAlign w:val="subscript"/>
          <w:lang w:val="en-US" w:eastAsia="zh-CN"/>
        </w:rPr>
        <w:t>,ar</w:t>
      </w:r>
      <w:r>
        <w:rPr>
          <w:rFonts w:hint="default" w:ascii="Times New Roman" w:hAnsi="Times New Roman" w:eastAsia="宋体" w:cs="Times New Roman"/>
          <w:color w:val="auto"/>
          <w:sz w:val="24"/>
        </w:rPr>
        <w:t>+0.</w:t>
      </w:r>
      <w:r>
        <w:rPr>
          <w:rFonts w:hint="eastAsia" w:cs="Times New Roman"/>
          <w:color w:val="auto"/>
          <w:sz w:val="24"/>
          <w:lang w:val="en-US" w:eastAsia="zh-CN"/>
        </w:rPr>
        <w:t>876</w:t>
      </w:r>
      <w:r>
        <w:rPr>
          <w:rFonts w:hint="default" w:ascii="Times New Roman" w:hAnsi="Times New Roman" w:eastAsia="宋体" w:cs="Times New Roman"/>
          <w:color w:val="auto"/>
          <w:sz w:val="24"/>
        </w:rPr>
        <w:t>，式中V</w:t>
      </w:r>
      <w:r>
        <w:rPr>
          <w:rFonts w:hint="default" w:ascii="Times New Roman" w:hAnsi="Times New Roman" w:eastAsia="宋体" w:cs="Times New Roman"/>
          <w:color w:val="auto"/>
          <w:sz w:val="24"/>
          <w:vertAlign w:val="subscript"/>
        </w:rPr>
        <w:t>gy</w:t>
      </w:r>
      <w:r>
        <w:rPr>
          <w:rFonts w:hint="default" w:ascii="Times New Roman" w:hAnsi="Times New Roman" w:eastAsia="宋体" w:cs="Times New Roman"/>
          <w:color w:val="auto"/>
          <w:sz w:val="24"/>
        </w:rPr>
        <w:t>，基准烟气量（Nm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net，</w:t>
      </w:r>
      <w:r>
        <w:rPr>
          <w:rFonts w:hint="eastAsia" w:ascii="Times New Roman" w:hAnsi="Times New Roman" w:eastAsia="宋体" w:cs="Times New Roman"/>
          <w:color w:val="auto"/>
          <w:sz w:val="24"/>
          <w:vertAlign w:val="subscript"/>
          <w:lang w:val="en-US" w:eastAsia="zh-CN"/>
        </w:rPr>
        <w:t>ar</w:t>
      </w:r>
      <w:r>
        <w:rPr>
          <w:rFonts w:hint="eastAsia" w:ascii="Times New Roman" w:hAnsi="Times New Roman" w:eastAsia="宋体" w:cs="Times New Roman"/>
          <w:color w:val="auto"/>
          <w:sz w:val="24"/>
          <w:lang w:val="en-US" w:eastAsia="zh-CN"/>
        </w:rPr>
        <w:t>固体/液体</w:t>
      </w:r>
      <w:r>
        <w:rPr>
          <w:rFonts w:hint="default" w:ascii="Times New Roman" w:hAnsi="Times New Roman" w:eastAsia="宋体" w:cs="Times New Roman"/>
          <w:color w:val="auto"/>
          <w:sz w:val="24"/>
        </w:rPr>
        <w:t>燃料</w:t>
      </w:r>
      <w:r>
        <w:rPr>
          <w:rFonts w:hint="eastAsia" w:cs="Times New Roman"/>
          <w:color w:val="auto"/>
          <w:sz w:val="24"/>
          <w:lang w:val="en-US" w:eastAsia="zh-CN"/>
        </w:rPr>
        <w:t>收到基</w:t>
      </w:r>
      <w:r>
        <w:rPr>
          <w:rFonts w:hint="default" w:ascii="Times New Roman" w:hAnsi="Times New Roman" w:eastAsia="宋体" w:cs="Times New Roman"/>
          <w:color w:val="auto"/>
          <w:sz w:val="24"/>
        </w:rPr>
        <w:t>低位发热量</w:t>
      </w:r>
      <w:r>
        <w:rPr>
          <w:rFonts w:hint="eastAsia" w:cs="Times New Roman"/>
          <w:color w:val="auto"/>
          <w:sz w:val="24"/>
          <w:lang w:val="en-US" w:eastAsia="zh-CN"/>
        </w:rPr>
        <w:t>16.98</w:t>
      </w:r>
      <w:r>
        <w:rPr>
          <w:rFonts w:hint="default" w:ascii="Times New Roman" w:hAnsi="Times New Roman" w:eastAsia="宋体" w:cs="Times New Roman"/>
          <w:color w:val="auto"/>
          <w:sz w:val="24"/>
        </w:rPr>
        <w:t>MJ/m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），经计算本项目基准烟气量为</w:t>
      </w:r>
      <w:r>
        <w:rPr>
          <w:rFonts w:hint="eastAsia" w:cs="Times New Roman"/>
          <w:color w:val="auto"/>
          <w:sz w:val="24"/>
          <w:lang w:val="en-US" w:eastAsia="zh-CN"/>
        </w:rPr>
        <w:t>7.549</w:t>
      </w:r>
      <w:r>
        <w:rPr>
          <w:rFonts w:hint="default" w:ascii="Times New Roman" w:hAnsi="Times New Roman" w:eastAsia="宋体" w:cs="Times New Roman"/>
          <w:color w:val="auto"/>
          <w:sz w:val="24"/>
        </w:rPr>
        <w:t>Nm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②许可排放浓度确定</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SO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、颗粒物、NOx许可排放浓度根据《锅炉大气污染物排放标准》（GB13271-2014）确定，燃</w:t>
      </w:r>
      <w:r>
        <w:rPr>
          <w:rFonts w:hint="eastAsia" w:cs="Times New Roman"/>
          <w:color w:val="auto"/>
          <w:sz w:val="24"/>
          <w:lang w:val="en-US" w:eastAsia="zh-CN"/>
        </w:rPr>
        <w:t>煤</w:t>
      </w:r>
      <w:r>
        <w:rPr>
          <w:rFonts w:hint="default" w:ascii="Times New Roman" w:hAnsi="Times New Roman" w:eastAsia="宋体" w:cs="Times New Roman"/>
          <w:color w:val="auto"/>
          <w:sz w:val="24"/>
        </w:rPr>
        <w:t>锅炉标准：颗粒物浓度≤</w:t>
      </w:r>
      <w:r>
        <w:rPr>
          <w:rFonts w:hint="eastAsia" w:cs="Times New Roman"/>
          <w:color w:val="auto"/>
          <w:sz w:val="24"/>
          <w:lang w:val="en-US" w:eastAsia="zh-CN"/>
        </w:rPr>
        <w:t>5</w:t>
      </w:r>
      <w:r>
        <w:rPr>
          <w:rFonts w:hint="default" w:ascii="Times New Roman" w:hAnsi="Times New Roman" w:eastAsia="宋体" w:cs="Times New Roman"/>
          <w:color w:val="auto"/>
          <w:sz w:val="24"/>
        </w:rPr>
        <w:t>0mg/m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，SO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w:t>
      </w:r>
      <w:r>
        <w:rPr>
          <w:rFonts w:hint="eastAsia" w:cs="Times New Roman"/>
          <w:color w:val="auto"/>
          <w:sz w:val="24"/>
          <w:lang w:val="en-US" w:eastAsia="zh-CN"/>
        </w:rPr>
        <w:t>30</w:t>
      </w:r>
      <w:r>
        <w:rPr>
          <w:rFonts w:hint="default" w:ascii="Times New Roman" w:hAnsi="Times New Roman" w:eastAsia="宋体" w:cs="Times New Roman"/>
          <w:color w:val="auto"/>
          <w:sz w:val="24"/>
        </w:rPr>
        <w:t>0mg/m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，NOx≤</w:t>
      </w:r>
      <w:r>
        <w:rPr>
          <w:rFonts w:hint="eastAsia" w:cs="Times New Roman"/>
          <w:color w:val="auto"/>
          <w:sz w:val="24"/>
          <w:lang w:val="en-US" w:eastAsia="zh-CN"/>
        </w:rPr>
        <w:t>3</w:t>
      </w:r>
      <w:r>
        <w:rPr>
          <w:rFonts w:hint="default" w:ascii="Times New Roman" w:hAnsi="Times New Roman" w:eastAsia="宋体" w:cs="Times New Roman"/>
          <w:color w:val="auto"/>
          <w:sz w:val="24"/>
        </w:rPr>
        <w:t>00mg/m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③锅炉许可排放量：</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SO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w:t>
      </w:r>
      <w:r>
        <w:rPr>
          <w:rFonts w:hint="eastAsia" w:cs="Times New Roman"/>
          <w:color w:val="auto"/>
          <w:sz w:val="24"/>
          <w:lang w:val="en-US" w:eastAsia="zh-CN"/>
        </w:rPr>
        <w:t>1836.3t</w:t>
      </w:r>
      <w:r>
        <w:rPr>
          <w:rFonts w:hint="default" w:ascii="Times New Roman" w:hAnsi="Times New Roman" w:eastAsia="宋体" w:cs="Times New Roman"/>
          <w:color w:val="auto"/>
          <w:sz w:val="24"/>
        </w:rPr>
        <w:t>/a×</w:t>
      </w:r>
      <w:r>
        <w:rPr>
          <w:rFonts w:hint="eastAsia" w:cs="Times New Roman"/>
          <w:color w:val="auto"/>
          <w:sz w:val="24"/>
          <w:lang w:val="en-US" w:eastAsia="zh-CN"/>
        </w:rPr>
        <w:t>7.549</w:t>
      </w:r>
      <w:r>
        <w:rPr>
          <w:rFonts w:hint="default" w:ascii="Times New Roman" w:hAnsi="Times New Roman" w:eastAsia="宋体" w:cs="Times New Roman"/>
          <w:color w:val="auto"/>
          <w:sz w:val="24"/>
        </w:rPr>
        <w:t>×</w:t>
      </w:r>
      <w:r>
        <w:rPr>
          <w:rFonts w:hint="eastAsia" w:cs="Times New Roman"/>
          <w:color w:val="auto"/>
          <w:sz w:val="24"/>
          <w:lang w:val="en-US" w:eastAsia="zh-CN"/>
        </w:rPr>
        <w:t>30</w:t>
      </w:r>
      <w:r>
        <w:rPr>
          <w:rFonts w:hint="default" w:ascii="Times New Roman" w:hAnsi="Times New Roman" w:eastAsia="宋体" w:cs="Times New Roman"/>
          <w:color w:val="auto"/>
          <w:sz w:val="24"/>
        </w:rPr>
        <w:t>0</w:t>
      </w:r>
      <w:r>
        <w:rPr>
          <w:rFonts w:hint="eastAsia"/>
          <w:color w:val="000000"/>
          <w:sz w:val="24"/>
          <w:szCs w:val="24"/>
        </w:rPr>
        <w:t>×</w:t>
      </w:r>
      <w:r>
        <w:rPr>
          <w:rFonts w:hint="eastAsia"/>
          <w:color w:val="000000"/>
          <w:sz w:val="24"/>
          <w:szCs w:val="24"/>
          <w:lang w:val="en-US" w:eastAsia="zh-CN"/>
        </w:rPr>
        <w:t>0.8</w:t>
      </w:r>
      <w:r>
        <w:rPr>
          <w:rFonts w:hint="eastAsia"/>
          <w:color w:val="000000"/>
          <w:sz w:val="24"/>
          <w:szCs w:val="24"/>
        </w:rPr>
        <w:t>×10</w:t>
      </w:r>
      <w:r>
        <w:rPr>
          <w:rFonts w:hint="eastAsia"/>
          <w:color w:val="000000"/>
          <w:sz w:val="24"/>
          <w:szCs w:val="24"/>
          <w:vertAlign w:val="superscript"/>
        </w:rPr>
        <w:t>-6</w:t>
      </w:r>
      <w:r>
        <w:rPr>
          <w:rFonts w:hint="default" w:ascii="Times New Roman" w:hAnsi="Times New Roman" w:eastAsia="宋体" w:cs="Times New Roman"/>
          <w:color w:val="auto"/>
          <w:sz w:val="24"/>
        </w:rPr>
        <w:t>=</w:t>
      </w:r>
      <w:r>
        <w:rPr>
          <w:rFonts w:hint="eastAsia" w:cs="Times New Roman"/>
          <w:color w:val="auto"/>
          <w:sz w:val="24"/>
          <w:lang w:val="en-US" w:eastAsia="zh-CN"/>
        </w:rPr>
        <w:t>3.33</w:t>
      </w:r>
      <w:r>
        <w:rPr>
          <w:rFonts w:hint="default" w:ascii="Times New Roman" w:hAnsi="Times New Roman" w:eastAsia="宋体" w:cs="Times New Roman"/>
          <w:color w:val="auto"/>
          <w:sz w:val="24"/>
        </w:rPr>
        <w:t>t/a；</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NO</w:t>
      </w:r>
      <w:r>
        <w:rPr>
          <w:rFonts w:hint="default" w:ascii="Times New Roman" w:hAnsi="Times New Roman" w:eastAsia="宋体" w:cs="Times New Roman"/>
          <w:color w:val="auto"/>
          <w:sz w:val="24"/>
          <w:vertAlign w:val="subscript"/>
        </w:rPr>
        <w:t>x</w:t>
      </w:r>
      <w:r>
        <w:rPr>
          <w:rFonts w:hint="default" w:ascii="Times New Roman" w:hAnsi="Times New Roman" w:eastAsia="宋体" w:cs="Times New Roman"/>
          <w:color w:val="auto"/>
          <w:sz w:val="24"/>
        </w:rPr>
        <w:t>=</w:t>
      </w:r>
      <w:r>
        <w:rPr>
          <w:rFonts w:hint="eastAsia" w:cs="Times New Roman"/>
          <w:color w:val="auto"/>
          <w:sz w:val="24"/>
          <w:lang w:val="en-US" w:eastAsia="zh-CN"/>
        </w:rPr>
        <w:t>1836.3t</w:t>
      </w:r>
      <w:r>
        <w:rPr>
          <w:rFonts w:hint="default" w:ascii="Times New Roman" w:hAnsi="Times New Roman" w:eastAsia="宋体" w:cs="Times New Roman"/>
          <w:color w:val="auto"/>
          <w:sz w:val="24"/>
        </w:rPr>
        <w:t>/a×</w:t>
      </w:r>
      <w:r>
        <w:rPr>
          <w:rFonts w:hint="eastAsia" w:cs="Times New Roman"/>
          <w:color w:val="auto"/>
          <w:sz w:val="24"/>
          <w:lang w:val="en-US" w:eastAsia="zh-CN"/>
        </w:rPr>
        <w:t>7.549</w:t>
      </w:r>
      <w:r>
        <w:rPr>
          <w:rFonts w:hint="default" w:ascii="Times New Roman" w:hAnsi="Times New Roman" w:eastAsia="宋体" w:cs="Times New Roman"/>
          <w:color w:val="auto"/>
          <w:sz w:val="24"/>
        </w:rPr>
        <w:t>×</w:t>
      </w:r>
      <w:r>
        <w:rPr>
          <w:rFonts w:hint="eastAsia" w:cs="Times New Roman"/>
          <w:color w:val="auto"/>
          <w:sz w:val="24"/>
          <w:lang w:val="en-US" w:eastAsia="zh-CN"/>
        </w:rPr>
        <w:t>3</w:t>
      </w:r>
      <w:r>
        <w:rPr>
          <w:rFonts w:hint="default" w:ascii="Times New Roman" w:hAnsi="Times New Roman" w:eastAsia="宋体" w:cs="Times New Roman"/>
          <w:color w:val="auto"/>
          <w:sz w:val="24"/>
        </w:rPr>
        <w:t>00</w:t>
      </w:r>
      <w:r>
        <w:rPr>
          <w:rFonts w:hint="eastAsia"/>
          <w:color w:val="000000"/>
          <w:sz w:val="24"/>
          <w:szCs w:val="24"/>
        </w:rPr>
        <w:t>×1×10</w:t>
      </w:r>
      <w:r>
        <w:rPr>
          <w:rFonts w:hint="eastAsia"/>
          <w:color w:val="000000"/>
          <w:sz w:val="24"/>
          <w:szCs w:val="24"/>
          <w:vertAlign w:val="superscript"/>
        </w:rPr>
        <w:t>-6</w:t>
      </w:r>
      <w:r>
        <w:rPr>
          <w:rFonts w:hint="default" w:ascii="Times New Roman" w:hAnsi="Times New Roman" w:eastAsia="宋体" w:cs="Times New Roman"/>
          <w:color w:val="auto"/>
          <w:sz w:val="24"/>
        </w:rPr>
        <w:t>=</w:t>
      </w:r>
      <w:r>
        <w:rPr>
          <w:rFonts w:hint="eastAsia" w:cs="Times New Roman"/>
          <w:color w:val="auto"/>
          <w:sz w:val="24"/>
          <w:lang w:val="en-US" w:eastAsia="zh-CN"/>
        </w:rPr>
        <w:t>4.16</w:t>
      </w:r>
      <w:r>
        <w:rPr>
          <w:rFonts w:hint="default" w:ascii="Times New Roman" w:hAnsi="Times New Roman" w:eastAsia="宋体" w:cs="Times New Roman"/>
          <w:color w:val="auto"/>
          <w:sz w:val="24"/>
        </w:rPr>
        <w:t>t/a；</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颗粒物=</w:t>
      </w:r>
      <w:r>
        <w:rPr>
          <w:rFonts w:hint="eastAsia" w:cs="Times New Roman"/>
          <w:color w:val="auto"/>
          <w:sz w:val="24"/>
          <w:lang w:val="en-US" w:eastAsia="zh-CN"/>
        </w:rPr>
        <w:t>1836.3t</w:t>
      </w:r>
      <w:r>
        <w:rPr>
          <w:rFonts w:hint="default" w:ascii="Times New Roman" w:hAnsi="Times New Roman" w:eastAsia="宋体" w:cs="Times New Roman"/>
          <w:color w:val="auto"/>
          <w:sz w:val="24"/>
        </w:rPr>
        <w:t>/a×</w:t>
      </w:r>
      <w:r>
        <w:rPr>
          <w:rFonts w:hint="eastAsia" w:cs="Times New Roman"/>
          <w:color w:val="auto"/>
          <w:sz w:val="24"/>
          <w:lang w:val="en-US" w:eastAsia="zh-CN"/>
        </w:rPr>
        <w:t>7.549</w:t>
      </w:r>
      <w:r>
        <w:rPr>
          <w:rFonts w:hint="default" w:ascii="Times New Roman" w:hAnsi="Times New Roman" w:eastAsia="宋体" w:cs="Times New Roman"/>
          <w:color w:val="auto"/>
          <w:sz w:val="24"/>
        </w:rPr>
        <w:t>×</w:t>
      </w:r>
      <w:r>
        <w:rPr>
          <w:rFonts w:hint="eastAsia" w:cs="Times New Roman"/>
          <w:color w:val="auto"/>
          <w:sz w:val="24"/>
          <w:lang w:val="en-US" w:eastAsia="zh-CN"/>
        </w:rPr>
        <w:t>5</w:t>
      </w:r>
      <w:r>
        <w:rPr>
          <w:rFonts w:hint="default" w:ascii="Times New Roman" w:hAnsi="Times New Roman" w:eastAsia="宋体" w:cs="Times New Roman"/>
          <w:color w:val="auto"/>
          <w:sz w:val="24"/>
        </w:rPr>
        <w:t>0</w:t>
      </w:r>
      <w:r>
        <w:rPr>
          <w:rFonts w:hint="eastAsia"/>
          <w:color w:val="000000"/>
          <w:sz w:val="24"/>
          <w:szCs w:val="24"/>
        </w:rPr>
        <w:t>×1×10</w:t>
      </w:r>
      <w:r>
        <w:rPr>
          <w:rFonts w:hint="eastAsia"/>
          <w:color w:val="000000"/>
          <w:sz w:val="24"/>
          <w:szCs w:val="24"/>
          <w:vertAlign w:val="superscript"/>
        </w:rPr>
        <w:t>-6</w:t>
      </w:r>
      <w:r>
        <w:rPr>
          <w:rFonts w:hint="default" w:ascii="Times New Roman" w:hAnsi="Times New Roman" w:eastAsia="宋体" w:cs="Times New Roman"/>
          <w:color w:val="auto"/>
          <w:sz w:val="24"/>
        </w:rPr>
        <w:t>=0.</w:t>
      </w:r>
      <w:r>
        <w:rPr>
          <w:rFonts w:hint="eastAsia" w:cs="Times New Roman"/>
          <w:color w:val="auto"/>
          <w:sz w:val="24"/>
          <w:lang w:val="en-US" w:eastAsia="zh-CN"/>
        </w:rPr>
        <w:t>693</w:t>
      </w:r>
      <w:r>
        <w:rPr>
          <w:rFonts w:hint="default" w:ascii="Times New Roman" w:hAnsi="Times New Roman" w:eastAsia="宋体" w:cs="Times New Roman"/>
          <w:color w:val="auto"/>
          <w:sz w:val="24"/>
        </w:rPr>
        <w:t>t/a。</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则本项目大气污染物核算总量为：颗粒物0.</w:t>
      </w:r>
      <w:r>
        <w:rPr>
          <w:rFonts w:hint="eastAsia" w:cs="Times New Roman"/>
          <w:color w:val="auto"/>
          <w:sz w:val="24"/>
          <w:lang w:val="en-US" w:eastAsia="zh-CN"/>
        </w:rPr>
        <w:t>693</w:t>
      </w:r>
      <w:r>
        <w:rPr>
          <w:rFonts w:hint="default" w:ascii="Times New Roman" w:hAnsi="Times New Roman" w:eastAsia="宋体" w:cs="Times New Roman"/>
          <w:color w:val="auto"/>
          <w:sz w:val="24"/>
        </w:rPr>
        <w:t>t/a，二氧化硫</w:t>
      </w:r>
      <w:r>
        <w:rPr>
          <w:rFonts w:hint="eastAsia" w:cs="Times New Roman"/>
          <w:color w:val="auto"/>
          <w:sz w:val="24"/>
          <w:lang w:val="en-US" w:eastAsia="zh-CN"/>
        </w:rPr>
        <w:t>3.33</w:t>
      </w:r>
      <w:r>
        <w:rPr>
          <w:rFonts w:hint="default" w:ascii="Times New Roman" w:hAnsi="Times New Roman" w:eastAsia="宋体" w:cs="Times New Roman"/>
          <w:color w:val="auto"/>
          <w:sz w:val="24"/>
        </w:rPr>
        <w:t>t/a，氮氧化物</w:t>
      </w:r>
      <w:r>
        <w:rPr>
          <w:rFonts w:hint="eastAsia" w:cs="Times New Roman"/>
          <w:color w:val="auto"/>
          <w:sz w:val="24"/>
          <w:lang w:val="en-US" w:eastAsia="zh-CN"/>
        </w:rPr>
        <w:t>4.16</w:t>
      </w:r>
      <w:r>
        <w:rPr>
          <w:rFonts w:hint="default" w:ascii="Times New Roman" w:hAnsi="Times New Roman" w:eastAsia="宋体" w:cs="Times New Roman"/>
          <w:color w:val="auto"/>
          <w:sz w:val="24"/>
        </w:rPr>
        <w:t>t/a。</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2、废水</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本项目所排废水主要为生活污水及锅炉排污水，</w:t>
      </w:r>
      <w:r>
        <w:rPr>
          <w:rFonts w:hint="default" w:ascii="Times New Roman" w:hAnsi="Times New Roman" w:eastAsia="宋体" w:cs="Times New Roman"/>
          <w:bCs/>
          <w:color w:val="auto"/>
          <w:sz w:val="24"/>
        </w:rPr>
        <w:t>总排水量为</w:t>
      </w:r>
      <w:r>
        <w:rPr>
          <w:rFonts w:hint="eastAsia" w:cs="Times New Roman"/>
          <w:bCs/>
          <w:color w:val="auto"/>
          <w:sz w:val="24"/>
          <w:lang w:val="en-US" w:eastAsia="zh-CN"/>
        </w:rPr>
        <w:t>1008.6</w:t>
      </w:r>
      <w:r>
        <w:rPr>
          <w:rFonts w:hint="default" w:ascii="Times New Roman" w:hAnsi="Times New Roman" w:eastAsia="宋体" w:cs="Times New Roman"/>
          <w:bCs/>
          <w:color w:val="auto"/>
          <w:sz w:val="24"/>
        </w:rPr>
        <w:t>t/a。废水</w:t>
      </w:r>
      <w:r>
        <w:rPr>
          <w:rFonts w:hint="default" w:ascii="Times New Roman" w:hAnsi="Times New Roman" w:eastAsia="宋体" w:cs="Times New Roman"/>
          <w:color w:val="auto"/>
          <w:sz w:val="24"/>
        </w:rPr>
        <w:t>执行《污水综合排放标准》（GB8978-1996）表4三级标准要求</w:t>
      </w:r>
      <w:r>
        <w:rPr>
          <w:rFonts w:hint="default" w:ascii="Times New Roman" w:hAnsi="Times New Roman" w:eastAsia="宋体" w:cs="Times New Roman"/>
          <w:bCs/>
          <w:color w:val="auto"/>
          <w:sz w:val="24"/>
        </w:rPr>
        <w:t>，</w:t>
      </w:r>
      <w:r>
        <w:rPr>
          <w:rFonts w:hint="default" w:ascii="Times New Roman" w:hAnsi="Times New Roman" w:eastAsia="宋体" w:cs="Times New Roman"/>
          <w:color w:val="auto"/>
          <w:sz w:val="24"/>
        </w:rPr>
        <w:t>即COD排放浓度为500mg/L，计算如下：</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COD</w:t>
      </w:r>
      <w:r>
        <w:rPr>
          <w:rFonts w:hint="default" w:ascii="Times New Roman" w:hAnsi="Times New Roman" w:eastAsia="宋体" w:cs="Times New Roman"/>
          <w:color w:val="auto"/>
          <w:sz w:val="24"/>
          <w:vertAlign w:val="subscript"/>
        </w:rPr>
        <w:t>核定排放量</w:t>
      </w:r>
      <w:r>
        <w:rPr>
          <w:rFonts w:hint="default" w:ascii="Times New Roman" w:hAnsi="Times New Roman" w:eastAsia="宋体" w:cs="Times New Roman"/>
          <w:color w:val="auto"/>
          <w:sz w:val="24"/>
        </w:rPr>
        <w:t>=</w:t>
      </w:r>
      <w:r>
        <w:rPr>
          <w:rFonts w:hint="eastAsia" w:cs="Times New Roman"/>
          <w:color w:val="auto"/>
          <w:sz w:val="24"/>
          <w:lang w:val="en-US" w:eastAsia="zh-CN"/>
        </w:rPr>
        <w:t>1008.6</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/a×500mg/L×</w:t>
      </w:r>
      <w:r>
        <w:rPr>
          <w:rFonts w:hint="eastAsia" w:ascii="Times New Roman" w:hAnsi="Times New Roman" w:eastAsia="宋体" w:cs="Times New Roman"/>
          <w:color w:val="auto"/>
          <w:sz w:val="24"/>
          <w:lang w:val="en-US" w:eastAsia="zh-CN"/>
        </w:rPr>
        <w:t>10</w:t>
      </w:r>
      <w:r>
        <w:rPr>
          <w:rFonts w:hint="eastAsia" w:ascii="Times New Roman" w:hAnsi="Times New Roman" w:eastAsia="宋体" w:cs="Times New Roman"/>
          <w:color w:val="auto"/>
          <w:sz w:val="24"/>
          <w:vertAlign w:val="superscript"/>
          <w:lang w:val="en-US" w:eastAsia="zh-CN"/>
        </w:rPr>
        <w:t>-6</w:t>
      </w:r>
      <w:r>
        <w:rPr>
          <w:rFonts w:hint="default" w:ascii="Times New Roman" w:hAnsi="Times New Roman" w:eastAsia="宋体" w:cs="Times New Roman"/>
          <w:color w:val="auto"/>
          <w:sz w:val="24"/>
        </w:rPr>
        <w:t>=</w:t>
      </w:r>
      <w:r>
        <w:rPr>
          <w:rFonts w:hint="eastAsia" w:cs="Times New Roman"/>
          <w:color w:val="auto"/>
          <w:sz w:val="24"/>
          <w:lang w:val="en-US" w:eastAsia="zh-CN"/>
        </w:rPr>
        <w:t>0.504</w:t>
      </w:r>
      <w:r>
        <w:rPr>
          <w:rFonts w:hint="default" w:ascii="Times New Roman" w:hAnsi="Times New Roman" w:eastAsia="宋体" w:cs="Times New Roman"/>
          <w:color w:val="auto"/>
          <w:sz w:val="24"/>
        </w:rPr>
        <w:t>t/a</w:t>
      </w:r>
    </w:p>
    <w:p>
      <w:pPr>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氨氮</w:t>
      </w:r>
      <w:r>
        <w:rPr>
          <w:rFonts w:hint="default" w:ascii="Times New Roman" w:hAnsi="Times New Roman" w:eastAsia="宋体" w:cs="Times New Roman"/>
          <w:color w:val="auto"/>
          <w:sz w:val="24"/>
          <w:vertAlign w:val="subscript"/>
        </w:rPr>
        <w:t>核定排放量</w:t>
      </w:r>
      <w:r>
        <w:rPr>
          <w:rFonts w:hint="default" w:ascii="Times New Roman" w:hAnsi="Times New Roman" w:eastAsia="宋体" w:cs="Times New Roman"/>
          <w:color w:val="auto"/>
          <w:sz w:val="24"/>
        </w:rPr>
        <w:t>=</w:t>
      </w:r>
      <w:r>
        <w:rPr>
          <w:rFonts w:hint="eastAsia" w:cs="Times New Roman"/>
          <w:color w:val="auto"/>
          <w:sz w:val="24"/>
          <w:lang w:val="en-US" w:eastAsia="zh-CN"/>
        </w:rPr>
        <w:t>1008.6</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/a×</w:t>
      </w:r>
      <w:r>
        <w:rPr>
          <w:rFonts w:hint="eastAsia" w:cs="Times New Roman"/>
          <w:color w:val="auto"/>
          <w:sz w:val="24"/>
          <w:lang w:val="en-US" w:eastAsia="zh-CN"/>
        </w:rPr>
        <w:t>10.91</w:t>
      </w:r>
      <w:r>
        <w:rPr>
          <w:rFonts w:hint="default" w:ascii="Times New Roman" w:hAnsi="Times New Roman" w:eastAsia="宋体" w:cs="Times New Roman"/>
          <w:color w:val="auto"/>
          <w:sz w:val="24"/>
        </w:rPr>
        <w:t>mg/L×</w:t>
      </w:r>
      <w:r>
        <w:rPr>
          <w:rFonts w:hint="eastAsia" w:ascii="Times New Roman" w:hAnsi="Times New Roman" w:eastAsia="宋体" w:cs="Times New Roman"/>
          <w:color w:val="auto"/>
          <w:sz w:val="24"/>
          <w:lang w:val="en-US" w:eastAsia="zh-CN"/>
        </w:rPr>
        <w:t>10</w:t>
      </w:r>
      <w:r>
        <w:rPr>
          <w:rFonts w:hint="eastAsia" w:ascii="Times New Roman" w:hAnsi="Times New Roman" w:eastAsia="宋体" w:cs="Times New Roman"/>
          <w:color w:val="auto"/>
          <w:sz w:val="24"/>
          <w:vertAlign w:val="superscript"/>
          <w:lang w:val="en-US" w:eastAsia="zh-CN"/>
        </w:rPr>
        <w:t>-6</w:t>
      </w:r>
      <w:r>
        <w:rPr>
          <w:rFonts w:hint="default" w:ascii="Times New Roman" w:hAnsi="Times New Roman" w:eastAsia="宋体" w:cs="Times New Roman"/>
          <w:color w:val="auto"/>
          <w:sz w:val="24"/>
        </w:rPr>
        <w:t>=0.0</w:t>
      </w:r>
      <w:r>
        <w:rPr>
          <w:rFonts w:hint="eastAsia" w:cs="Times New Roman"/>
          <w:color w:val="auto"/>
          <w:sz w:val="24"/>
          <w:lang w:val="en-US" w:eastAsia="zh-CN"/>
        </w:rPr>
        <w:t>11</w:t>
      </w:r>
      <w:r>
        <w:rPr>
          <w:rFonts w:hint="default" w:ascii="Times New Roman" w:hAnsi="Times New Roman" w:eastAsia="宋体" w:cs="Times New Roman"/>
          <w:color w:val="auto"/>
          <w:sz w:val="24"/>
        </w:rPr>
        <w:t>t/a</w:t>
      </w:r>
    </w:p>
    <w:p>
      <w:pPr>
        <w:bidi w:val="0"/>
        <w:spacing w:beforeAutospacing="0" w:afterAutospacing="0"/>
        <w:ind w:left="0" w:leftChars="0" w:right="0" w:rightChars="0"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sz w:val="24"/>
        </w:rPr>
        <w:t>本项目总量控制指标如下：</w:t>
      </w:r>
    </w:p>
    <w:tbl>
      <w:tblPr>
        <w:tblStyle w:val="18"/>
        <w:tblW w:w="40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93"/>
        <w:gridCol w:w="42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149"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污染物类型</w:t>
            </w:r>
          </w:p>
        </w:tc>
        <w:tc>
          <w:tcPr>
            <w:tcW w:w="2850"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核定排放量（t/a）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149"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颗粒物</w:t>
            </w:r>
          </w:p>
        </w:tc>
        <w:tc>
          <w:tcPr>
            <w:tcW w:w="2850"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0.</w:t>
            </w:r>
            <w:r>
              <w:rPr>
                <w:rFonts w:hint="eastAsia" w:cs="Times New Roman"/>
                <w:color w:val="auto"/>
                <w:szCs w:val="21"/>
                <w:lang w:val="en-US" w:eastAsia="zh-CN"/>
              </w:rPr>
              <w:t>693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149"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SO</w:t>
            </w:r>
            <w:r>
              <w:rPr>
                <w:rFonts w:hint="default" w:ascii="Times New Roman" w:hAnsi="Times New Roman" w:eastAsia="宋体" w:cs="Times New Roman"/>
                <w:color w:val="auto"/>
                <w:szCs w:val="21"/>
                <w:vertAlign w:val="subscript"/>
              </w:rPr>
              <w:t>2</w:t>
            </w:r>
          </w:p>
        </w:tc>
        <w:tc>
          <w:tcPr>
            <w:tcW w:w="2850"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149"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NO</w:t>
            </w:r>
            <w:r>
              <w:rPr>
                <w:rFonts w:hint="default" w:ascii="Times New Roman" w:hAnsi="Times New Roman" w:eastAsia="宋体" w:cs="Times New Roman"/>
                <w:color w:val="auto"/>
                <w:szCs w:val="21"/>
                <w:vertAlign w:val="subscript"/>
              </w:rPr>
              <w:t>X</w:t>
            </w:r>
          </w:p>
        </w:tc>
        <w:tc>
          <w:tcPr>
            <w:tcW w:w="2850"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2149"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COD</w:t>
            </w:r>
          </w:p>
        </w:tc>
        <w:tc>
          <w:tcPr>
            <w:tcW w:w="2850"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0.504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149"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氨氮</w:t>
            </w:r>
          </w:p>
        </w:tc>
        <w:tc>
          <w:tcPr>
            <w:tcW w:w="2850" w:type="pct"/>
            <w:noWrap w:val="0"/>
            <w:vAlign w:val="center"/>
          </w:tcPr>
          <w:p>
            <w:pPr>
              <w:widowControl/>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0.011</w:t>
            </w:r>
          </w:p>
        </w:tc>
      </w:tr>
    </w:tbl>
    <w:p>
      <w:pPr>
        <w:bidi w:val="0"/>
        <w:spacing w:beforeAutospacing="0" w:afterAutospacing="0"/>
        <w:ind w:left="0" w:leftChars="0" w:right="0" w:rightChars="0"/>
        <w:rPr>
          <w:rFonts w:hint="default" w:ascii="Times New Roman" w:hAnsi="Times New Roman" w:eastAsia="宋体" w:cs="Times New Roman"/>
          <w:color w:val="auto"/>
        </w:rPr>
      </w:pPr>
    </w:p>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56D9D0ED-F921-40F6-AED5-CED3482FADDE}"/>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09234A7C-21F4-44A7-B82A-A9B0367986B0}"/>
  </w:font>
  <w:font w:name="仿宋_GB2312">
    <w:altName w:val="仿宋"/>
    <w:panose1 w:val="02010609030101010101"/>
    <w:charset w:val="86"/>
    <w:family w:val="modern"/>
    <w:pitch w:val="default"/>
    <w:sig w:usb0="00000000" w:usb1="00000000" w:usb2="00000000" w:usb3="00000000" w:csb0="00040000" w:csb1="00000000"/>
    <w:embedRegular r:id="rId3" w:fontKey="{157CC664-D844-4B55-A293-37772CF3F710}"/>
  </w:font>
  <w:font w:name="华文行楷">
    <w:panose1 w:val="02010800040101010101"/>
    <w:charset w:val="86"/>
    <w:family w:val="auto"/>
    <w:pitch w:val="default"/>
    <w:sig w:usb0="00000001" w:usb1="080F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embedRegular r:id="rId4" w:fontKey="{241AFC03-508D-4AE3-AB7B-1541BF2E85D2}"/>
  </w:font>
  <w:font w:name="Arial Black">
    <w:panose1 w:val="020B0A04020102020204"/>
    <w:charset w:val="00"/>
    <w:family w:val="swiss"/>
    <w:pitch w:val="default"/>
    <w:sig w:usb0="A00002AF" w:usb1="400078FB" w:usb2="00000000" w:usb3="00000000" w:csb0="6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margin" w:xAlign="center" w:y="1"/>
      <w:rPr>
        <w:rStyle w:val="21"/>
      </w:rPr>
    </w:pPr>
    <w:r>
      <w:fldChar w:fldCharType="begin"/>
    </w:r>
    <w:r>
      <w:rPr>
        <w:rStyle w:val="21"/>
      </w:rPr>
      <w:instrText xml:space="preserve">PAGE  </w:instrText>
    </w:r>
    <w:r>
      <w:fldChar w:fldCharType="end"/>
    </w:r>
  </w:p>
  <w:p>
    <w:pPr>
      <w:pStyle w:val="1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26" name="文本框 5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BrLNQ0AgAAZQ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ppRoplDyy4/v&#10;l5+/L7++kXgIiWrr54jcWcSG5p1p0DjDucdhZN4UTsUvOBH4IfD5KrBoAuHx0mwym6VwcfiGDfCT&#10;p+vW+fBeGEWikVGHCrbCstPWhy50CInZtNlUUrZVlJrUGZ2+vUn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QayzUNAIAAGUEAAAOAAAAAAAAAAEAIAAAAB8BAABkcnMvZTJvRG9jLnhtbFBL&#10;BQYAAAAABgAGAFkBAADFBQ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27" name="文本框 5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56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vXskg1AgAAZQQAAA4AAABkcnMvZTJvRG9jLnhtbK1UzY7TMBC+I/EO&#10;lu80adEu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yhhLDNEp++v7t&#10;9OPX6edXkg4hUePCDJEPDrGxfWtbNM5wHnCYmLeV1+kLTgR+CHy8CCzaSHi6NJ1MpzlcHL5hA/zs&#10;8brzIb4TVpNkFNSjgp2w7LAJsQ8dQlI2Y9dSqa6KypCmoNevr/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O9eySDUCAABlBAAADgAAAAAAAAABACAAAAAfAQAAZHJzL2Uyb0RvYy54bWxQ&#10;SwUGAAAAAAYABgBZAQAAxg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56</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3EB0DC"/>
    <w:multiLevelType w:val="singleLevel"/>
    <w:tmpl w:val="8B3EB0DC"/>
    <w:lvl w:ilvl="0" w:tentative="0">
      <w:start w:val="1"/>
      <w:numFmt w:val="decimal"/>
      <w:lvlText w:val="%1)"/>
      <w:lvlJc w:val="left"/>
      <w:pPr>
        <w:tabs>
          <w:tab w:val="left" w:pos="312"/>
        </w:tabs>
      </w:pPr>
    </w:lvl>
  </w:abstractNum>
  <w:abstractNum w:abstractNumId="1">
    <w:nsid w:val="AE6C6015"/>
    <w:multiLevelType w:val="singleLevel"/>
    <w:tmpl w:val="AE6C6015"/>
    <w:lvl w:ilvl="0" w:tentative="0">
      <w:start w:val="1"/>
      <w:numFmt w:val="decimal"/>
      <w:suff w:val="nothing"/>
      <w:lvlText w:val="%1、"/>
      <w:lvlJc w:val="left"/>
    </w:lvl>
  </w:abstractNum>
  <w:abstractNum w:abstractNumId="2">
    <w:nsid w:val="B7319BD6"/>
    <w:multiLevelType w:val="singleLevel"/>
    <w:tmpl w:val="B7319BD6"/>
    <w:lvl w:ilvl="0" w:tentative="0">
      <w:start w:val="1"/>
      <w:numFmt w:val="decimal"/>
      <w:suff w:val="nothing"/>
      <w:lvlText w:val="（%1）"/>
      <w:lvlJc w:val="left"/>
      <w:pPr>
        <w:ind w:left="-60"/>
      </w:pPr>
    </w:lvl>
  </w:abstractNum>
  <w:abstractNum w:abstractNumId="3">
    <w:nsid w:val="D0ED3AF9"/>
    <w:multiLevelType w:val="singleLevel"/>
    <w:tmpl w:val="D0ED3AF9"/>
    <w:lvl w:ilvl="0" w:tentative="0">
      <w:start w:val="1"/>
      <w:numFmt w:val="decimal"/>
      <w:suff w:val="nothing"/>
      <w:lvlText w:val="%1、"/>
      <w:lvlJc w:val="left"/>
      <w:pPr>
        <w:ind w:left="-480"/>
      </w:pPr>
    </w:lvl>
  </w:abstractNum>
  <w:abstractNum w:abstractNumId="4">
    <w:nsid w:val="E631BF9F"/>
    <w:multiLevelType w:val="singleLevel"/>
    <w:tmpl w:val="E631BF9F"/>
    <w:lvl w:ilvl="0" w:tentative="0">
      <w:start w:val="1"/>
      <w:numFmt w:val="decimal"/>
      <w:suff w:val="nothing"/>
      <w:lvlText w:val="%1、"/>
      <w:lvlJc w:val="left"/>
    </w:lvl>
  </w:abstractNum>
  <w:abstractNum w:abstractNumId="5">
    <w:nsid w:val="F3FFEB2A"/>
    <w:multiLevelType w:val="singleLevel"/>
    <w:tmpl w:val="F3FFEB2A"/>
    <w:lvl w:ilvl="0" w:tentative="0">
      <w:start w:val="1"/>
      <w:numFmt w:val="decimal"/>
      <w:suff w:val="nothing"/>
      <w:lvlText w:val="%1、"/>
      <w:lvlJc w:val="left"/>
    </w:lvl>
  </w:abstractNum>
  <w:abstractNum w:abstractNumId="6">
    <w:nsid w:val="FEB03A95"/>
    <w:multiLevelType w:val="singleLevel"/>
    <w:tmpl w:val="FEB03A95"/>
    <w:lvl w:ilvl="0" w:tentative="0">
      <w:start w:val="1"/>
      <w:numFmt w:val="decimal"/>
      <w:lvlText w:val="%1"/>
      <w:lvlJc w:val="left"/>
      <w:pPr>
        <w:tabs>
          <w:tab w:val="left" w:pos="481"/>
        </w:tabs>
        <w:ind w:left="425" w:leftChars="0" w:hanging="425" w:firstLineChars="0"/>
      </w:pPr>
      <w:rPr>
        <w:rFonts w:hint="default"/>
      </w:rPr>
    </w:lvl>
  </w:abstractNum>
  <w:abstractNum w:abstractNumId="7">
    <w:nsid w:val="016A3D54"/>
    <w:multiLevelType w:val="singleLevel"/>
    <w:tmpl w:val="016A3D54"/>
    <w:lvl w:ilvl="0" w:tentative="0">
      <w:start w:val="1"/>
      <w:numFmt w:val="decimal"/>
      <w:suff w:val="nothing"/>
      <w:lvlText w:val="%1"/>
      <w:lvlJc w:val="left"/>
      <w:pPr>
        <w:tabs>
          <w:tab w:val="left" w:pos="0"/>
        </w:tabs>
        <w:ind w:left="0" w:firstLine="403"/>
      </w:pPr>
      <w:rPr>
        <w:rFonts w:hint="default"/>
      </w:rPr>
    </w:lvl>
  </w:abstractNum>
  <w:abstractNum w:abstractNumId="8">
    <w:nsid w:val="1EC58AD2"/>
    <w:multiLevelType w:val="singleLevel"/>
    <w:tmpl w:val="1EC58AD2"/>
    <w:lvl w:ilvl="0" w:tentative="0">
      <w:start w:val="1"/>
      <w:numFmt w:val="decimal"/>
      <w:suff w:val="nothing"/>
      <w:lvlText w:val="%1"/>
      <w:lvlJc w:val="left"/>
      <w:pPr>
        <w:ind w:left="0" w:firstLine="403"/>
      </w:pPr>
      <w:rPr>
        <w:rFonts w:hint="default"/>
      </w:rPr>
    </w:lvl>
  </w:abstractNum>
  <w:abstractNum w:abstractNumId="9">
    <w:nsid w:val="2520987B"/>
    <w:multiLevelType w:val="singleLevel"/>
    <w:tmpl w:val="2520987B"/>
    <w:lvl w:ilvl="0" w:tentative="0">
      <w:start w:val="3"/>
      <w:numFmt w:val="decimal"/>
      <w:suff w:val="nothing"/>
      <w:lvlText w:val="%1）"/>
      <w:lvlJc w:val="left"/>
    </w:lvl>
  </w:abstractNum>
  <w:num w:numId="1">
    <w:abstractNumId w:val="3"/>
  </w:num>
  <w:num w:numId="2">
    <w:abstractNumId w:val="4"/>
  </w:num>
  <w:num w:numId="3">
    <w:abstractNumId w:val="0"/>
  </w:num>
  <w:num w:numId="4">
    <w:abstractNumId w:val="8"/>
  </w:num>
  <w:num w:numId="5">
    <w:abstractNumId w:val="7"/>
  </w:num>
  <w:num w:numId="6">
    <w:abstractNumId w:val="5"/>
  </w:num>
  <w:num w:numId="7">
    <w:abstractNumId w:val="1"/>
  </w:num>
  <w:num w:numId="8">
    <w:abstractNumId w:val="2"/>
  </w:num>
  <w:num w:numId="9">
    <w:abstractNumId w:val="9"/>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EyNjUzYjIzNjc3MGM0NWE3YzJkZTdlN2U3NGViOGEifQ=="/>
  </w:docVars>
  <w:rsids>
    <w:rsidRoot w:val="00000000"/>
    <w:rsid w:val="0236680A"/>
    <w:rsid w:val="06D47A1D"/>
    <w:rsid w:val="07834179"/>
    <w:rsid w:val="0A4D2484"/>
    <w:rsid w:val="0C2D5EAB"/>
    <w:rsid w:val="0C7F6895"/>
    <w:rsid w:val="0C9939F3"/>
    <w:rsid w:val="0DC469C1"/>
    <w:rsid w:val="0EE20255"/>
    <w:rsid w:val="0F3D5D71"/>
    <w:rsid w:val="10E67B2F"/>
    <w:rsid w:val="115E3963"/>
    <w:rsid w:val="119B1466"/>
    <w:rsid w:val="1213110C"/>
    <w:rsid w:val="1335648B"/>
    <w:rsid w:val="135812C2"/>
    <w:rsid w:val="13AE32CE"/>
    <w:rsid w:val="144C52D9"/>
    <w:rsid w:val="14C52A4A"/>
    <w:rsid w:val="1601335C"/>
    <w:rsid w:val="16E15960"/>
    <w:rsid w:val="172764C6"/>
    <w:rsid w:val="17823637"/>
    <w:rsid w:val="178E6686"/>
    <w:rsid w:val="19C1359F"/>
    <w:rsid w:val="19FE6F4D"/>
    <w:rsid w:val="1C006261"/>
    <w:rsid w:val="1C9060D7"/>
    <w:rsid w:val="1CF85987"/>
    <w:rsid w:val="1DFA235F"/>
    <w:rsid w:val="1ED32817"/>
    <w:rsid w:val="1EDE01BE"/>
    <w:rsid w:val="216D5D5B"/>
    <w:rsid w:val="217B0AED"/>
    <w:rsid w:val="22DE5BFB"/>
    <w:rsid w:val="23670458"/>
    <w:rsid w:val="246E2D17"/>
    <w:rsid w:val="25494DE4"/>
    <w:rsid w:val="26352DA3"/>
    <w:rsid w:val="26BF440D"/>
    <w:rsid w:val="27160DBC"/>
    <w:rsid w:val="28662E3D"/>
    <w:rsid w:val="28684DE8"/>
    <w:rsid w:val="28C404B1"/>
    <w:rsid w:val="28C54A49"/>
    <w:rsid w:val="29841D8F"/>
    <w:rsid w:val="2AEF4FE6"/>
    <w:rsid w:val="2DDE3707"/>
    <w:rsid w:val="2E96388B"/>
    <w:rsid w:val="2F437EA6"/>
    <w:rsid w:val="2F6902AE"/>
    <w:rsid w:val="2F84677E"/>
    <w:rsid w:val="31986401"/>
    <w:rsid w:val="32D85BE7"/>
    <w:rsid w:val="34D96141"/>
    <w:rsid w:val="352440E0"/>
    <w:rsid w:val="36734111"/>
    <w:rsid w:val="36736252"/>
    <w:rsid w:val="375A6CE7"/>
    <w:rsid w:val="37683729"/>
    <w:rsid w:val="37B150B4"/>
    <w:rsid w:val="39DD1909"/>
    <w:rsid w:val="3A9541E5"/>
    <w:rsid w:val="3AE27F30"/>
    <w:rsid w:val="3BA02775"/>
    <w:rsid w:val="3E12058F"/>
    <w:rsid w:val="3E3B22D3"/>
    <w:rsid w:val="3E50276B"/>
    <w:rsid w:val="3E6B212D"/>
    <w:rsid w:val="3F2B65C2"/>
    <w:rsid w:val="3FB83540"/>
    <w:rsid w:val="4130728D"/>
    <w:rsid w:val="48C302D2"/>
    <w:rsid w:val="48D77BC1"/>
    <w:rsid w:val="4B9C1A50"/>
    <w:rsid w:val="4D301B4F"/>
    <w:rsid w:val="4DAA3308"/>
    <w:rsid w:val="50E6185A"/>
    <w:rsid w:val="5181339F"/>
    <w:rsid w:val="52440139"/>
    <w:rsid w:val="55B07AFB"/>
    <w:rsid w:val="592D1F39"/>
    <w:rsid w:val="59AD123E"/>
    <w:rsid w:val="5B664C9C"/>
    <w:rsid w:val="5D1C5A4F"/>
    <w:rsid w:val="5DEF4B6E"/>
    <w:rsid w:val="5E08087F"/>
    <w:rsid w:val="5E1367B2"/>
    <w:rsid w:val="5F2A3DB6"/>
    <w:rsid w:val="602F19C6"/>
    <w:rsid w:val="60F9034D"/>
    <w:rsid w:val="61682942"/>
    <w:rsid w:val="62686BDD"/>
    <w:rsid w:val="63452198"/>
    <w:rsid w:val="6374691F"/>
    <w:rsid w:val="64964415"/>
    <w:rsid w:val="64A86640"/>
    <w:rsid w:val="653F1556"/>
    <w:rsid w:val="65C62AAE"/>
    <w:rsid w:val="68473DD7"/>
    <w:rsid w:val="6A2C3FA2"/>
    <w:rsid w:val="6AA14535"/>
    <w:rsid w:val="6B2E3AA0"/>
    <w:rsid w:val="6B4D098B"/>
    <w:rsid w:val="71544C3F"/>
    <w:rsid w:val="71A24FDE"/>
    <w:rsid w:val="7388057A"/>
    <w:rsid w:val="77207F2C"/>
    <w:rsid w:val="780655B4"/>
    <w:rsid w:val="782347DB"/>
    <w:rsid w:val="78ED6E94"/>
    <w:rsid w:val="79B23438"/>
    <w:rsid w:val="7AC14B73"/>
    <w:rsid w:val="7C1B2B51"/>
    <w:rsid w:val="7C61674E"/>
    <w:rsid w:val="7DF856E6"/>
    <w:rsid w:val="7DFD1C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customStyle="1" w:styleId="2">
    <w:name w:val="正文格式"/>
    <w:basedOn w:val="1"/>
    <w:qFormat/>
    <w:uiPriority w:val="0"/>
    <w:pPr>
      <w:spacing w:line="360" w:lineRule="auto"/>
      <w:ind w:firstLine="482"/>
    </w:pPr>
    <w:rPr>
      <w:sz w:val="24"/>
      <w:szCs w:val="24"/>
    </w:rPr>
  </w:style>
  <w:style w:type="paragraph" w:styleId="4">
    <w:name w:val="annotation text"/>
    <w:basedOn w:val="1"/>
    <w:qFormat/>
    <w:uiPriority w:val="0"/>
    <w:pPr>
      <w:jc w:val="left"/>
    </w:pPr>
  </w:style>
  <w:style w:type="paragraph" w:styleId="5">
    <w:name w:val="Body Text"/>
    <w:basedOn w:val="1"/>
    <w:next w:val="1"/>
    <w:qFormat/>
    <w:uiPriority w:val="0"/>
    <w:pPr>
      <w:widowControl/>
      <w:snapToGrid w:val="0"/>
      <w:spacing w:before="60" w:after="160" w:line="259" w:lineRule="auto"/>
      <w:ind w:right="113"/>
    </w:pPr>
    <w:rPr>
      <w:kern w:val="0"/>
      <w:sz w:val="18"/>
      <w:szCs w:val="20"/>
    </w:rPr>
  </w:style>
  <w:style w:type="paragraph" w:styleId="6">
    <w:name w:val="Body Text Indent"/>
    <w:basedOn w:val="1"/>
    <w:next w:val="7"/>
    <w:qFormat/>
    <w:uiPriority w:val="0"/>
    <w:pPr>
      <w:spacing w:after="120"/>
      <w:ind w:left="420" w:leftChars="200"/>
    </w:pPr>
    <w:rPr>
      <w:kern w:val="0"/>
      <w:sz w:val="24"/>
      <w:szCs w:val="20"/>
    </w:rPr>
  </w:style>
  <w:style w:type="paragraph" w:styleId="7">
    <w:name w:val="header"/>
    <w:basedOn w:val="1"/>
    <w:next w:val="8"/>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8">
    <w:name w:val="样式5"/>
    <w:basedOn w:val="1"/>
    <w:qFormat/>
    <w:uiPriority w:val="0"/>
    <w:pPr>
      <w:spacing w:line="380" w:lineRule="exact"/>
      <w:ind w:firstLine="566" w:firstLineChars="202"/>
    </w:pPr>
    <w:rPr>
      <w:rFonts w:eastAsia="华文行楷"/>
    </w:rPr>
  </w:style>
  <w:style w:type="paragraph" w:styleId="9">
    <w:name w:val="Plain Text"/>
    <w:basedOn w:val="1"/>
    <w:qFormat/>
    <w:uiPriority w:val="99"/>
    <w:pPr>
      <w:spacing w:line="480" w:lineRule="exact"/>
    </w:pPr>
    <w:rPr>
      <w:rFonts w:ascii="宋体" w:hAnsi="Courier New"/>
      <w:kern w:val="0"/>
      <w:sz w:val="28"/>
      <w:szCs w:val="21"/>
    </w:rPr>
  </w:style>
  <w:style w:type="paragraph" w:styleId="10">
    <w:name w:val="footer"/>
    <w:basedOn w:val="1"/>
    <w:next w:val="1"/>
    <w:qFormat/>
    <w:uiPriority w:val="99"/>
    <w:pPr>
      <w:tabs>
        <w:tab w:val="center" w:pos="4153"/>
        <w:tab w:val="right" w:pos="8306"/>
      </w:tabs>
      <w:snapToGrid w:val="0"/>
      <w:jc w:val="left"/>
    </w:pPr>
    <w:rPr>
      <w:kern w:val="0"/>
      <w:sz w:val="18"/>
      <w:szCs w:val="20"/>
    </w:rPr>
  </w:style>
  <w:style w:type="paragraph" w:styleId="11">
    <w:name w:val="toc 1"/>
    <w:basedOn w:val="1"/>
    <w:next w:val="1"/>
    <w:qFormat/>
    <w:uiPriority w:val="39"/>
    <w:pPr>
      <w:tabs>
        <w:tab w:val="right" w:leader="dot" w:pos="8834"/>
      </w:tabs>
      <w:spacing w:line="360" w:lineRule="auto"/>
      <w:jc w:val="center"/>
    </w:pPr>
  </w:style>
  <w:style w:type="paragraph" w:styleId="12">
    <w:name w:val="List"/>
    <w:next w:val="5"/>
    <w:qFormat/>
    <w:uiPriority w:val="0"/>
    <w:pPr>
      <w:spacing w:line="300" w:lineRule="exact"/>
      <w:jc w:val="both"/>
      <w:outlineLvl w:val="4"/>
    </w:pPr>
    <w:rPr>
      <w:rFonts w:ascii="Times New Roman" w:hAnsi="Times New Roman" w:eastAsia="仿宋_GB2312" w:cs="Times New Roman"/>
      <w:bCs/>
      <w:color w:val="000000"/>
      <w:sz w:val="21"/>
      <w:lang w:val="en-US" w:eastAsia="zh-CN" w:bidi="ar-SA"/>
    </w:rPr>
  </w:style>
  <w:style w:type="paragraph" w:styleId="13">
    <w:name w:val="toc 2"/>
    <w:basedOn w:val="1"/>
    <w:next w:val="1"/>
    <w:qFormat/>
    <w:uiPriority w:val="0"/>
    <w:pPr>
      <w:ind w:left="420" w:leftChars="200"/>
    </w:pPr>
  </w:style>
  <w:style w:type="paragraph" w:styleId="14">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5">
    <w:name w:val="Title"/>
    <w:basedOn w:val="1"/>
    <w:next w:val="1"/>
    <w:qFormat/>
    <w:uiPriority w:val="0"/>
    <w:pPr>
      <w:pageBreakBefore/>
      <w:outlineLvl w:val="0"/>
    </w:pPr>
    <w:rPr>
      <w:rFonts w:ascii="Cambria" w:hAnsi="Cambria"/>
      <w:b/>
      <w:bCs/>
      <w:sz w:val="32"/>
      <w:szCs w:val="32"/>
    </w:rPr>
  </w:style>
  <w:style w:type="paragraph" w:styleId="16">
    <w:name w:val="Body Text First Indent"/>
    <w:basedOn w:val="5"/>
    <w:next w:val="1"/>
    <w:qFormat/>
    <w:uiPriority w:val="0"/>
    <w:pPr>
      <w:spacing w:after="120"/>
      <w:ind w:firstLine="747" w:firstLineChars="100"/>
    </w:pPr>
    <w:rPr>
      <w:spacing w:val="22"/>
      <w:kern w:val="0"/>
    </w:rPr>
  </w:style>
  <w:style w:type="paragraph" w:styleId="17">
    <w:name w:val="Body Text First Indent 2"/>
    <w:basedOn w:val="6"/>
    <w:next w:val="1"/>
    <w:qFormat/>
    <w:uiPriority w:val="0"/>
    <w:pPr>
      <w:tabs>
        <w:tab w:val="left" w:pos="420"/>
        <w:tab w:val="left" w:pos="870"/>
        <w:tab w:val="left" w:pos="3150"/>
      </w:tabs>
      <w:autoSpaceDE w:val="0"/>
      <w:autoSpaceDN w:val="0"/>
      <w:adjustRightInd w:val="0"/>
      <w:spacing w:before="60" w:beforeLines="25" w:line="336" w:lineRule="auto"/>
      <w:ind w:firstLine="527"/>
      <w:textAlignment w:val="baseline"/>
    </w:pPr>
    <w:rPr>
      <w:rFonts w:ascii="宋体"/>
      <w:sz w:val="24"/>
      <w:szCs w:val="28"/>
    </w:rPr>
  </w:style>
  <w:style w:type="table" w:styleId="19">
    <w:name w:val="Table Grid"/>
    <w:basedOn w:val="18"/>
    <w:qFormat/>
    <w:uiPriority w:val="0"/>
    <w:rPr>
      <w:rFonts w:ascii="Times New Roman" w:hAnsi="Times New Roman" w:eastAsia="宋体" w:cs="Times New Roman"/>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qFormat/>
    <w:uiPriority w:val="0"/>
  </w:style>
  <w:style w:type="character" w:styleId="22">
    <w:name w:val="Hyperlink"/>
    <w:basedOn w:val="20"/>
    <w:unhideWhenUsed/>
    <w:qFormat/>
    <w:uiPriority w:val="99"/>
    <w:rPr>
      <w:color w:val="0000FF"/>
      <w:u w:val="single"/>
    </w:rPr>
  </w:style>
  <w:style w:type="paragraph" w:customStyle="1" w:styleId="23">
    <w:name w:val="Default"/>
    <w:basedOn w:val="24"/>
    <w:next w:val="1"/>
    <w:qFormat/>
    <w:uiPriority w:val="0"/>
    <w:pPr>
      <w:widowControl w:val="0"/>
      <w:autoSpaceDE w:val="0"/>
      <w:autoSpaceDN w:val="0"/>
      <w:adjustRightInd w:val="0"/>
    </w:pPr>
    <w:rPr>
      <w:rFonts w:ascii="仿宋_GB2312" w:hAnsi="Calibri" w:eastAsia="仿宋_GB2312" w:cs="Times New Roman"/>
      <w:color w:val="000000"/>
      <w:sz w:val="24"/>
      <w:szCs w:val="24"/>
      <w:lang w:bidi="ar-SA"/>
    </w:rPr>
  </w:style>
  <w:style w:type="paragraph" w:customStyle="1" w:styleId="24">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25">
    <w:name w:val="Char Char Char Char1"/>
    <w:basedOn w:val="1"/>
    <w:qFormat/>
    <w:uiPriority w:val="0"/>
    <w:pPr>
      <w:tabs>
        <w:tab w:val="left" w:pos="1080"/>
      </w:tabs>
      <w:jc w:val="left"/>
    </w:pPr>
    <w:rPr>
      <w:szCs w:val="21"/>
    </w:rPr>
  </w:style>
  <w:style w:type="paragraph" w:customStyle="1" w:styleId="26">
    <w:name w:val="Normal (Web)1"/>
    <w:basedOn w:val="1"/>
    <w:next w:val="27"/>
    <w:qFormat/>
    <w:uiPriority w:val="0"/>
    <w:pPr>
      <w:widowControl/>
      <w:jc w:val="left"/>
    </w:pPr>
    <w:rPr>
      <w:rFonts w:ascii="宋体"/>
      <w:kern w:val="0"/>
      <w:sz w:val="24"/>
      <w:szCs w:val="21"/>
    </w:rPr>
  </w:style>
  <w:style w:type="paragraph" w:customStyle="1" w:styleId="27">
    <w:name w:val="Date1"/>
    <w:basedOn w:val="1"/>
    <w:next w:val="1"/>
    <w:qFormat/>
    <w:uiPriority w:val="0"/>
    <w:pPr>
      <w:ind w:left="2500" w:leftChars="2500"/>
    </w:pPr>
  </w:style>
  <w:style w:type="paragraph" w:customStyle="1" w:styleId="28">
    <w:name w:val="Table Paragraph"/>
    <w:basedOn w:val="1"/>
    <w:qFormat/>
    <w:uiPriority w:val="0"/>
    <w:pPr>
      <w:autoSpaceDE w:val="0"/>
      <w:autoSpaceDN w:val="0"/>
      <w:jc w:val="center"/>
    </w:pPr>
    <w:rPr>
      <w:rFonts w:hint="eastAsia" w:ascii="仿宋" w:hAnsi="仿宋" w:eastAsia="仿宋"/>
      <w:kern w:val="0"/>
      <w:sz w:val="22"/>
      <w:szCs w:val="22"/>
    </w:rPr>
  </w:style>
  <w:style w:type="paragraph" w:customStyle="1" w:styleId="29">
    <w:name w:val="表中文字（工大）"/>
    <w:basedOn w:val="1"/>
    <w:qFormat/>
    <w:uiPriority w:val="0"/>
    <w:pPr>
      <w:spacing w:line="440" w:lineRule="exact"/>
      <w:jc w:val="center"/>
    </w:pPr>
    <w:rPr>
      <w:sz w:val="21"/>
      <w:szCs w:val="20"/>
    </w:rPr>
  </w:style>
  <w:style w:type="paragraph" w:customStyle="1" w:styleId="30">
    <w:name w:val="表头"/>
    <w:basedOn w:val="15"/>
    <w:next w:val="12"/>
    <w:qFormat/>
    <w:uiPriority w:val="0"/>
    <w:rPr>
      <w:rFonts w:eastAsia="黑体"/>
      <w:kern w:val="0"/>
      <w:sz w:val="20"/>
      <w:szCs w:val="20"/>
    </w:rPr>
  </w:style>
  <w:style w:type="paragraph" w:customStyle="1" w:styleId="31">
    <w:name w:val="内容"/>
    <w:basedOn w:val="1"/>
    <w:qFormat/>
    <w:uiPriority w:val="0"/>
    <w:pPr>
      <w:spacing w:beforeLines="50" w:afterLines="50"/>
      <w:ind w:firstLine="200" w:firstLineChars="200"/>
    </w:pPr>
    <w:rPr>
      <w:color w:val="000000"/>
      <w:sz w:val="24"/>
    </w:rPr>
  </w:style>
  <w:style w:type="paragraph" w:customStyle="1" w:styleId="32">
    <w:name w:val="Char Char Char Char Char Char Char"/>
    <w:basedOn w:val="1"/>
    <w:qFormat/>
    <w:uiPriority w:val="0"/>
    <w:pPr>
      <w:spacing w:line="360" w:lineRule="auto"/>
      <w:ind w:firstLine="200" w:firstLineChars="200"/>
    </w:pPr>
    <w:rPr>
      <w:rFonts w:ascii="宋体" w:hAnsi="宋体" w:cs="宋体"/>
      <w:sz w:val="24"/>
    </w:rPr>
  </w:style>
  <w:style w:type="paragraph" w:customStyle="1" w:styleId="33">
    <w:name w:val="【表头】"/>
    <w:basedOn w:val="1"/>
    <w:qFormat/>
    <w:uiPriority w:val="0"/>
    <w:pPr>
      <w:spacing w:line="240" w:lineRule="auto"/>
      <w:jc w:val="center"/>
    </w:pPr>
    <w:rPr>
      <w:rFonts w:eastAsia="黑体"/>
      <w:kern w:val="0"/>
      <w:szCs w:val="20"/>
    </w:rPr>
  </w:style>
  <w:style w:type="paragraph" w:customStyle="1" w:styleId="34">
    <w:name w:val="列出段落1"/>
    <w:basedOn w:val="1"/>
    <w:qFormat/>
    <w:uiPriority w:val="0"/>
    <w:pPr>
      <w:spacing w:line="240" w:lineRule="auto"/>
      <w:ind w:firstLine="200" w:firstLineChars="200"/>
    </w:pPr>
    <w:rPr>
      <w:rFonts w:ascii="Calibri" w:hAnsi="Calibri" w:cs="Calibri"/>
      <w:sz w:val="21"/>
      <w:szCs w:val="21"/>
    </w:rPr>
  </w:style>
  <w:style w:type="paragraph" w:customStyle="1" w:styleId="35">
    <w:name w:val="Char Char Char Char"/>
    <w:basedOn w:val="1"/>
    <w:qFormat/>
    <w:uiPriority w:val="0"/>
  </w:style>
  <w:style w:type="paragraph" w:customStyle="1" w:styleId="36">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37">
    <w:name w:val="xl27"/>
    <w:basedOn w:val="1"/>
    <w:qFormat/>
    <w:uiPriority w:val="0"/>
    <w:pPr>
      <w:widowControl/>
      <w:pBdr>
        <w:bottom w:val="single" w:color="auto" w:sz="12" w:space="0"/>
      </w:pBdr>
      <w:spacing w:before="100" w:after="100" w:line="240" w:lineRule="auto"/>
      <w:jc w:val="center"/>
    </w:pPr>
    <w:rPr>
      <w:rFonts w:ascii="宋体" w:hAnsi="宋体"/>
      <w:kern w:val="0"/>
      <w:sz w:val="21"/>
      <w:szCs w:val="20"/>
    </w:rPr>
  </w:style>
  <w:style w:type="paragraph" w:customStyle="1" w:styleId="38">
    <w:name w:val="p0"/>
    <w:basedOn w:val="1"/>
    <w:qFormat/>
    <w:uiPriority w:val="0"/>
    <w:pPr>
      <w:widowControl/>
    </w:pPr>
    <w:rPr>
      <w:kern w:val="0"/>
      <w:sz w:val="20"/>
      <w:szCs w:val="21"/>
    </w:rPr>
  </w:style>
  <w:style w:type="paragraph" w:customStyle="1" w:styleId="39">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40">
    <w:name w:val="盂县"/>
    <w:basedOn w:val="1"/>
    <w:qFormat/>
    <w:uiPriority w:val="0"/>
    <w:pPr>
      <w:adjustRightInd w:val="0"/>
      <w:snapToGrid w:val="0"/>
      <w:spacing w:line="312" w:lineRule="auto"/>
      <w:ind w:firstLine="560" w:firstLineChars="200"/>
    </w:pPr>
    <w:rPr>
      <w:sz w:val="28"/>
    </w:rPr>
  </w:style>
  <w:style w:type="paragraph" w:customStyle="1" w:styleId="41">
    <w:name w:val="表格题目"/>
    <w:basedOn w:val="1"/>
    <w:qFormat/>
    <w:uiPriority w:val="0"/>
    <w:pPr>
      <w:spacing w:line="240" w:lineRule="atLeast"/>
      <w:jc w:val="center"/>
    </w:pPr>
    <w:rPr>
      <w:rFonts w:ascii="黑体" w:hAnsi="宋体" w:eastAsia="黑体"/>
      <w:sz w:val="24"/>
    </w:rPr>
  </w:style>
  <w:style w:type="paragraph" w:customStyle="1" w:styleId="42">
    <w:name w:val="样式 标题 1 + 首行缩进:  2 字符"/>
    <w:basedOn w:val="3"/>
    <w:qFormat/>
    <w:uiPriority w:val="0"/>
    <w:pPr>
      <w:keepNext w:val="0"/>
      <w:adjustRightInd/>
      <w:snapToGrid/>
      <w:spacing w:line="500" w:lineRule="exact"/>
      <w:ind w:firstLine="200" w:firstLineChars="200"/>
      <w:jc w:val="center"/>
    </w:pPr>
    <w:rPr>
      <w:rFonts w:ascii="宋体" w:eastAsia="宋体" w:cs="宋体"/>
      <w:color w:val="000000"/>
      <w:sz w:val="30"/>
      <w:szCs w:val="20"/>
    </w:rPr>
  </w:style>
  <w:style w:type="paragraph" w:customStyle="1" w:styleId="43">
    <w:name w:val="表中文字"/>
    <w:basedOn w:val="1"/>
    <w:qFormat/>
    <w:uiPriority w:val="0"/>
    <w:pPr>
      <w:widowControl w:val="0"/>
      <w:spacing w:line="240" w:lineRule="auto"/>
      <w:ind w:firstLine="0" w:firstLineChars="0"/>
      <w:jc w:val="center"/>
    </w:pPr>
    <w:rPr>
      <w:rFonts w:ascii="Times New Roman" w:hAnsi="Times New Roman" w:cs="Times New Roman"/>
      <w:kern w:val="2"/>
      <w:sz w:val="21"/>
    </w:rPr>
  </w:style>
  <w:style w:type="paragraph" w:customStyle="1" w:styleId="44">
    <w:name w:val="表格正文"/>
    <w:basedOn w:val="1"/>
    <w:qFormat/>
    <w:uiPriority w:val="0"/>
    <w:pPr>
      <w:spacing w:line="320" w:lineRule="exact"/>
      <w:jc w:val="center"/>
    </w:pPr>
    <w:rPr>
      <w:rFonts w:cs="宋体"/>
      <w:szCs w:val="24"/>
    </w:rPr>
  </w:style>
  <w:style w:type="paragraph" w:customStyle="1" w:styleId="45">
    <w:name w:val="【正文】"/>
    <w:basedOn w:val="1"/>
    <w:qFormat/>
    <w:uiPriority w:val="0"/>
    <w:pPr>
      <w:spacing w:line="360" w:lineRule="auto"/>
      <w:ind w:firstLine="480" w:firstLineChars="200"/>
    </w:pPr>
    <w:rPr>
      <w:sz w:val="24"/>
    </w:rPr>
  </w:style>
  <w:style w:type="paragraph" w:customStyle="1" w:styleId="46">
    <w:name w:val="表头和图片"/>
    <w:basedOn w:val="9"/>
    <w:next w:val="1"/>
    <w:qFormat/>
    <w:uiPriority w:val="0"/>
    <w:pPr>
      <w:widowControl/>
      <w:jc w:val="center"/>
    </w:pPr>
    <w:rPr>
      <w:rFonts w:ascii="Times New Roman" w:hAnsi="宋体"/>
      <w:b/>
      <w:kern w:val="0"/>
      <w:sz w:val="20"/>
      <w:szCs w:val="20"/>
    </w:rPr>
  </w:style>
  <w:style w:type="paragraph" w:customStyle="1" w:styleId="47">
    <w:name w:val="环评表中文字"/>
    <w:basedOn w:val="1"/>
    <w:qFormat/>
    <w:uiPriority w:val="0"/>
    <w:pPr>
      <w:spacing w:line="360" w:lineRule="auto"/>
      <w:jc w:val="center"/>
    </w:pPr>
    <w:rPr>
      <w:sz w:val="24"/>
      <w:szCs w:val="22"/>
    </w:rPr>
  </w:style>
  <w:style w:type="paragraph" w:styleId="48">
    <w:name w:val="List Paragraph"/>
    <w:basedOn w:val="1"/>
    <w:qFormat/>
    <w:uiPriority w:val="99"/>
    <w:pPr>
      <w:ind w:firstLine="420" w:firstLineChars="200"/>
    </w:pPr>
  </w:style>
  <w:style w:type="paragraph" w:customStyle="1" w:styleId="49">
    <w:name w:val="【表中文字】"/>
    <w:basedOn w:val="1"/>
    <w:qFormat/>
    <w:uiPriority w:val="0"/>
    <w:pPr>
      <w:jc w:val="center"/>
    </w:pPr>
    <w:rPr>
      <w:szCs w:val="20"/>
    </w:rPr>
  </w:style>
  <w:style w:type="paragraph" w:customStyle="1" w:styleId="50">
    <w:name w:val="11111"/>
    <w:basedOn w:val="1"/>
    <w:next w:val="1"/>
    <w:qFormat/>
    <w:uiPriority w:val="0"/>
    <w:pPr>
      <w:spacing w:line="360" w:lineRule="auto"/>
      <w:ind w:firstLine="200" w:firstLineChars="200"/>
    </w:pPr>
    <w:rPr>
      <w:rFonts w:ascii="宋体" w:hAnsi="宋体" w:cs="宋体"/>
      <w:sz w:val="24"/>
    </w:rPr>
  </w:style>
  <w:style w:type="table" w:customStyle="1" w:styleId="51">
    <w:name w:val="Table Normal"/>
    <w:semiHidden/>
    <w:unhideWhenUsed/>
    <w:qFormat/>
    <w:uiPriority w:val="0"/>
    <w:tblPr>
      <w:tblCellMar>
        <w:top w:w="0" w:type="dxa"/>
        <w:left w:w="0" w:type="dxa"/>
        <w:bottom w:w="0" w:type="dxa"/>
        <w:right w:w="0" w:type="dxa"/>
      </w:tblCellMar>
    </w:tblPr>
  </w:style>
  <w:style w:type="paragraph" w:customStyle="1" w:styleId="52">
    <w:name w:val="段"/>
    <w:basedOn w:val="1"/>
    <w:qFormat/>
    <w:uiPriority w:val="0"/>
    <w:pPr>
      <w:widowControl/>
      <w:autoSpaceDE w:val="0"/>
      <w:autoSpaceDN w:val="0"/>
      <w:ind w:firstLine="200" w:firstLineChars="200"/>
    </w:pPr>
    <w:rPr>
      <w:rFonts w:ascii="宋体"/>
      <w:kern w:val="0"/>
      <w:szCs w:val="21"/>
    </w:rPr>
  </w:style>
  <w:style w:type="paragraph" w:customStyle="1" w:styleId="53">
    <w:name w:val="通用正文"/>
    <w:basedOn w:val="1"/>
    <w:qFormat/>
    <w:uiPriority w:val="0"/>
    <w:pPr>
      <w:widowControl w:val="0"/>
      <w:wordWrap w:val="0"/>
      <w:spacing w:after="0" w:line="360" w:lineRule="auto"/>
      <w:ind w:firstLine="420" w:firstLineChars="200"/>
    </w:pPr>
    <w:rPr>
      <w:rFonts w:ascii="Times New Roman" w:hAnsi="Times New Roman" w:eastAsia="宋体"/>
      <w:color w:val="00000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image" Target="media/image1.jpeg"/><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theme" Target="theme/theme1.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footer" Target="footer2.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jpeg"/><Relationship Id="rId27" Type="http://schemas.openxmlformats.org/officeDocument/2006/relationships/oleObject" Target="embeddings/oleObject7.bin"/><Relationship Id="rId26" Type="http://schemas.openxmlformats.org/officeDocument/2006/relationships/image" Target="media/image13.wmf"/><Relationship Id="rId25" Type="http://schemas.openxmlformats.org/officeDocument/2006/relationships/oleObject" Target="embeddings/oleObject6.bin"/><Relationship Id="rId24" Type="http://schemas.openxmlformats.org/officeDocument/2006/relationships/image" Target="media/image12.wmf"/><Relationship Id="rId23" Type="http://schemas.openxmlformats.org/officeDocument/2006/relationships/oleObject" Target="embeddings/oleObject5.bin"/><Relationship Id="rId22" Type="http://schemas.openxmlformats.org/officeDocument/2006/relationships/image" Target="media/image11.wmf"/><Relationship Id="rId21" Type="http://schemas.openxmlformats.org/officeDocument/2006/relationships/oleObject" Target="embeddings/oleObject4.bin"/><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9.wmf"/><Relationship Id="rId17" Type="http://schemas.openxmlformats.org/officeDocument/2006/relationships/oleObject" Target="embeddings/oleObject2.bin"/><Relationship Id="rId16" Type="http://schemas.openxmlformats.org/officeDocument/2006/relationships/image" Target="media/image8.wmf"/><Relationship Id="rId15" Type="http://schemas.openxmlformats.org/officeDocument/2006/relationships/oleObject" Target="embeddings/oleObject1.bin"/><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103</Pages>
  <Words>26100</Words>
  <Characters>32429</Characters>
  <Lines>0</Lines>
  <Paragraphs>0</Paragraphs>
  <TotalTime>2</TotalTime>
  <ScaleCrop>false</ScaleCrop>
  <LinksUpToDate>false</LinksUpToDate>
  <CharactersWithSpaces>32886</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2022-03-04T03:13:00Z</dcterms:created>
  <dc:creator>Administrator</dc:creator>
  <cp:lastModifiedBy>啤酒奶盖</cp:lastModifiedBy>
  <cp:lastPrinted>2022-03-24T02:39:00Z</cp:lastPrinted>
  <dcterms:modified xsi:type="dcterms:W3CDTF">2023-02-28T07:28:27Z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78E69007924749BF8F61663223F49716</vt:lpwstr>
  </property>
</Properties>
</file>