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cs="仿宋_GB2312"/>
          <w:sz w:val="36"/>
          <w:szCs w:val="36"/>
        </w:rPr>
      </w:pPr>
    </w:p>
    <w:p>
      <w:pPr>
        <w:rPr>
          <w:rFonts w:cs="仿宋_GB2312"/>
          <w:sz w:val="36"/>
          <w:szCs w:val="36"/>
        </w:rPr>
      </w:pPr>
    </w:p>
    <w:p>
      <w:pPr>
        <w:rPr>
          <w:rFonts w:cs="仿宋_GB2312"/>
          <w:sz w:val="36"/>
          <w:szCs w:val="36"/>
        </w:rPr>
      </w:pPr>
    </w:p>
    <w:p>
      <w:pPr>
        <w:rPr>
          <w:rFonts w:cs="仿宋_GB2312"/>
          <w:sz w:val="36"/>
          <w:szCs w:val="36"/>
        </w:rPr>
      </w:pPr>
    </w:p>
    <w:p>
      <w:pPr>
        <w:rPr>
          <w:rFonts w:cs="仿宋_GB2312"/>
          <w:sz w:val="36"/>
          <w:szCs w:val="36"/>
        </w:rPr>
      </w:pPr>
    </w:p>
    <w:p>
      <w:pPr>
        <w:pStyle w:val="35"/>
        <w:outlineLvl w:val="0"/>
      </w:pPr>
      <w:r>
        <w:rPr>
          <w:rFonts w:hint="eastAsia"/>
        </w:rPr>
        <w:t>建设项目环境影响报告表</w:t>
      </w:r>
    </w:p>
    <w:p>
      <w:pPr>
        <w:pStyle w:val="37"/>
        <w:spacing w:before="192"/>
      </w:pPr>
      <w:r>
        <w:rPr>
          <w:rFonts w:hint="eastAsia"/>
        </w:rPr>
        <w:t>（污染影响类）</w:t>
      </w:r>
    </w:p>
    <w:p>
      <w:pPr>
        <w:adjustRightInd w:val="0"/>
        <w:snapToGrid w:val="0"/>
        <w:spacing w:line="288" w:lineRule="auto"/>
        <w:jc w:val="center"/>
        <w:rPr>
          <w:rFonts w:cs="华文仿宋"/>
          <w:kern w:val="44"/>
          <w:sz w:val="44"/>
          <w:szCs w:val="44"/>
        </w:rPr>
      </w:pPr>
    </w:p>
    <w:p>
      <w:pPr>
        <w:jc w:val="center"/>
        <w:rPr>
          <w:sz w:val="52"/>
          <w:szCs w:val="52"/>
        </w:rPr>
      </w:pPr>
    </w:p>
    <w:p>
      <w:pPr>
        <w:ind w:firstLine="1040"/>
        <w:rPr>
          <w:sz w:val="44"/>
          <w:szCs w:val="44"/>
        </w:rPr>
      </w:pPr>
    </w:p>
    <w:p>
      <w:pPr>
        <w:ind w:firstLine="1040"/>
        <w:rPr>
          <w:sz w:val="44"/>
          <w:szCs w:val="44"/>
        </w:rPr>
      </w:pPr>
    </w:p>
    <w:p>
      <w:pPr>
        <w:ind w:firstLine="1040"/>
        <w:rPr>
          <w:sz w:val="44"/>
          <w:szCs w:val="44"/>
        </w:rPr>
      </w:pPr>
    </w:p>
    <w:p>
      <w:pPr>
        <w:ind w:firstLine="1040"/>
        <w:rPr>
          <w:sz w:val="44"/>
          <w:szCs w:val="44"/>
        </w:rPr>
      </w:pPr>
    </w:p>
    <w:p>
      <w:pPr>
        <w:pStyle w:val="38"/>
        <w:ind w:left="1800" w:hanging="1800" w:hangingChars="500"/>
        <w:jc w:val="left"/>
        <w:rPr>
          <w:u w:val="single"/>
        </w:rPr>
      </w:pPr>
      <w:r>
        <w:rPr>
          <w:rFonts w:hint="eastAsia"/>
        </w:rPr>
        <w:t>项目名称：</w:t>
      </w:r>
      <w:r>
        <w:rPr>
          <w:rFonts w:hint="eastAsia"/>
          <w:u w:val="single"/>
        </w:rPr>
        <w:t>黑龙江诺明哲天医学检验实验室有限公司建设项目</w:t>
      </w:r>
    </w:p>
    <w:p>
      <w:pPr>
        <w:pStyle w:val="38"/>
        <w:ind w:left="3240" w:hanging="3240" w:hangingChars="900"/>
        <w:jc w:val="left"/>
      </w:pPr>
      <w:r>
        <w:rPr>
          <w:rFonts w:hint="eastAsia"/>
        </w:rPr>
        <w:t>建设单位（盖章）：</w:t>
      </w:r>
      <w:r>
        <w:rPr>
          <w:rFonts w:hint="eastAsia"/>
          <w:u w:val="single"/>
        </w:rPr>
        <w:t>黑龙江诺明哲天医学检验实验室有限公司</w:t>
      </w:r>
    </w:p>
    <w:p>
      <w:pPr>
        <w:pStyle w:val="38"/>
        <w:jc w:val="left"/>
        <w:rPr>
          <w:u w:val="single"/>
        </w:rPr>
      </w:pPr>
      <w:r>
        <w:rPr>
          <w:rFonts w:hint="eastAsia"/>
        </w:rPr>
        <w:t>编制日期：</w:t>
      </w:r>
      <w:r>
        <w:rPr>
          <w:u w:val="single"/>
        </w:rPr>
        <w:t>2022</w:t>
      </w:r>
      <w:r>
        <w:rPr>
          <w:rFonts w:hint="eastAsia"/>
          <w:u w:val="single"/>
        </w:rPr>
        <w:t xml:space="preserve">年11月 </w:t>
      </w:r>
    </w:p>
    <w:p>
      <w:pPr>
        <w:adjustRightInd w:val="0"/>
        <w:snapToGrid w:val="0"/>
        <w:spacing w:line="288" w:lineRule="auto"/>
        <w:ind w:firstLine="1040"/>
        <w:rPr>
          <w:sz w:val="36"/>
          <w:szCs w:val="36"/>
          <w:u w:val="single"/>
        </w:rPr>
      </w:pPr>
      <w:bookmarkStart w:id="0" w:name="_Hlk57884087"/>
    </w:p>
    <w:p>
      <w:pPr>
        <w:adjustRightInd w:val="0"/>
        <w:snapToGrid w:val="0"/>
        <w:spacing w:line="288" w:lineRule="auto"/>
        <w:ind w:firstLine="1040"/>
        <w:rPr>
          <w:sz w:val="36"/>
          <w:szCs w:val="36"/>
        </w:rPr>
      </w:pPr>
    </w:p>
    <w:p>
      <w:pPr>
        <w:adjustRightInd w:val="0"/>
        <w:snapToGrid w:val="0"/>
        <w:spacing w:line="288" w:lineRule="auto"/>
        <w:ind w:firstLine="1040"/>
        <w:rPr>
          <w:sz w:val="36"/>
          <w:szCs w:val="36"/>
        </w:rPr>
      </w:pPr>
    </w:p>
    <w:p>
      <w:pPr>
        <w:adjustRightInd w:val="0"/>
        <w:snapToGrid w:val="0"/>
        <w:spacing w:line="288" w:lineRule="auto"/>
        <w:ind w:firstLine="1040"/>
        <w:rPr>
          <w:sz w:val="36"/>
          <w:szCs w:val="36"/>
          <w:u w:val="single"/>
        </w:rPr>
      </w:pPr>
    </w:p>
    <w:p>
      <w:pPr>
        <w:adjustRightInd w:val="0"/>
        <w:snapToGrid w:val="0"/>
        <w:spacing w:line="288" w:lineRule="auto"/>
        <w:ind w:firstLine="1040"/>
        <w:rPr>
          <w:sz w:val="36"/>
          <w:szCs w:val="36"/>
          <w:u w:val="single"/>
        </w:rPr>
      </w:pPr>
    </w:p>
    <w:p>
      <w:pPr>
        <w:adjustRightInd w:val="0"/>
        <w:snapToGrid w:val="0"/>
        <w:spacing w:line="288" w:lineRule="auto"/>
        <w:ind w:firstLine="1040"/>
        <w:rPr>
          <w:sz w:val="36"/>
          <w:szCs w:val="36"/>
          <w:u w:val="single"/>
        </w:rPr>
      </w:pPr>
    </w:p>
    <w:p>
      <w:pPr>
        <w:adjustRightInd w:val="0"/>
        <w:snapToGrid w:val="0"/>
        <w:spacing w:line="288" w:lineRule="auto"/>
        <w:rPr>
          <w:sz w:val="36"/>
          <w:szCs w:val="36"/>
          <w:u w:val="single"/>
        </w:rPr>
      </w:pPr>
    </w:p>
    <w:bookmarkEnd w:id="0"/>
    <w:p>
      <w:pPr>
        <w:pStyle w:val="36"/>
      </w:pPr>
      <w:r>
        <w:rPr>
          <w:rFonts w:hint="eastAsia"/>
        </w:rPr>
        <w:t>中华人民共和国生态环境部制</w:t>
      </w:r>
    </w:p>
    <w:p>
      <w:pPr>
        <w:adjustRightInd w:val="0"/>
        <w:snapToGrid w:val="0"/>
        <w:spacing w:line="288" w:lineRule="auto"/>
        <w:ind w:firstLine="1040"/>
        <w:rPr>
          <w:sz w:val="36"/>
          <w:szCs w:val="36"/>
        </w:rPr>
      </w:pPr>
    </w:p>
    <w:p>
      <w:pPr>
        <w:pStyle w:val="21"/>
        <w:ind w:left="0" w:leftChars="0"/>
        <w:sectPr>
          <w:footerReference r:id="rId3" w:type="default"/>
          <w:footerReference r:id="rId4" w:type="even"/>
          <w:pgSz w:w="11906" w:h="16838"/>
          <w:pgMar w:top="1440" w:right="1440" w:bottom="1440" w:left="1440" w:header="851" w:footer="1077" w:gutter="0"/>
          <w:pgBorders>
            <w:top w:val="none" w:sz="0" w:space="0"/>
            <w:left w:val="none" w:sz="0" w:space="0"/>
            <w:bottom w:val="none" w:sz="0" w:space="0"/>
            <w:right w:val="none" w:sz="0" w:space="0"/>
          </w:pgBorders>
          <w:pgNumType w:start="3"/>
          <w:cols w:space="720" w:num="1"/>
          <w:docGrid w:linePitch="312" w:charSpace="0"/>
        </w:sectPr>
      </w:pPr>
    </w:p>
    <w:p>
      <w:pPr>
        <w:jc w:val="center"/>
        <w:sectPr>
          <w:pgSz w:w="11906" w:h="16838"/>
          <w:pgMar w:top="1440" w:right="1440" w:bottom="1440" w:left="1440" w:header="851" w:footer="1077" w:gutter="0"/>
          <w:pgBorders>
            <w:top w:val="none" w:sz="0" w:space="0"/>
            <w:left w:val="none" w:sz="0" w:space="0"/>
            <w:bottom w:val="none" w:sz="0" w:space="0"/>
            <w:right w:val="none" w:sz="0" w:space="0"/>
          </w:pgBorders>
          <w:pgNumType w:start="3"/>
          <w:cols w:space="720" w:num="1"/>
          <w:docGrid w:linePitch="312" w:charSpace="0"/>
        </w:sectPr>
      </w:pPr>
    </w:p>
    <w:p>
      <w:pPr>
        <w:pStyle w:val="43"/>
        <w:spacing w:before="240" w:after="240"/>
        <w:outlineLvl w:val="0"/>
      </w:pPr>
      <w:r>
        <w:rPr>
          <w:rFonts w:hint="eastAsia"/>
        </w:rPr>
        <w:t>一、建设项目基本情况</w:t>
      </w:r>
    </w:p>
    <w:tbl>
      <w:tblPr>
        <w:tblStyle w:val="2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715"/>
        <w:gridCol w:w="1995"/>
        <w:gridCol w:w="2201"/>
        <w:gridCol w:w="314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32" w:hRule="atLeast"/>
          <w:jc w:val="center"/>
        </w:trPr>
        <w:tc>
          <w:tcPr>
            <w:tcW w:w="947" w:type="pct"/>
            <w:tcMar>
              <w:top w:w="16" w:type="dxa"/>
              <w:left w:w="16" w:type="dxa"/>
              <w:right w:w="16" w:type="dxa"/>
            </w:tcMar>
            <w:vAlign w:val="center"/>
          </w:tcPr>
          <w:p>
            <w:pPr>
              <w:pStyle w:val="33"/>
            </w:pPr>
            <w:r>
              <w:rPr>
                <w:rFonts w:hint="eastAsia"/>
              </w:rPr>
              <w:t>建设项目名称</w:t>
            </w:r>
          </w:p>
        </w:tc>
        <w:tc>
          <w:tcPr>
            <w:tcW w:w="4053" w:type="pct"/>
            <w:gridSpan w:val="3"/>
            <w:vAlign w:val="center"/>
          </w:tcPr>
          <w:p>
            <w:pPr>
              <w:pStyle w:val="33"/>
            </w:pPr>
            <w:r>
              <w:rPr>
                <w:rFonts w:hint="eastAsia"/>
              </w:rPr>
              <w:t>黑龙江诺明哲天医学检验实验室有限公司建设项目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22" w:hRule="atLeast"/>
          <w:jc w:val="center"/>
        </w:trPr>
        <w:tc>
          <w:tcPr>
            <w:tcW w:w="947" w:type="pct"/>
            <w:tcMar>
              <w:top w:w="16" w:type="dxa"/>
              <w:left w:w="16" w:type="dxa"/>
              <w:right w:w="16" w:type="dxa"/>
            </w:tcMar>
            <w:vAlign w:val="center"/>
          </w:tcPr>
          <w:p>
            <w:pPr>
              <w:pStyle w:val="33"/>
            </w:pPr>
            <w:r>
              <w:rPr>
                <w:rFonts w:hint="eastAsia"/>
              </w:rPr>
              <w:t>项目代码</w:t>
            </w:r>
          </w:p>
        </w:tc>
        <w:tc>
          <w:tcPr>
            <w:tcW w:w="4053" w:type="pct"/>
            <w:gridSpan w:val="3"/>
            <w:vAlign w:val="center"/>
          </w:tcPr>
          <w:p>
            <w:pPr>
              <w:pStyle w:val="33"/>
            </w:pPr>
            <w:r>
              <w:rPr>
                <w:rFonts w:hint="eastAsia"/>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2" w:hRule="atLeast"/>
          <w:jc w:val="center"/>
        </w:trPr>
        <w:tc>
          <w:tcPr>
            <w:tcW w:w="947" w:type="pct"/>
            <w:tcMar>
              <w:top w:w="16" w:type="dxa"/>
              <w:left w:w="16" w:type="dxa"/>
              <w:right w:w="16" w:type="dxa"/>
            </w:tcMar>
            <w:vAlign w:val="center"/>
          </w:tcPr>
          <w:p>
            <w:pPr>
              <w:pStyle w:val="33"/>
            </w:pPr>
            <w:r>
              <w:rPr>
                <w:rFonts w:hint="eastAsia"/>
              </w:rPr>
              <w:t>建设单位联系人</w:t>
            </w:r>
          </w:p>
        </w:tc>
        <w:tc>
          <w:tcPr>
            <w:tcW w:w="1102" w:type="pct"/>
            <w:vAlign w:val="center"/>
          </w:tcPr>
          <w:p>
            <w:pPr>
              <w:pStyle w:val="33"/>
            </w:pPr>
            <w:r>
              <w:rPr>
                <w:rFonts w:hint="eastAsia" w:ascii="Times New Roman" w:hAnsi="Times New Roman"/>
                <w:szCs w:val="21"/>
              </w:rPr>
              <w:t>田晶</w:t>
            </w:r>
          </w:p>
        </w:tc>
        <w:tc>
          <w:tcPr>
            <w:tcW w:w="1216" w:type="pct"/>
            <w:vAlign w:val="center"/>
          </w:tcPr>
          <w:p>
            <w:pPr>
              <w:pStyle w:val="33"/>
            </w:pPr>
            <w:r>
              <w:t>联系方式</w:t>
            </w:r>
          </w:p>
        </w:tc>
        <w:tc>
          <w:tcPr>
            <w:tcW w:w="1736" w:type="pct"/>
            <w:vAlign w:val="center"/>
          </w:tcPr>
          <w:p>
            <w:pPr>
              <w:pStyle w:val="33"/>
            </w:pPr>
            <w:r>
              <w:rPr>
                <w:rFonts w:hint="eastAsia"/>
              </w:rPr>
              <w:t>13101666085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0" w:hRule="atLeast"/>
          <w:jc w:val="center"/>
        </w:trPr>
        <w:tc>
          <w:tcPr>
            <w:tcW w:w="947" w:type="pct"/>
            <w:tcMar>
              <w:top w:w="16" w:type="dxa"/>
              <w:left w:w="16" w:type="dxa"/>
              <w:right w:w="16" w:type="dxa"/>
            </w:tcMar>
            <w:vAlign w:val="center"/>
          </w:tcPr>
          <w:p>
            <w:pPr>
              <w:pStyle w:val="33"/>
            </w:pPr>
            <w:r>
              <w:rPr>
                <w:rFonts w:hint="eastAsia"/>
              </w:rPr>
              <w:t>建设地点</w:t>
            </w:r>
          </w:p>
        </w:tc>
        <w:tc>
          <w:tcPr>
            <w:tcW w:w="4053" w:type="pct"/>
            <w:gridSpan w:val="3"/>
            <w:vAlign w:val="center"/>
          </w:tcPr>
          <w:p>
            <w:pPr>
              <w:pStyle w:val="33"/>
            </w:pPr>
            <w:r>
              <w:rPr>
                <w:rFonts w:hint="eastAsia"/>
              </w:rPr>
              <w:t>黑龙江省哈尔滨市松北区智谷二街3</w:t>
            </w:r>
            <w:r>
              <w:t>043</w:t>
            </w:r>
            <w:r>
              <w:rPr>
                <w:rFonts w:hint="eastAsia"/>
              </w:rPr>
              <w:t>号哈尔滨松北（深圳龙岗）科技创新产业园4栋3层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947" w:type="pct"/>
            <w:tcMar>
              <w:top w:w="16" w:type="dxa"/>
              <w:left w:w="16" w:type="dxa"/>
              <w:right w:w="16" w:type="dxa"/>
            </w:tcMar>
            <w:vAlign w:val="center"/>
          </w:tcPr>
          <w:p>
            <w:pPr>
              <w:pStyle w:val="33"/>
            </w:pPr>
            <w:r>
              <w:rPr>
                <w:rFonts w:hint="eastAsia"/>
              </w:rPr>
              <w:t>地理坐标</w:t>
            </w:r>
          </w:p>
        </w:tc>
        <w:tc>
          <w:tcPr>
            <w:tcW w:w="4053" w:type="pct"/>
            <w:gridSpan w:val="3"/>
            <w:vAlign w:val="center"/>
          </w:tcPr>
          <w:p>
            <w:pPr>
              <w:pStyle w:val="33"/>
            </w:pPr>
            <w:r>
              <w:t>（1</w:t>
            </w:r>
            <w:r>
              <w:rPr>
                <w:rFonts w:hint="eastAsia"/>
              </w:rPr>
              <w:t>26</w:t>
            </w:r>
            <w:r>
              <w:t>度</w:t>
            </w:r>
            <w:r>
              <w:rPr>
                <w:rFonts w:hint="eastAsia"/>
              </w:rPr>
              <w:t>28</w:t>
            </w:r>
            <w:r>
              <w:t>分1</w:t>
            </w:r>
            <w:r>
              <w:rPr>
                <w:rFonts w:hint="eastAsia"/>
              </w:rPr>
              <w:t>3</w:t>
            </w:r>
            <w:r>
              <w:t>.</w:t>
            </w:r>
            <w:r>
              <w:rPr>
                <w:rFonts w:hint="eastAsia"/>
              </w:rPr>
              <w:t>824</w:t>
            </w:r>
            <w:r>
              <w:t>秒，</w:t>
            </w:r>
            <w:r>
              <w:rPr>
                <w:rFonts w:hint="eastAsia"/>
              </w:rPr>
              <w:t>45</w:t>
            </w:r>
            <w:r>
              <w:t>度</w:t>
            </w:r>
            <w:r>
              <w:rPr>
                <w:rFonts w:hint="eastAsia"/>
              </w:rPr>
              <w:t>4</w:t>
            </w:r>
            <w:r>
              <w:t>8分2</w:t>
            </w:r>
            <w:r>
              <w:rPr>
                <w:rFonts w:hint="eastAsia"/>
              </w:rPr>
              <w:t>2</w:t>
            </w:r>
            <w:r>
              <w:t>.</w:t>
            </w:r>
            <w:r>
              <w:rPr>
                <w:rFonts w:hint="eastAsia"/>
              </w:rPr>
              <w:t>551</w:t>
            </w:r>
            <w: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947" w:type="pct"/>
            <w:tcMar>
              <w:top w:w="16" w:type="dxa"/>
              <w:left w:w="16" w:type="dxa"/>
              <w:right w:w="16" w:type="dxa"/>
            </w:tcMar>
            <w:vAlign w:val="center"/>
          </w:tcPr>
          <w:p>
            <w:pPr>
              <w:pStyle w:val="33"/>
            </w:pPr>
            <w:r>
              <w:rPr>
                <w:rFonts w:hint="eastAsia"/>
              </w:rPr>
              <w:t>国民经济</w:t>
            </w:r>
          </w:p>
          <w:p>
            <w:pPr>
              <w:pStyle w:val="33"/>
            </w:pPr>
            <w:r>
              <w:rPr>
                <w:rFonts w:hint="eastAsia"/>
              </w:rPr>
              <w:t>行业类别</w:t>
            </w:r>
          </w:p>
        </w:tc>
        <w:tc>
          <w:tcPr>
            <w:tcW w:w="1102" w:type="pct"/>
            <w:vAlign w:val="center"/>
          </w:tcPr>
          <w:p>
            <w:pPr>
              <w:pStyle w:val="33"/>
            </w:pPr>
            <w:r>
              <w:t>M7340</w:t>
            </w:r>
            <w:r>
              <w:rPr>
                <w:rFonts w:hint="eastAsia"/>
              </w:rPr>
              <w:t>-</w:t>
            </w:r>
            <w:r>
              <w:t>医学研究和试验发展</w:t>
            </w:r>
          </w:p>
        </w:tc>
        <w:tc>
          <w:tcPr>
            <w:tcW w:w="1216" w:type="pct"/>
            <w:vAlign w:val="center"/>
          </w:tcPr>
          <w:p>
            <w:pPr>
              <w:pStyle w:val="33"/>
            </w:pPr>
            <w:bookmarkStart w:id="1" w:name="_Hlk49843745"/>
            <w:r>
              <w:t>建设项目</w:t>
            </w:r>
          </w:p>
          <w:p>
            <w:pPr>
              <w:pStyle w:val="33"/>
            </w:pPr>
            <w:r>
              <w:t>行业类别</w:t>
            </w:r>
            <w:bookmarkEnd w:id="1"/>
          </w:p>
        </w:tc>
        <w:tc>
          <w:tcPr>
            <w:tcW w:w="1736" w:type="pct"/>
            <w:vAlign w:val="center"/>
          </w:tcPr>
          <w:p>
            <w:pPr>
              <w:pStyle w:val="33"/>
            </w:pPr>
            <w:r>
              <w:t>98、专业实验室、研发（试验）基地-其他（不产生实验废气、废水、</w:t>
            </w:r>
            <w:r>
              <w:rPr>
                <w:rFonts w:hint="eastAsia"/>
              </w:rPr>
              <w:t>危险</w:t>
            </w:r>
            <w:r>
              <w:t>废物的除外）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947" w:type="pct"/>
            <w:tcMar>
              <w:top w:w="16" w:type="dxa"/>
              <w:left w:w="16" w:type="dxa"/>
              <w:right w:w="16" w:type="dxa"/>
            </w:tcMar>
            <w:vAlign w:val="center"/>
          </w:tcPr>
          <w:p>
            <w:pPr>
              <w:pStyle w:val="33"/>
            </w:pPr>
            <w:r>
              <w:rPr>
                <w:rFonts w:hint="eastAsia"/>
              </w:rPr>
              <w:t>建设性质</w:t>
            </w:r>
          </w:p>
        </w:tc>
        <w:tc>
          <w:tcPr>
            <w:tcW w:w="1102" w:type="pct"/>
            <w:vAlign w:val="center"/>
          </w:tcPr>
          <w:p>
            <w:pPr>
              <w:pStyle w:val="33"/>
              <w:jc w:val="left"/>
            </w:pPr>
            <w:r>
              <w:rPr/>
              <w:sym w:font="Wingdings 2" w:char="0052"/>
            </w:r>
            <w:r>
              <w:rPr>
                <w:rFonts w:hint="eastAsia"/>
              </w:rPr>
              <w:t>新</w:t>
            </w:r>
            <w:r>
              <w:t>建（迁建）</w:t>
            </w:r>
          </w:p>
          <w:p>
            <w:pPr>
              <w:pStyle w:val="33"/>
              <w:jc w:val="left"/>
            </w:pPr>
            <w:r>
              <w:rPr/>
              <w:sym w:font="Wingdings 2" w:char="00A3"/>
            </w:r>
            <w:r>
              <w:t>改建</w:t>
            </w:r>
          </w:p>
          <w:p>
            <w:pPr>
              <w:pStyle w:val="33"/>
              <w:jc w:val="left"/>
            </w:pPr>
            <w:r>
              <w:rPr/>
              <w:sym w:font="Wingdings 2" w:char="00A3"/>
            </w:r>
            <w:r>
              <w:t>扩建</w:t>
            </w:r>
          </w:p>
          <w:p>
            <w:pPr>
              <w:pStyle w:val="33"/>
              <w:jc w:val="left"/>
            </w:pPr>
            <w:r>
              <w:rPr/>
              <w:sym w:font="Wingdings 2" w:char="00A3"/>
            </w:r>
            <w:r>
              <w:t>技术改造</w:t>
            </w:r>
          </w:p>
        </w:tc>
        <w:tc>
          <w:tcPr>
            <w:tcW w:w="1216" w:type="pct"/>
            <w:vAlign w:val="center"/>
          </w:tcPr>
          <w:p>
            <w:pPr>
              <w:pStyle w:val="33"/>
            </w:pPr>
            <w:r>
              <w:t>建设项目</w:t>
            </w:r>
          </w:p>
          <w:p>
            <w:pPr>
              <w:pStyle w:val="33"/>
            </w:pPr>
            <w:r>
              <w:t>申报情形</w:t>
            </w:r>
          </w:p>
        </w:tc>
        <w:tc>
          <w:tcPr>
            <w:tcW w:w="1736" w:type="pct"/>
            <w:vAlign w:val="center"/>
          </w:tcPr>
          <w:p>
            <w:pPr>
              <w:pStyle w:val="33"/>
              <w:jc w:val="left"/>
            </w:pPr>
            <w:r>
              <w:rPr/>
              <w:sym w:font="Wingdings 2" w:char="0052"/>
            </w:r>
            <w:r>
              <w:t xml:space="preserve">首次申报项目             </w:t>
            </w:r>
          </w:p>
          <w:p>
            <w:pPr>
              <w:pStyle w:val="33"/>
              <w:jc w:val="left"/>
            </w:pPr>
            <w:r>
              <w:rPr/>
              <w:sym w:font="Wingdings 2" w:char="00A3"/>
            </w:r>
            <w:r>
              <w:t>不予批准后再次申报项目</w:t>
            </w:r>
          </w:p>
          <w:p>
            <w:pPr>
              <w:pStyle w:val="33"/>
              <w:jc w:val="left"/>
            </w:pPr>
            <w:r>
              <w:rPr/>
              <w:sym w:font="Wingdings 2" w:char="00A3"/>
            </w:r>
            <w:r>
              <w:t xml:space="preserve">超五年重新审核项目     </w:t>
            </w:r>
          </w:p>
          <w:p>
            <w:pPr>
              <w:pStyle w:val="33"/>
              <w:jc w:val="left"/>
            </w:pPr>
            <w:r>
              <w:rPr/>
              <w:sym w:font="Wingdings 2" w:char="00A3"/>
            </w:r>
            <w: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947" w:type="pct"/>
            <w:tcMar>
              <w:top w:w="16" w:type="dxa"/>
              <w:left w:w="16" w:type="dxa"/>
              <w:right w:w="16" w:type="dxa"/>
            </w:tcMar>
            <w:vAlign w:val="center"/>
          </w:tcPr>
          <w:p>
            <w:pPr>
              <w:pStyle w:val="33"/>
            </w:pPr>
            <w:r>
              <w:rPr>
                <w:rFonts w:hint="eastAsia"/>
              </w:rPr>
              <w:t>项目审批（核准</w:t>
            </w:r>
            <w:r>
              <w:t>/</w:t>
            </w:r>
          </w:p>
          <w:p>
            <w:pPr>
              <w:pStyle w:val="33"/>
            </w:pPr>
            <w:r>
              <w:rPr>
                <w:rFonts w:hint="eastAsia"/>
              </w:rPr>
              <w:t>备案）部门（选填）</w:t>
            </w:r>
          </w:p>
        </w:tc>
        <w:tc>
          <w:tcPr>
            <w:tcW w:w="1102" w:type="pct"/>
            <w:vAlign w:val="center"/>
          </w:tcPr>
          <w:p>
            <w:pPr>
              <w:pStyle w:val="33"/>
            </w:pPr>
            <w:r>
              <w:t>无</w:t>
            </w:r>
          </w:p>
        </w:tc>
        <w:tc>
          <w:tcPr>
            <w:tcW w:w="1216" w:type="pct"/>
            <w:vAlign w:val="center"/>
          </w:tcPr>
          <w:p>
            <w:pPr>
              <w:pStyle w:val="33"/>
            </w:pPr>
            <w:r>
              <w:t>项目审批（核准/</w:t>
            </w:r>
          </w:p>
          <w:p>
            <w:pPr>
              <w:pStyle w:val="33"/>
            </w:pPr>
            <w:r>
              <w:t>备案）文号（选填）</w:t>
            </w:r>
          </w:p>
        </w:tc>
        <w:tc>
          <w:tcPr>
            <w:tcW w:w="1736" w:type="pct"/>
            <w:vAlign w:val="center"/>
          </w:tcPr>
          <w:p>
            <w:pPr>
              <w:pStyle w:val="33"/>
            </w:pPr>
            <w: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947" w:type="pct"/>
            <w:tcMar>
              <w:top w:w="16" w:type="dxa"/>
              <w:left w:w="16" w:type="dxa"/>
              <w:right w:w="16" w:type="dxa"/>
            </w:tcMar>
            <w:vAlign w:val="center"/>
          </w:tcPr>
          <w:p>
            <w:pPr>
              <w:pStyle w:val="33"/>
            </w:pPr>
            <w:r>
              <w:rPr>
                <w:rFonts w:hint="eastAsia"/>
              </w:rPr>
              <w:t>总投资（万元）</w:t>
            </w:r>
          </w:p>
        </w:tc>
        <w:tc>
          <w:tcPr>
            <w:tcW w:w="1102" w:type="pct"/>
            <w:vAlign w:val="center"/>
          </w:tcPr>
          <w:p>
            <w:pPr>
              <w:pStyle w:val="33"/>
            </w:pPr>
            <w:r>
              <w:rPr>
                <w:rFonts w:hint="eastAsia"/>
              </w:rPr>
              <w:t>300</w:t>
            </w:r>
          </w:p>
        </w:tc>
        <w:tc>
          <w:tcPr>
            <w:tcW w:w="1216" w:type="pct"/>
            <w:tcMar>
              <w:top w:w="16" w:type="dxa"/>
              <w:left w:w="16" w:type="dxa"/>
              <w:right w:w="16" w:type="dxa"/>
            </w:tcMar>
            <w:vAlign w:val="center"/>
          </w:tcPr>
          <w:p>
            <w:pPr>
              <w:pStyle w:val="33"/>
            </w:pPr>
            <w:r>
              <w:t>环保投资（万元）</w:t>
            </w:r>
          </w:p>
        </w:tc>
        <w:tc>
          <w:tcPr>
            <w:tcW w:w="1736" w:type="pct"/>
            <w:vAlign w:val="center"/>
          </w:tcPr>
          <w:p>
            <w:pPr>
              <w:pStyle w:val="33"/>
            </w:pPr>
            <w:r>
              <w:rPr>
                <w:rFonts w:hint="eastAsia"/>
              </w:rPr>
              <w:t>1</w:t>
            </w:r>
            <w: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947" w:type="pct"/>
            <w:tcMar>
              <w:top w:w="16" w:type="dxa"/>
              <w:left w:w="16" w:type="dxa"/>
              <w:right w:w="16" w:type="dxa"/>
            </w:tcMar>
            <w:vAlign w:val="center"/>
          </w:tcPr>
          <w:p>
            <w:pPr>
              <w:pStyle w:val="33"/>
            </w:pPr>
            <w:r>
              <w:rPr>
                <w:rFonts w:hint="eastAsia"/>
              </w:rPr>
              <w:t>环保投资占比（</w:t>
            </w:r>
            <w:r>
              <w:t>%</w:t>
            </w:r>
            <w:r>
              <w:rPr>
                <w:rFonts w:hint="eastAsia"/>
              </w:rPr>
              <w:t>）</w:t>
            </w:r>
          </w:p>
        </w:tc>
        <w:tc>
          <w:tcPr>
            <w:tcW w:w="1102" w:type="pct"/>
            <w:vAlign w:val="center"/>
          </w:tcPr>
          <w:p>
            <w:pPr>
              <w:pStyle w:val="33"/>
              <w:rPr>
                <w:rFonts w:hint="default" w:eastAsia="宋体"/>
                <w:lang w:val="en-US" w:eastAsia="zh-CN"/>
              </w:rPr>
            </w:pPr>
            <w:r>
              <w:rPr>
                <w:rFonts w:hint="eastAsia"/>
                <w:lang w:val="en-US" w:eastAsia="zh-CN"/>
              </w:rPr>
              <w:t>3.33</w:t>
            </w:r>
          </w:p>
        </w:tc>
        <w:tc>
          <w:tcPr>
            <w:tcW w:w="1216" w:type="pct"/>
            <w:tcMar>
              <w:top w:w="16" w:type="dxa"/>
              <w:left w:w="16" w:type="dxa"/>
              <w:right w:w="16" w:type="dxa"/>
            </w:tcMar>
            <w:vAlign w:val="center"/>
          </w:tcPr>
          <w:p>
            <w:pPr>
              <w:pStyle w:val="33"/>
            </w:pPr>
            <w:r>
              <w:t>施工工期</w:t>
            </w:r>
          </w:p>
        </w:tc>
        <w:tc>
          <w:tcPr>
            <w:tcW w:w="1736" w:type="pct"/>
            <w:vAlign w:val="center"/>
          </w:tcPr>
          <w:p>
            <w:pPr>
              <w:pStyle w:val="33"/>
            </w:pPr>
            <w:r>
              <w:rPr>
                <w:rFonts w:hint="eastAsia"/>
              </w:rPr>
              <w:t>202</w:t>
            </w:r>
            <w:r>
              <w:t>2</w:t>
            </w:r>
            <w:r>
              <w:rPr>
                <w:rFonts w:hint="eastAsia"/>
              </w:rPr>
              <w:t>.12-2023.6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947" w:type="pct"/>
            <w:tcMar>
              <w:top w:w="16" w:type="dxa"/>
              <w:left w:w="16" w:type="dxa"/>
              <w:right w:w="16" w:type="dxa"/>
            </w:tcMar>
            <w:vAlign w:val="center"/>
          </w:tcPr>
          <w:p>
            <w:pPr>
              <w:pStyle w:val="33"/>
            </w:pPr>
            <w:r>
              <w:rPr>
                <w:rFonts w:hint="eastAsia"/>
              </w:rPr>
              <w:t>是否开工建设</w:t>
            </w:r>
          </w:p>
        </w:tc>
        <w:tc>
          <w:tcPr>
            <w:tcW w:w="1102" w:type="pct"/>
            <w:vAlign w:val="center"/>
          </w:tcPr>
          <w:p>
            <w:pPr>
              <w:pStyle w:val="33"/>
              <w:jc w:val="both"/>
            </w:pPr>
            <w:r>
              <w:rPr/>
              <w:sym w:font="Wingdings 2" w:char="0052"/>
            </w:r>
            <w:r>
              <w:t>否</w:t>
            </w:r>
          </w:p>
          <w:p>
            <w:pPr>
              <w:pStyle w:val="33"/>
              <w:jc w:val="both"/>
            </w:pPr>
            <w:r>
              <w:rPr/>
              <w:sym w:font="Wingdings 2" w:char="00A3"/>
            </w:r>
            <w:r>
              <w:t xml:space="preserve">是：             </w:t>
            </w:r>
          </w:p>
        </w:tc>
        <w:tc>
          <w:tcPr>
            <w:tcW w:w="1216" w:type="pct"/>
            <w:tcMar>
              <w:top w:w="16" w:type="dxa"/>
              <w:left w:w="16" w:type="dxa"/>
              <w:right w:w="16" w:type="dxa"/>
            </w:tcMar>
            <w:vAlign w:val="center"/>
          </w:tcPr>
          <w:p>
            <w:pPr>
              <w:pStyle w:val="33"/>
            </w:pPr>
            <w:r>
              <w:t>用地（用海）</w:t>
            </w:r>
          </w:p>
          <w:p>
            <w:pPr>
              <w:pStyle w:val="33"/>
            </w:pPr>
            <w:r>
              <w:t>面积（m</w:t>
            </w:r>
            <w:r>
              <w:rPr>
                <w:vertAlign w:val="superscript"/>
              </w:rPr>
              <w:t>2</w:t>
            </w:r>
            <w:r>
              <w:t>）</w:t>
            </w:r>
          </w:p>
        </w:tc>
        <w:tc>
          <w:tcPr>
            <w:tcW w:w="1736" w:type="pct"/>
            <w:vAlign w:val="center"/>
          </w:tcPr>
          <w:p>
            <w:pPr>
              <w:pStyle w:val="33"/>
            </w:pPr>
            <w:r>
              <w:rPr>
                <w:rFonts w:hint="eastAsia"/>
              </w:rPr>
              <w:t>1300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947" w:type="pct"/>
            <w:vAlign w:val="center"/>
          </w:tcPr>
          <w:p>
            <w:pPr>
              <w:autoSpaceDE w:val="0"/>
              <w:autoSpaceDN w:val="0"/>
              <w:adjustRightInd w:val="0"/>
              <w:snapToGrid w:val="0"/>
              <w:jc w:val="center"/>
              <w:rPr>
                <w:rFonts w:cs="宋体"/>
                <w:kern w:val="0"/>
                <w:szCs w:val="21"/>
              </w:rPr>
            </w:pPr>
            <w:r>
              <w:rPr>
                <w:rFonts w:hint="eastAsia" w:cs="宋体"/>
                <w:kern w:val="0"/>
                <w:szCs w:val="21"/>
              </w:rPr>
              <w:t>专项评价设置情况</w:t>
            </w:r>
          </w:p>
        </w:tc>
        <w:tc>
          <w:tcPr>
            <w:tcW w:w="4053" w:type="pct"/>
            <w:gridSpan w:val="3"/>
            <w:vAlign w:val="center"/>
          </w:tcPr>
          <w:p>
            <w:pPr>
              <w:autoSpaceDE w:val="0"/>
              <w:autoSpaceDN w:val="0"/>
              <w:adjustRightInd w:val="0"/>
              <w:snapToGrid w:val="0"/>
              <w:jc w:val="center"/>
              <w:rPr>
                <w:rFonts w:cs="宋体"/>
                <w:kern w:val="0"/>
                <w:szCs w:val="21"/>
              </w:rPr>
            </w:pPr>
            <w:r>
              <w:rPr>
                <w:rFonts w:hint="eastAsia" w:cs="宋体"/>
                <w:kern w:val="0"/>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947" w:type="pct"/>
            <w:vAlign w:val="center"/>
          </w:tcPr>
          <w:p>
            <w:pPr>
              <w:autoSpaceDE w:val="0"/>
              <w:autoSpaceDN w:val="0"/>
              <w:adjustRightInd w:val="0"/>
              <w:snapToGrid w:val="0"/>
              <w:jc w:val="center"/>
              <w:rPr>
                <w:kern w:val="0"/>
                <w:szCs w:val="21"/>
              </w:rPr>
            </w:pPr>
            <w:r>
              <w:rPr>
                <w:szCs w:val="21"/>
              </w:rPr>
              <w:t>规划情况</w:t>
            </w:r>
          </w:p>
        </w:tc>
        <w:tc>
          <w:tcPr>
            <w:tcW w:w="4053" w:type="pct"/>
            <w:gridSpan w:val="3"/>
            <w:vAlign w:val="center"/>
          </w:tcPr>
          <w:p>
            <w:pPr>
              <w:autoSpaceDE w:val="0"/>
              <w:autoSpaceDN w:val="0"/>
              <w:adjustRightInd w:val="0"/>
              <w:snapToGrid w:val="0"/>
              <w:rPr>
                <w:kern w:val="0"/>
                <w:szCs w:val="21"/>
              </w:rPr>
            </w:pPr>
            <w:r>
              <w:rPr>
                <w:kern w:val="0"/>
                <w:szCs w:val="21"/>
              </w:rPr>
              <w:t>《</w:t>
            </w:r>
            <w:r>
              <w:rPr>
                <w:rFonts w:hint="eastAsia"/>
                <w:kern w:val="0"/>
                <w:szCs w:val="21"/>
              </w:rPr>
              <w:t>哈尔滨高新区科技创新城环西新城总体规划</w:t>
            </w:r>
            <w:r>
              <w:rPr>
                <w:kern w:val="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947" w:type="pct"/>
            <w:vAlign w:val="center"/>
          </w:tcPr>
          <w:p>
            <w:pPr>
              <w:adjustRightInd w:val="0"/>
              <w:snapToGrid w:val="0"/>
              <w:jc w:val="center"/>
              <w:rPr>
                <w:szCs w:val="21"/>
              </w:rPr>
            </w:pPr>
            <w:r>
              <w:rPr>
                <w:szCs w:val="21"/>
              </w:rPr>
              <w:t>规划环境影响</w:t>
            </w:r>
          </w:p>
          <w:p>
            <w:pPr>
              <w:adjustRightInd w:val="0"/>
              <w:snapToGrid w:val="0"/>
              <w:jc w:val="center"/>
              <w:rPr>
                <w:kern w:val="0"/>
                <w:szCs w:val="21"/>
              </w:rPr>
            </w:pPr>
            <w:r>
              <w:rPr>
                <w:szCs w:val="21"/>
              </w:rPr>
              <w:t>评价情况</w:t>
            </w:r>
          </w:p>
        </w:tc>
        <w:tc>
          <w:tcPr>
            <w:tcW w:w="4053" w:type="pct"/>
            <w:gridSpan w:val="3"/>
            <w:vAlign w:val="center"/>
          </w:tcPr>
          <w:p>
            <w:pPr>
              <w:autoSpaceDE w:val="0"/>
              <w:autoSpaceDN w:val="0"/>
              <w:adjustRightInd w:val="0"/>
              <w:snapToGrid w:val="0"/>
              <w:spacing w:line="340" w:lineRule="exact"/>
              <w:jc w:val="center"/>
              <w:rPr>
                <w:kern w:val="0"/>
                <w:szCs w:val="21"/>
              </w:rPr>
            </w:pPr>
            <w:r>
              <w:rPr>
                <w:kern w:val="0"/>
                <w:szCs w:val="21"/>
              </w:rPr>
              <w:t>《</w:t>
            </w:r>
            <w:r>
              <w:rPr>
                <w:rFonts w:hint="eastAsia"/>
                <w:kern w:val="0"/>
                <w:szCs w:val="21"/>
              </w:rPr>
              <w:t>哈尔滨高新区科技创新城环西新城总体规划环境影响报告书</w:t>
            </w:r>
            <w:r>
              <w:rPr>
                <w:kern w:val="0"/>
                <w:szCs w:val="21"/>
              </w:rPr>
              <w:t>》（</w:t>
            </w:r>
            <w:r>
              <w:rPr>
                <w:rFonts w:hint="eastAsia"/>
                <w:kern w:val="0"/>
                <w:szCs w:val="21"/>
              </w:rPr>
              <w:t>审批部门：原哈尔滨市环境保护局；</w:t>
            </w:r>
            <w:r>
              <w:rPr>
                <w:kern w:val="0"/>
                <w:szCs w:val="21"/>
              </w:rPr>
              <w:t>批复文号：</w:t>
            </w:r>
            <w:r>
              <w:rPr>
                <w:rFonts w:hint="eastAsia"/>
                <w:kern w:val="0"/>
                <w:szCs w:val="21"/>
              </w:rPr>
              <w:t>（哈环函【2013】15号）</w:t>
            </w:r>
            <w:r>
              <w:rPr>
                <w:kern w:val="0"/>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947" w:type="pct"/>
            <w:vAlign w:val="center"/>
          </w:tcPr>
          <w:p>
            <w:pPr>
              <w:autoSpaceDE w:val="0"/>
              <w:autoSpaceDN w:val="0"/>
              <w:adjustRightInd w:val="0"/>
              <w:snapToGrid w:val="0"/>
              <w:jc w:val="center"/>
              <w:rPr>
                <w:kern w:val="0"/>
                <w:szCs w:val="21"/>
              </w:rPr>
            </w:pPr>
            <w:r>
              <w:rPr>
                <w:kern w:val="0"/>
                <w:szCs w:val="21"/>
              </w:rPr>
              <w:t>规划及规划环境</w:t>
            </w:r>
          </w:p>
          <w:p>
            <w:pPr>
              <w:autoSpaceDE w:val="0"/>
              <w:autoSpaceDN w:val="0"/>
              <w:adjustRightInd w:val="0"/>
              <w:snapToGrid w:val="0"/>
              <w:jc w:val="center"/>
              <w:rPr>
                <w:kern w:val="0"/>
                <w:szCs w:val="21"/>
              </w:rPr>
            </w:pPr>
            <w:r>
              <w:rPr>
                <w:kern w:val="0"/>
                <w:szCs w:val="21"/>
              </w:rPr>
              <w:t>影响评价符合性分析</w:t>
            </w:r>
          </w:p>
        </w:tc>
        <w:tc>
          <w:tcPr>
            <w:tcW w:w="4053" w:type="pct"/>
            <w:gridSpan w:val="3"/>
            <w:vAlign w:val="center"/>
          </w:tcPr>
          <w:p>
            <w:pPr>
              <w:pStyle w:val="42"/>
              <w:ind w:firstLine="420"/>
            </w:pPr>
            <w:r>
              <w:rPr>
                <w:rFonts w:hint="eastAsia"/>
              </w:rPr>
              <w:t>本项目拟选厂址位于黑龙江省哈尔滨市松北区智谷二街3043号哈尔滨松北（深圳龙岗）科技创新产业园4栋3层，位于哈尔滨高新区科技创新城环西新城内。园区已做规划环评并取得《关于哈尔滨高新区科技创新城环西新城总体规划环境影响报告书的审查意见》（哈环函【2013】15号），详见附件；根据哈尔滨高新区科技创新城环西新城土地利用规划可知，本项目所在区域土地利用类型为工业用地，符合城市总体规划布局的要求；详见附图。</w:t>
            </w:r>
          </w:p>
          <w:p>
            <w:pPr>
              <w:pStyle w:val="42"/>
              <w:ind w:firstLine="420"/>
              <w:rPr>
                <w:rFonts w:ascii="宋体" w:hAnsi="宋体" w:cs="宋体"/>
                <w:kern w:val="0"/>
                <w:szCs w:val="21"/>
              </w:rPr>
            </w:pPr>
            <w:r>
              <w:rPr>
                <w:rFonts w:hint="eastAsia" w:ascii="宋体" w:hAnsi="宋体" w:cs="宋体"/>
                <w:kern w:val="0"/>
                <w:szCs w:val="21"/>
              </w:rPr>
              <w:t>根据《哈尔滨高新区科技创新城环西新城总体规划》及审批意见（规划期限为</w:t>
            </w:r>
            <w:r>
              <w:rPr>
                <w:kern w:val="0"/>
                <w:szCs w:val="21"/>
              </w:rPr>
              <w:t>2011</w:t>
            </w:r>
            <w:r>
              <w:rPr>
                <w:rFonts w:hint="eastAsia" w:ascii="宋体" w:hAnsi="宋体" w:cs="宋体"/>
                <w:kern w:val="0"/>
                <w:szCs w:val="21"/>
              </w:rPr>
              <w:t>年至</w:t>
            </w:r>
            <w:r>
              <w:rPr>
                <w:kern w:val="0"/>
                <w:szCs w:val="21"/>
              </w:rPr>
              <w:t>2020</w:t>
            </w:r>
            <w:r>
              <w:rPr>
                <w:rFonts w:hint="eastAsia" w:ascii="宋体" w:hAnsi="宋体" w:cs="宋体"/>
                <w:kern w:val="0"/>
                <w:szCs w:val="21"/>
              </w:rPr>
              <w:t>年），目前规划暂未修编。</w:t>
            </w:r>
          </w:p>
          <w:p>
            <w:pPr>
              <w:pStyle w:val="42"/>
              <w:ind w:firstLine="420"/>
              <w:rPr>
                <w:szCs w:val="21"/>
              </w:rPr>
            </w:pPr>
            <w:r>
              <w:rPr>
                <w:rFonts w:hint="eastAsia" w:ascii="宋体" w:hAnsi="宋体" w:cs="宋体"/>
                <w:kern w:val="0"/>
                <w:szCs w:val="21"/>
              </w:rPr>
              <w:t>环西新城功能定位为：</w:t>
            </w:r>
            <w:r>
              <w:rPr>
                <w:kern w:val="0"/>
                <w:szCs w:val="21"/>
              </w:rPr>
              <w:t>“</w:t>
            </w:r>
            <w:r>
              <w:rPr>
                <w:rFonts w:hint="eastAsia"/>
              </w:rPr>
              <w:t>环西新城重点发展新一代信息技术、新能源、新材料、节能环保等战略性新兴产业，兼顾发展能源、装备制造、生物医药、检验检测、电子、高科技农业等传统优势产业，并通过大力引进研发设计、科技服务、金融、商贸、教育、文化、旅游、物流等现代服务业和房地产及相关生活配套产业</w:t>
            </w:r>
            <w:r>
              <w:rPr>
                <w:rFonts w:hint="eastAsia" w:ascii="宋体" w:hAnsi="宋体" w:cs="宋体"/>
                <w:kern w:val="0"/>
                <w:szCs w:val="21"/>
              </w:rPr>
              <w:t>，全面打造一个适合生产、生活、居住、休闲、娱乐、旅游，集科技、文化、生态于一体的新城区。</w:t>
            </w:r>
            <w:r>
              <w:rPr>
                <w:kern w:val="0"/>
                <w:szCs w:val="21"/>
              </w:rPr>
              <w:t>”</w:t>
            </w:r>
            <w:r>
              <w:rPr>
                <w:rFonts w:hint="eastAsia" w:ascii="宋体" w:hAnsi="宋体" w:cs="宋体"/>
                <w:kern w:val="0"/>
                <w:szCs w:val="21"/>
              </w:rPr>
              <w:t>新城总体布局划分为北部现代工业高新技术产业片区和南部科研、金融、商贸、教育、居住、旅游产业综合片区。主要发展以太阳能、地热能、生物质能、风能等新能源转化和应用设备研发、制造为重点，形成以地能热泵、锂离子动力电池、太阳能电池组件、生物质能源、风电装备、燃气轮机、</w:t>
            </w:r>
            <w:r>
              <w:rPr>
                <w:kern w:val="0"/>
                <w:szCs w:val="21"/>
              </w:rPr>
              <w:t>LED</w:t>
            </w:r>
            <w:r>
              <w:rPr>
                <w:rFonts w:hint="eastAsia" w:ascii="宋体" w:hAnsi="宋体" w:cs="宋体"/>
                <w:kern w:val="0"/>
                <w:szCs w:val="21"/>
              </w:rPr>
              <w:t>照明等项目为支撑的新能源产业集群；以航天军工、电子仪表和特殊环境等领域为重点，推进金属材料、复合材料、光电子材料、纳米材料、生物医用新材料、生态环境材料、低碳排放材料等新材料产业集群；以智能仪器仪表、智能机器人、智能电网、智能装置及系统设备为主要方向，发展智能制造装备产业集群。依托区域产业基础，兼顾发展电子设备、能源、装备制造、生物医药、高科技农业等传统优势产业和现代物流业。</w:t>
            </w:r>
          </w:p>
          <w:p>
            <w:pPr>
              <w:pStyle w:val="42"/>
              <w:ind w:firstLine="420"/>
            </w:pPr>
            <w:r>
              <w:rPr>
                <w:rFonts w:hint="eastAsia"/>
              </w:rPr>
              <w:t>规划环评结论及规划环评审查意见要求：</w:t>
            </w:r>
          </w:p>
          <w:p>
            <w:pPr>
              <w:pStyle w:val="42"/>
              <w:ind w:firstLine="420"/>
            </w:pPr>
            <w:r>
              <w:rPr>
                <w:rFonts w:hint="eastAsia"/>
              </w:rPr>
              <w:t>（一）限制入区企业的条件</w:t>
            </w:r>
          </w:p>
          <w:p>
            <w:pPr>
              <w:pStyle w:val="42"/>
              <w:ind w:firstLine="420"/>
            </w:pPr>
            <w:r>
              <w:rPr>
                <w:rFonts w:hint="eastAsia"/>
              </w:rPr>
              <w:t>（1）不符合开发区产业定位的行业。</w:t>
            </w:r>
          </w:p>
          <w:p>
            <w:pPr>
              <w:pStyle w:val="42"/>
              <w:ind w:firstLine="420"/>
            </w:pPr>
            <w:r>
              <w:rPr>
                <w:rFonts w:hint="eastAsia"/>
              </w:rPr>
              <w:t>（2）高水耗、高能耗、高物耗、清洁生产水平低、水的重复利用率低的项目。</w:t>
            </w:r>
          </w:p>
          <w:p>
            <w:pPr>
              <w:pStyle w:val="42"/>
              <w:ind w:firstLine="420"/>
            </w:pPr>
            <w:bookmarkStart w:id="2" w:name="_Toc358894472"/>
            <w:r>
              <w:rPr>
                <w:rFonts w:hint="eastAsia"/>
              </w:rPr>
              <w:t>（二）禁止入区企业的条件</w:t>
            </w:r>
            <w:bookmarkEnd w:id="2"/>
          </w:p>
          <w:p>
            <w:pPr>
              <w:pStyle w:val="42"/>
              <w:ind w:firstLine="420"/>
            </w:pPr>
            <w:r>
              <w:rPr>
                <w:rFonts w:hint="eastAsia"/>
              </w:rPr>
              <w:t>对于达不到进区企业要求的建设项目禁止进入。主要包括：</w:t>
            </w:r>
          </w:p>
          <w:p>
            <w:pPr>
              <w:pStyle w:val="42"/>
              <w:ind w:firstLine="420"/>
            </w:pPr>
            <w:r>
              <w:rPr>
                <w:rFonts w:hint="eastAsia"/>
              </w:rPr>
              <w:t>（1）禁止引进不符合国家产业政策和工商投资名录中明令禁止的项目。</w:t>
            </w:r>
          </w:p>
          <w:p>
            <w:pPr>
              <w:pStyle w:val="42"/>
              <w:ind w:firstLine="420"/>
            </w:pPr>
            <w:r>
              <w:rPr>
                <w:rFonts w:hint="eastAsia"/>
              </w:rPr>
              <w:t>（2）禁止引进排放致癌、致畸、致突变物质、工艺尾气通过治理难以达标排放的项目。</w:t>
            </w:r>
          </w:p>
          <w:p>
            <w:pPr>
              <w:pStyle w:val="42"/>
              <w:ind w:firstLine="420"/>
            </w:pPr>
            <w:r>
              <w:rPr>
                <w:rFonts w:hint="eastAsia"/>
              </w:rPr>
              <w:t>（3）严禁化工、电镀、制革、造纸、制浆、冶炼、印染、染料、亚麻纤维、炼焦、炼油以及放射性物质或者其它有严重污染的小型企业进区。</w:t>
            </w:r>
          </w:p>
          <w:p>
            <w:pPr>
              <w:pStyle w:val="42"/>
              <w:ind w:firstLine="420"/>
            </w:pPr>
            <w:r>
              <w:rPr>
                <w:rFonts w:hint="eastAsia"/>
              </w:rPr>
              <w:t>（5）禁止引进达不到规模经济的项目。</w:t>
            </w:r>
          </w:p>
          <w:p>
            <w:pPr>
              <w:pStyle w:val="42"/>
              <w:ind w:firstLine="420"/>
            </w:pPr>
            <w:r>
              <w:rPr>
                <w:rFonts w:hint="eastAsia"/>
              </w:rPr>
              <w:t>本项目属于医学检验室项目，符合园区总体发展方向及产业定位中“检验检测”，不属于规划环评中限制和禁止的产业，因此，项目建设符合园区规划、规划环评结论及规划环评审查意见要求。</w:t>
            </w:r>
          </w:p>
          <w:p>
            <w:pPr>
              <w:pStyle w:val="42"/>
              <w:ind w:firstLine="0" w:firstLineChars="0"/>
            </w:pPr>
          </w:p>
          <w:p>
            <w:pPr>
              <w:pStyle w:val="42"/>
              <w:ind w:firstLine="420"/>
            </w:pPr>
          </w:p>
          <w:p>
            <w:pPr>
              <w:pStyle w:val="42"/>
              <w:ind w:firstLine="420"/>
            </w:pPr>
          </w:p>
          <w:p>
            <w:pPr>
              <w:pStyle w:val="42"/>
              <w:ind w:firstLine="420"/>
            </w:pPr>
          </w:p>
          <w:p>
            <w:pPr>
              <w:pStyle w:val="42"/>
              <w:ind w:firstLine="0" w:firstLineChars="0"/>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63" w:hRule="atLeast"/>
          <w:jc w:val="center"/>
        </w:trPr>
        <w:tc>
          <w:tcPr>
            <w:tcW w:w="947" w:type="pct"/>
            <w:vAlign w:val="center"/>
          </w:tcPr>
          <w:p>
            <w:pPr>
              <w:autoSpaceDE w:val="0"/>
              <w:autoSpaceDN w:val="0"/>
              <w:adjustRightInd w:val="0"/>
              <w:snapToGrid w:val="0"/>
              <w:jc w:val="center"/>
              <w:rPr>
                <w:rFonts w:cs="宋体"/>
                <w:kern w:val="0"/>
                <w:szCs w:val="21"/>
              </w:rPr>
            </w:pPr>
            <w:r>
              <w:rPr>
                <w:rFonts w:hint="eastAsia" w:cs="宋体"/>
                <w:kern w:val="0"/>
                <w:szCs w:val="21"/>
              </w:rPr>
              <w:t>其他符合性分析</w:t>
            </w:r>
          </w:p>
        </w:tc>
        <w:tc>
          <w:tcPr>
            <w:tcW w:w="4053" w:type="pct"/>
            <w:gridSpan w:val="3"/>
            <w:vAlign w:val="center"/>
          </w:tcPr>
          <w:p>
            <w:pPr>
              <w:pStyle w:val="42"/>
              <w:ind w:firstLine="420"/>
            </w:pPr>
            <w:r>
              <w:t>1、与“三线一单”符合性分析</w:t>
            </w:r>
          </w:p>
          <w:p>
            <w:pPr>
              <w:pStyle w:val="42"/>
              <w:ind w:firstLine="420"/>
            </w:pPr>
            <w:r>
              <w:t>本项目位于</w:t>
            </w:r>
            <w:r>
              <w:rPr>
                <w:rFonts w:hint="eastAsia"/>
              </w:rPr>
              <w:t>黑龙江省哈尔滨市松北区智谷二街3043号哈尔滨松北（深圳龙岗）科技创新产业园4栋3层</w:t>
            </w:r>
            <w:r>
              <w:t>，</w:t>
            </w:r>
            <w:r>
              <w:rPr>
                <w:rFonts w:hint="eastAsia"/>
              </w:rPr>
              <w:t>哈尔滨市</w:t>
            </w:r>
            <w:r>
              <w:t>生态保护红线</w:t>
            </w:r>
            <w:r>
              <w:rPr>
                <w:rFonts w:hint="eastAsia"/>
              </w:rPr>
              <w:t>分布图（附图3）</w:t>
            </w:r>
            <w:r>
              <w:t>，</w:t>
            </w:r>
            <w:r>
              <w:rPr>
                <w:rFonts w:hint="eastAsia"/>
              </w:rPr>
              <w:t>哈尔滨市重点管控单元图（附图4），土壤污染风险重点管控</w:t>
            </w:r>
            <w:r>
              <w:t>区</w:t>
            </w:r>
            <w:r>
              <w:rPr>
                <w:rFonts w:hint="eastAsia"/>
              </w:rPr>
              <w:t>图（附图5）</w:t>
            </w:r>
            <w:r>
              <w:t>，</w:t>
            </w:r>
            <w:r>
              <w:rPr>
                <w:rFonts w:hint="eastAsia"/>
              </w:rPr>
              <w:t>水环境分区管控图（附图6），大气环境分区管控图（附图7）</w:t>
            </w:r>
            <w:r>
              <w:t>，资源利用上线为一般管控区，生态环境准入清单应满足</w:t>
            </w:r>
            <w:r>
              <w:rPr>
                <w:rFonts w:hint="eastAsia"/>
              </w:rPr>
              <w:t>松北区</w:t>
            </w:r>
            <w:r>
              <w:t>要求。根据行业的特点、</w:t>
            </w:r>
            <w:r>
              <w:rPr>
                <w:rFonts w:hint="eastAsia"/>
              </w:rPr>
              <w:t>哈尔滨市人民政府关于实施“三线一单”生态环境分区管控的意见哈政规〔2021〕7号，</w:t>
            </w:r>
            <w:r>
              <w:t>《黑龙江省区域空间生态环境评价报告（哈尔滨市部分）》</w:t>
            </w:r>
            <w:r>
              <w:rPr>
                <w:rFonts w:hint="eastAsia"/>
              </w:rPr>
              <w:t>、</w:t>
            </w:r>
            <w:r>
              <w:t>《</w:t>
            </w:r>
            <w:r>
              <w:rPr>
                <w:rFonts w:hint="eastAsia"/>
              </w:rPr>
              <w:t>哈尔滨市生态环境准入清单</w:t>
            </w:r>
            <w:r>
              <w:t>》以及《黑龙江省“三线一单”文本》中要求，结合本项目生产工艺、排污状况和区域环境及环境质量现状进行调查的基础上，本工程与“三线一单”符合性情况见</w:t>
            </w:r>
            <w:r>
              <w:rPr>
                <w:rFonts w:hint="eastAsia"/>
              </w:rPr>
              <w:t>下表</w:t>
            </w:r>
            <w:r>
              <w:t>。</w:t>
            </w:r>
          </w:p>
          <w:p>
            <w:pPr>
              <w:pStyle w:val="42"/>
              <w:ind w:firstLine="420"/>
              <w:rPr>
                <w:rFonts w:hint="default" w:ascii="Times New Roman" w:hAnsi="Times New Roman" w:eastAsia="宋体" w:cs="Times New Roman"/>
              </w:rPr>
            </w:pPr>
            <w:r>
              <w:rPr>
                <w:rFonts w:hint="eastAsia" w:ascii="Times New Roman" w:hAnsi="Times New Roman" w:eastAsia="宋体" w:cs="Times New Roman"/>
              </w:rPr>
              <w:t>（1）</w:t>
            </w:r>
            <w:r>
              <w:rPr>
                <w:rFonts w:hint="default" w:ascii="Times New Roman" w:hAnsi="Times New Roman" w:eastAsia="宋体" w:cs="Times New Roman"/>
              </w:rPr>
              <w:t>生态保护红线</w:t>
            </w:r>
          </w:p>
          <w:p>
            <w:pPr>
              <w:pStyle w:val="42"/>
              <w:ind w:firstLine="420"/>
              <w:rPr>
                <w:rFonts w:hint="default" w:ascii="Times New Roman" w:hAnsi="Times New Roman" w:eastAsia="宋体" w:cs="Times New Roman"/>
              </w:rPr>
            </w:pPr>
            <w:r>
              <w:rPr>
                <w:rFonts w:hint="default" w:ascii="Times New Roman" w:hAnsi="Times New Roman" w:eastAsia="宋体" w:cs="Times New Roman"/>
              </w:rPr>
              <w:t>本项目</w:t>
            </w:r>
            <w:r>
              <w:rPr>
                <w:rFonts w:hint="eastAsia" w:ascii="Times New Roman" w:hAnsi="Times New Roman" w:eastAsia="宋体" w:cs="Times New Roman"/>
                <w:lang w:eastAsia="zh-CN"/>
              </w:rPr>
              <w:t>位于黑龙江省哈尔滨市松北区智谷二街3043号哈尔滨松北（深圳龙岗）科技创新产业园4栋3层，厂界东侧为</w:t>
            </w:r>
            <w:r>
              <w:rPr>
                <w:rFonts w:hint="eastAsia" w:ascii="Times New Roman" w:hAnsi="Times New Roman" w:eastAsia="宋体" w:cs="Times New Roman"/>
                <w:lang w:val="en-US" w:eastAsia="zh-CN"/>
              </w:rPr>
              <w:t>海邻科</w:t>
            </w:r>
            <w:r>
              <w:rPr>
                <w:rFonts w:hint="eastAsia" w:ascii="Times New Roman" w:hAnsi="Times New Roman" w:eastAsia="宋体" w:cs="Times New Roman"/>
                <w:lang w:eastAsia="zh-CN"/>
              </w:rPr>
              <w:t>，西侧为</w:t>
            </w:r>
            <w:r>
              <w:rPr>
                <w:rFonts w:hint="eastAsia" w:ascii="Times New Roman" w:hAnsi="Times New Roman" w:eastAsia="宋体" w:cs="Times New Roman"/>
                <w:lang w:val="en-US" w:eastAsia="zh-CN"/>
              </w:rPr>
              <w:t>松北（龙岗）科技创新产业园园区内部停车场，北侧为黑龙江景途教育科技有限公司，南侧为空地，</w:t>
            </w:r>
            <w:r>
              <w:rPr>
                <w:rFonts w:hint="eastAsia" w:ascii="Times New Roman" w:hAnsi="Times New Roman" w:eastAsia="宋体" w:cs="Times New Roman"/>
                <w:lang w:eastAsia="zh-CN"/>
              </w:rPr>
              <w:t>不占用生态保护红线。</w:t>
            </w:r>
          </w:p>
          <w:p>
            <w:pPr>
              <w:pStyle w:val="42"/>
              <w:ind w:firstLine="420"/>
              <w:rPr>
                <w:rFonts w:hint="default" w:ascii="Times New Roman" w:hAnsi="Times New Roman" w:eastAsia="宋体" w:cs="Times New Roma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2</w:t>
            </w:r>
            <w:r>
              <w:rPr>
                <w:rFonts w:hint="eastAsia" w:ascii="Times New Roman" w:hAnsi="Times New Roman" w:eastAsia="宋体" w:cs="Times New Roman"/>
                <w:lang w:eastAsia="zh-CN"/>
              </w:rPr>
              <w:t>）</w:t>
            </w:r>
            <w:r>
              <w:rPr>
                <w:rFonts w:hint="default" w:ascii="Times New Roman" w:hAnsi="Times New Roman" w:eastAsia="宋体" w:cs="Times New Roman"/>
              </w:rPr>
              <w:t>环境质量底线</w:t>
            </w:r>
          </w:p>
          <w:p>
            <w:pPr>
              <w:pStyle w:val="42"/>
              <w:ind w:firstLine="420"/>
              <w:rPr>
                <w:rFonts w:hint="eastAsia" w:ascii="Times New Roman" w:hAnsi="Times New Roman" w:eastAsia="宋体" w:cs="Times New Roman"/>
              </w:rPr>
            </w:pPr>
            <w:r>
              <w:rPr>
                <w:rFonts w:hint="eastAsia" w:ascii="Times New Roman" w:hAnsi="Times New Roman" w:eastAsia="宋体" w:cs="Times New Roman"/>
              </w:rPr>
              <w:t>本项目运营期各类污染物经环境保护措施治理后均可达标排放，对区域环境造成的不利影响较小，不会改变区域环境质量现状，因此，符合环境质量底线要求。</w:t>
            </w:r>
          </w:p>
          <w:p>
            <w:pPr>
              <w:pStyle w:val="42"/>
              <w:ind w:firstLine="420"/>
              <w:rPr>
                <w:rFonts w:hint="default" w:ascii="Times New Roman" w:hAnsi="Times New Roman" w:eastAsia="宋体" w:cs="Times New Roma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3</w:t>
            </w:r>
            <w:r>
              <w:rPr>
                <w:rFonts w:hint="eastAsia" w:ascii="Times New Roman" w:hAnsi="Times New Roman" w:eastAsia="宋体" w:cs="Times New Roman"/>
                <w:lang w:eastAsia="zh-CN"/>
              </w:rPr>
              <w:t>）</w:t>
            </w:r>
            <w:r>
              <w:rPr>
                <w:rFonts w:hint="default" w:ascii="Times New Roman" w:hAnsi="Times New Roman" w:eastAsia="宋体" w:cs="Times New Roman"/>
              </w:rPr>
              <w:t>资源利用上限</w:t>
            </w:r>
          </w:p>
          <w:p>
            <w:pPr>
              <w:pStyle w:val="42"/>
              <w:ind w:firstLine="420"/>
              <w:rPr>
                <w:rFonts w:hint="eastAsia" w:ascii="Times New Roman" w:hAnsi="Times New Roman" w:eastAsia="宋体" w:cs="Times New Roman"/>
              </w:rPr>
            </w:pPr>
            <w:r>
              <w:rPr>
                <w:rFonts w:hint="eastAsia" w:ascii="Times New Roman" w:hAnsi="Times New Roman" w:eastAsia="宋体" w:cs="Times New Roman"/>
                <w:lang w:eastAsia="zh-CN"/>
              </w:rPr>
              <w:t>本项目供水由</w:t>
            </w:r>
            <w:r>
              <w:rPr>
                <w:rFonts w:hint="eastAsia" w:ascii="Times New Roman" w:hAnsi="Times New Roman" w:eastAsia="宋体" w:cs="Times New Roman"/>
                <w:lang w:val="en-US" w:eastAsia="zh-CN"/>
              </w:rPr>
              <w:t>市政管网供给</w:t>
            </w:r>
            <w:r>
              <w:rPr>
                <w:rFonts w:hint="eastAsia" w:ascii="Times New Roman" w:hAnsi="Times New Roman" w:eastAsia="宋体" w:cs="Times New Roman"/>
                <w:lang w:eastAsia="zh-CN"/>
              </w:rPr>
              <w:t>，供电电源由市政供电电网提供，用水水源及供电电源可靠，</w:t>
            </w:r>
            <w:r>
              <w:rPr>
                <w:rFonts w:hint="eastAsia" w:ascii="Times New Roman" w:hAnsi="Times New Roman" w:eastAsia="宋体" w:cs="Times New Roman"/>
              </w:rPr>
              <w:t>本项目资源消耗量相对于区域资源利用总量较小，符合资源利用上线要求。</w:t>
            </w:r>
          </w:p>
          <w:p>
            <w:pPr>
              <w:pStyle w:val="42"/>
              <w:ind w:firstLine="420"/>
              <w:rPr>
                <w:rFonts w:hint="default" w:ascii="Times New Roman" w:hAnsi="Times New Roman" w:eastAsia="宋体" w:cs="Times New Roman"/>
              </w:rPr>
            </w:pP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4</w:t>
            </w:r>
            <w:r>
              <w:rPr>
                <w:rFonts w:hint="eastAsia" w:ascii="Times New Roman" w:hAnsi="Times New Roman" w:eastAsia="宋体" w:cs="Times New Roman"/>
                <w:lang w:eastAsia="zh-CN"/>
              </w:rPr>
              <w:t>）</w:t>
            </w:r>
            <w:r>
              <w:rPr>
                <w:rFonts w:hint="default" w:ascii="Times New Roman" w:hAnsi="Times New Roman" w:eastAsia="宋体" w:cs="Times New Roman"/>
              </w:rPr>
              <w:t>环境准入</w:t>
            </w:r>
            <w:r>
              <w:rPr>
                <w:rFonts w:hint="eastAsia" w:ascii="Times New Roman" w:hAnsi="Times New Roman" w:eastAsia="宋体" w:cs="Times New Roman"/>
                <w:lang w:eastAsia="zh-CN"/>
              </w:rPr>
              <w:t>负面</w:t>
            </w:r>
            <w:r>
              <w:rPr>
                <w:rFonts w:hint="default" w:ascii="Times New Roman" w:hAnsi="Times New Roman" w:eastAsia="宋体" w:cs="Times New Roman"/>
              </w:rPr>
              <w:t>清单</w:t>
            </w:r>
          </w:p>
          <w:p>
            <w:pPr>
              <w:pStyle w:val="42"/>
              <w:ind w:firstLine="420"/>
              <w:rPr>
                <w:rFonts w:ascii="Times New Roman" w:hAnsi="Times New Roman" w:eastAsia="宋体" w:cs="Times New Roman"/>
              </w:rPr>
            </w:pPr>
            <w:r>
              <w:rPr>
                <w:rFonts w:hint="eastAsia" w:ascii="Times New Roman" w:hAnsi="Times New Roman" w:eastAsia="宋体" w:cs="Times New Roman"/>
              </w:rPr>
              <w:t>对照《哈尔滨市人民政府关于实施“三线一单”生态环境分区管控的意见（哈政规[2021]7号）》，详见下表。</w:t>
            </w:r>
          </w:p>
          <w:p>
            <w:pPr>
              <w:keepNext w:val="0"/>
              <w:keepLines w:val="0"/>
              <w:suppressLineNumbers w:val="0"/>
              <w:autoSpaceDE w:val="0"/>
              <w:autoSpaceDN w:val="0"/>
              <w:spacing w:before="0" w:beforeAutospacing="0" w:after="0" w:afterAutospacing="0" w:line="360" w:lineRule="auto"/>
              <w:ind w:left="0" w:right="0"/>
              <w:contextualSpacing/>
              <w:jc w:val="center"/>
              <w:rPr>
                <w:rFonts w:hint="default" w:ascii="Times New Roman" w:hAnsi="Times New Roman" w:eastAsia="宋体"/>
                <w:b/>
                <w:color w:val="000000"/>
                <w:sz w:val="21"/>
                <w:szCs w:val="21"/>
                <w:highlight w:val="none"/>
              </w:rPr>
            </w:pPr>
          </w:p>
          <w:p>
            <w:pPr>
              <w:keepNext w:val="0"/>
              <w:keepLines w:val="0"/>
              <w:suppressLineNumbers w:val="0"/>
              <w:autoSpaceDE w:val="0"/>
              <w:autoSpaceDN w:val="0"/>
              <w:spacing w:before="0" w:beforeAutospacing="0" w:after="0" w:afterAutospacing="0" w:line="360" w:lineRule="auto"/>
              <w:ind w:left="0" w:right="0"/>
              <w:contextualSpacing/>
              <w:jc w:val="center"/>
              <w:rPr>
                <w:rFonts w:hint="default" w:ascii="Times New Roman" w:hAnsi="Times New Roman" w:eastAsia="宋体"/>
                <w:b/>
                <w:color w:val="000000"/>
                <w:sz w:val="21"/>
                <w:szCs w:val="21"/>
                <w:highlight w:val="none"/>
              </w:rPr>
            </w:pPr>
          </w:p>
          <w:p>
            <w:pPr>
              <w:keepNext w:val="0"/>
              <w:keepLines w:val="0"/>
              <w:suppressLineNumbers w:val="0"/>
              <w:autoSpaceDE w:val="0"/>
              <w:autoSpaceDN w:val="0"/>
              <w:spacing w:before="0" w:beforeAutospacing="0" w:after="0" w:afterAutospacing="0" w:line="360" w:lineRule="auto"/>
              <w:ind w:left="0" w:right="0"/>
              <w:contextualSpacing/>
              <w:jc w:val="center"/>
              <w:rPr>
                <w:rFonts w:hint="default" w:ascii="Times New Roman" w:hAnsi="Times New Roman" w:eastAsia="宋体"/>
                <w:b/>
                <w:color w:val="000000"/>
                <w:sz w:val="21"/>
                <w:szCs w:val="21"/>
                <w:highlight w:val="none"/>
              </w:rPr>
            </w:pPr>
          </w:p>
          <w:p>
            <w:pPr>
              <w:keepNext w:val="0"/>
              <w:keepLines w:val="0"/>
              <w:suppressLineNumbers w:val="0"/>
              <w:autoSpaceDE w:val="0"/>
              <w:autoSpaceDN w:val="0"/>
              <w:spacing w:before="0" w:beforeAutospacing="0" w:after="0" w:afterAutospacing="0" w:line="360" w:lineRule="auto"/>
              <w:ind w:left="0" w:right="0"/>
              <w:contextualSpacing/>
              <w:jc w:val="center"/>
              <w:rPr>
                <w:rFonts w:hint="default" w:ascii="Times New Roman" w:hAnsi="Times New Roman" w:eastAsia="宋体"/>
                <w:b/>
                <w:color w:val="000000"/>
                <w:sz w:val="21"/>
                <w:szCs w:val="21"/>
                <w:highlight w:val="none"/>
              </w:rPr>
            </w:pPr>
          </w:p>
          <w:p>
            <w:pPr>
              <w:keepNext w:val="0"/>
              <w:keepLines w:val="0"/>
              <w:suppressLineNumbers w:val="0"/>
              <w:autoSpaceDE w:val="0"/>
              <w:autoSpaceDN w:val="0"/>
              <w:spacing w:before="0" w:beforeAutospacing="0" w:after="0" w:afterAutospacing="0" w:line="360" w:lineRule="auto"/>
              <w:ind w:left="0" w:right="0"/>
              <w:contextualSpacing/>
              <w:jc w:val="center"/>
              <w:rPr>
                <w:rFonts w:hint="default" w:ascii="Times New Roman" w:hAnsi="Times New Roman" w:eastAsia="宋体"/>
                <w:b/>
                <w:color w:val="000000"/>
                <w:sz w:val="21"/>
                <w:szCs w:val="21"/>
                <w:highlight w:val="none"/>
              </w:rPr>
            </w:pPr>
          </w:p>
          <w:p>
            <w:pPr>
              <w:keepNext w:val="0"/>
              <w:keepLines w:val="0"/>
              <w:suppressLineNumbers w:val="0"/>
              <w:autoSpaceDE w:val="0"/>
              <w:autoSpaceDN w:val="0"/>
              <w:spacing w:before="0" w:beforeAutospacing="0" w:after="0" w:afterAutospacing="0" w:line="360" w:lineRule="auto"/>
              <w:ind w:left="0" w:right="0"/>
              <w:contextualSpacing/>
              <w:jc w:val="center"/>
              <w:rPr>
                <w:rFonts w:hint="default" w:ascii="Times New Roman" w:hAnsi="Times New Roman" w:eastAsia="宋体"/>
                <w:b/>
                <w:color w:val="000000"/>
                <w:sz w:val="21"/>
                <w:szCs w:val="21"/>
                <w:highlight w:val="none"/>
              </w:rPr>
            </w:pPr>
          </w:p>
          <w:p>
            <w:pPr>
              <w:keepNext w:val="0"/>
              <w:keepLines w:val="0"/>
              <w:suppressLineNumbers w:val="0"/>
              <w:autoSpaceDE w:val="0"/>
              <w:autoSpaceDN w:val="0"/>
              <w:spacing w:before="0" w:beforeAutospacing="0" w:after="0" w:afterAutospacing="0" w:line="360" w:lineRule="auto"/>
              <w:ind w:left="0" w:right="0"/>
              <w:contextualSpacing/>
              <w:jc w:val="center"/>
              <w:rPr>
                <w:rFonts w:hint="default" w:ascii="Times New Roman" w:hAnsi="Times New Roman" w:eastAsia="宋体"/>
                <w:b/>
                <w:color w:val="000000"/>
                <w:sz w:val="21"/>
                <w:szCs w:val="21"/>
                <w:highlight w:val="none"/>
              </w:rPr>
            </w:pPr>
          </w:p>
          <w:p>
            <w:pPr>
              <w:pStyle w:val="45"/>
              <w:rPr>
                <w:rFonts w:hint="default"/>
              </w:rPr>
            </w:pPr>
          </w:p>
          <w:p>
            <w:pPr>
              <w:pStyle w:val="32"/>
              <w:rPr>
                <w:rFonts w:hint="default" w:ascii="Times New Roman" w:hAnsi="Times New Roman" w:eastAsia="宋体" w:cs="Times New Roman"/>
              </w:rPr>
            </w:pPr>
            <w:r>
              <w:rPr>
                <w:rFonts w:hint="default" w:ascii="Times New Roman" w:hAnsi="Times New Roman" w:eastAsia="宋体" w:cs="Times New Roman"/>
              </w:rPr>
              <w:t>生态环境准入清单管控要求符合性分析</w:t>
            </w:r>
          </w:p>
          <w:tbl>
            <w:tblPr>
              <w:tblStyle w:val="26"/>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8"/>
              <w:gridCol w:w="711"/>
              <w:gridCol w:w="645"/>
              <w:gridCol w:w="619"/>
              <w:gridCol w:w="2004"/>
              <w:gridCol w:w="2058"/>
              <w:gridCol w:w="38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4" w:type="pct"/>
                  <w:noWrap w:val="0"/>
                  <w:vAlign w:val="center"/>
                </w:tcPr>
                <w:p>
                  <w:pPr>
                    <w:spacing w:line="240" w:lineRule="auto"/>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环境管控单元编码</w:t>
                  </w:r>
                </w:p>
              </w:tc>
              <w:tc>
                <w:tcPr>
                  <w:tcW w:w="500" w:type="pct"/>
                  <w:noWrap w:val="0"/>
                  <w:vAlign w:val="center"/>
                </w:tcPr>
                <w:p>
                  <w:pPr>
                    <w:spacing w:line="240" w:lineRule="auto"/>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环境管控单元名称</w:t>
                  </w:r>
                </w:p>
              </w:tc>
              <w:tc>
                <w:tcPr>
                  <w:tcW w:w="453" w:type="pct"/>
                  <w:noWrap w:val="0"/>
                  <w:vAlign w:val="center"/>
                </w:tcPr>
                <w:p>
                  <w:pPr>
                    <w:spacing w:line="240" w:lineRule="auto"/>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管控单元类别</w:t>
                  </w:r>
                </w:p>
              </w:tc>
              <w:tc>
                <w:tcPr>
                  <w:tcW w:w="435" w:type="pct"/>
                  <w:noWrap w:val="0"/>
                  <w:vAlign w:val="center"/>
                </w:tcPr>
                <w:p>
                  <w:pPr>
                    <w:spacing w:line="240" w:lineRule="auto"/>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环境要素分区管控</w:t>
                  </w:r>
                </w:p>
              </w:tc>
              <w:tc>
                <w:tcPr>
                  <w:tcW w:w="1408" w:type="pct"/>
                  <w:noWrap w:val="0"/>
                  <w:vAlign w:val="center"/>
                </w:tcPr>
                <w:p>
                  <w:pPr>
                    <w:spacing w:line="240" w:lineRule="auto"/>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管控要求</w:t>
                  </w:r>
                </w:p>
              </w:tc>
              <w:tc>
                <w:tcPr>
                  <w:tcW w:w="1446" w:type="pct"/>
                  <w:noWrap w:val="0"/>
                  <w:vAlign w:val="center"/>
                </w:tcPr>
                <w:p>
                  <w:pPr>
                    <w:spacing w:line="240" w:lineRule="auto"/>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本项目管控措施</w:t>
                  </w:r>
                </w:p>
              </w:tc>
              <w:tc>
                <w:tcPr>
                  <w:tcW w:w="272" w:type="pct"/>
                  <w:noWrap w:val="0"/>
                  <w:vAlign w:val="center"/>
                </w:tcPr>
                <w:p>
                  <w:pPr>
                    <w:spacing w:line="240" w:lineRule="auto"/>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4" w:type="pct"/>
                  <w:vMerge w:val="restart"/>
                  <w:noWrap w:val="0"/>
                  <w:vAlign w:val="center"/>
                </w:tcPr>
                <w:p>
                  <w:pPr>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kern w:val="0"/>
                      <w:szCs w:val="21"/>
                      <w:highlight w:val="none"/>
                    </w:rPr>
                    <w:t>ZH23010920004</w:t>
                  </w:r>
                </w:p>
              </w:tc>
              <w:tc>
                <w:tcPr>
                  <w:tcW w:w="500" w:type="pct"/>
                  <w:vMerge w:val="restart"/>
                  <w:noWrap w:val="0"/>
                  <w:vAlign w:val="center"/>
                </w:tcPr>
                <w:p>
                  <w:pPr>
                    <w:spacing w:line="240" w:lineRule="auto"/>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松北区大气环境布局敏感区</w:t>
                  </w:r>
                </w:p>
              </w:tc>
              <w:tc>
                <w:tcPr>
                  <w:tcW w:w="453" w:type="pct"/>
                  <w:vMerge w:val="restart"/>
                  <w:noWrap w:val="0"/>
                  <w:vAlign w:val="center"/>
                </w:tcPr>
                <w:p>
                  <w:pPr>
                    <w:spacing w:line="240" w:lineRule="auto"/>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重点管控单元</w:t>
                  </w:r>
                </w:p>
              </w:tc>
              <w:tc>
                <w:tcPr>
                  <w:tcW w:w="435" w:type="pct"/>
                  <w:noWrap w:val="0"/>
                  <w:vAlign w:val="center"/>
                </w:tcPr>
                <w:p>
                  <w:pPr>
                    <w:widowControl/>
                    <w:spacing w:line="240" w:lineRule="auto"/>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空间布局约束</w:t>
                  </w:r>
                </w:p>
              </w:tc>
              <w:tc>
                <w:tcPr>
                  <w:tcW w:w="1408" w:type="pct"/>
                  <w:noWrap w:val="0"/>
                  <w:vAlign w:val="center"/>
                </w:tcPr>
                <w:p>
                  <w:pPr>
                    <w:spacing w:line="240" w:lineRule="auto"/>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1.区域内原则上禁止布局高污染项目。严控“两高”行业产能。严格执行钢铁、水泥、平板玻璃等行业产能置换实施办法。</w:t>
                  </w:r>
                </w:p>
                <w:p>
                  <w:pPr>
                    <w:spacing w:line="240" w:lineRule="auto"/>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2.利用水泥窑协同处置城市生活垃圾、危险废弃物、电石渣等固废伴生水泥项目，必须依托现有新型干法水泥熟料生产线进行不扩产能改造。建设3.用地污染风险管控区同时执行本清单哈尔滨市总体准入要求中“6.5建设用地污染风险管控区”准入要求。</w:t>
                  </w:r>
                </w:p>
              </w:tc>
              <w:tc>
                <w:tcPr>
                  <w:tcW w:w="1446" w:type="pct"/>
                  <w:noWrap w:val="0"/>
                  <w:vAlign w:val="center"/>
                </w:tcPr>
                <w:p>
                  <w:pPr>
                    <w:keepNext w:val="0"/>
                    <w:keepLines w:val="0"/>
                    <w:pageBreakBefore w:val="0"/>
                    <w:kinsoku/>
                    <w:wordWrap/>
                    <w:overflowPunct/>
                    <w:topLinePunct w:val="0"/>
                    <w:autoSpaceDE/>
                    <w:autoSpaceDN/>
                    <w:bidi w:val="0"/>
                    <w:adjustRightInd/>
                    <w:spacing w:line="240" w:lineRule="auto"/>
                    <w:ind w:right="0" w:firstLine="0" w:firstLineChars="0"/>
                    <w:textAlignment w:val="auto"/>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lang w:val="en-US" w:eastAsia="zh-CN"/>
                    </w:rPr>
                    <w:t>1、</w:t>
                  </w:r>
                  <w:r>
                    <w:rPr>
                      <w:rFonts w:hint="default" w:ascii="Times New Roman" w:hAnsi="Times New Roman" w:eastAsia="宋体" w:cs="Times New Roman"/>
                      <w:color w:val="000000"/>
                      <w:sz w:val="21"/>
                      <w:szCs w:val="21"/>
                      <w:highlight w:val="none"/>
                      <w:lang w:eastAsia="zh-CN"/>
                    </w:rPr>
                    <w:t>本项目为</w:t>
                  </w:r>
                  <w:r>
                    <w:rPr>
                      <w:rFonts w:hint="eastAsia" w:ascii="Times New Roman" w:hAnsi="Times New Roman" w:eastAsia="宋体" w:cs="Times New Roman"/>
                      <w:color w:val="000000"/>
                      <w:sz w:val="21"/>
                      <w:szCs w:val="21"/>
                      <w:highlight w:val="none"/>
                      <w:lang w:eastAsia="zh-CN"/>
                    </w:rPr>
                    <w:t>医学检验实验室项目</w:t>
                  </w:r>
                  <w:r>
                    <w:rPr>
                      <w:rFonts w:hint="default" w:ascii="Times New Roman" w:hAnsi="Times New Roman" w:eastAsia="宋体" w:cs="Times New Roman"/>
                      <w:color w:val="000000"/>
                      <w:sz w:val="21"/>
                      <w:szCs w:val="21"/>
                      <w:highlight w:val="none"/>
                      <w:lang w:eastAsia="zh-CN"/>
                    </w:rPr>
                    <w:t>，不属于</w:t>
                  </w:r>
                  <w:r>
                    <w:rPr>
                      <w:rFonts w:hint="default" w:ascii="Times New Roman" w:hAnsi="Times New Roman" w:eastAsia="宋体" w:cs="Times New Roman"/>
                      <w:color w:val="000000"/>
                      <w:sz w:val="21"/>
                      <w:szCs w:val="21"/>
                      <w:highlight w:val="none"/>
                    </w:rPr>
                    <w:t>“两高”行业</w:t>
                  </w:r>
                </w:p>
                <w:p>
                  <w:pPr>
                    <w:pStyle w:val="24"/>
                    <w:keepNext w:val="0"/>
                    <w:keepLines w:val="0"/>
                    <w:pageBreakBefore w:val="0"/>
                    <w:kinsoku/>
                    <w:wordWrap/>
                    <w:overflowPunct/>
                    <w:topLinePunct w:val="0"/>
                    <w:autoSpaceDE/>
                    <w:autoSpaceDN/>
                    <w:bidi w:val="0"/>
                    <w:adjustRightInd/>
                    <w:spacing w:before="0" w:after="0" w:line="240" w:lineRule="auto"/>
                    <w:ind w:right="0" w:firstLine="0" w:firstLineChars="0"/>
                    <w:textAlignment w:val="auto"/>
                    <w:rPr>
                      <w:rFonts w:hint="default" w:ascii="Times New Roman" w:hAnsi="Times New Roman" w:eastAsia="宋体" w:cs="Times New Roman"/>
                      <w:color w:val="000000"/>
                      <w:sz w:val="21"/>
                      <w:szCs w:val="21"/>
                      <w:highlight w:val="none"/>
                      <w:lang w:val="en-US" w:eastAsia="zh-CN"/>
                    </w:rPr>
                  </w:pPr>
                  <w:r>
                    <w:rPr>
                      <w:rFonts w:hint="default" w:ascii="Times New Roman" w:hAnsi="Times New Roman" w:eastAsia="宋体" w:cs="Times New Roman"/>
                      <w:color w:val="000000"/>
                      <w:sz w:val="21"/>
                      <w:szCs w:val="21"/>
                      <w:highlight w:val="none"/>
                      <w:lang w:val="en-US" w:eastAsia="zh-CN"/>
                    </w:rPr>
                    <w:t>2、本项目不属于水泥窑协同处置项目。</w:t>
                  </w:r>
                </w:p>
                <w:p>
                  <w:pPr>
                    <w:keepNext w:val="0"/>
                    <w:keepLines w:val="0"/>
                    <w:pageBreakBefore w:val="0"/>
                    <w:widowControl/>
                    <w:suppressLineNumbers w:val="0"/>
                    <w:kinsoku/>
                    <w:wordWrap/>
                    <w:overflowPunct/>
                    <w:topLinePunct w:val="0"/>
                    <w:autoSpaceDE/>
                    <w:autoSpaceDN/>
                    <w:bidi w:val="0"/>
                    <w:adjustRightInd/>
                    <w:spacing w:line="240" w:lineRule="auto"/>
                    <w:ind w:right="0" w:firstLine="0" w:firstLineChars="0"/>
                    <w:jc w:val="left"/>
                    <w:textAlignment w:val="auto"/>
                    <w:rPr>
                      <w:rFonts w:hint="default" w:ascii="Times New Roman" w:hAnsi="Times New Roman" w:eastAsia="宋体" w:cs="Times New Roman"/>
                      <w:color w:val="000000"/>
                      <w:highlight w:val="none"/>
                      <w:lang w:val="en-US" w:eastAsia="zh-CN"/>
                    </w:rPr>
                  </w:pPr>
                  <w:r>
                    <w:rPr>
                      <w:rFonts w:hint="default" w:ascii="Times New Roman" w:hAnsi="Times New Roman" w:eastAsia="宋体" w:cs="Times New Roman"/>
                      <w:color w:val="000000"/>
                      <w:sz w:val="21"/>
                      <w:szCs w:val="21"/>
                      <w:highlight w:val="none"/>
                      <w:lang w:val="en-US" w:eastAsia="zh-CN"/>
                    </w:rPr>
                    <w:t>3、本项目</w:t>
                  </w:r>
                  <w:r>
                    <w:rPr>
                      <w:rFonts w:hint="default" w:ascii="Times New Roman" w:hAnsi="Times New Roman" w:eastAsia="宋体" w:cs="Times New Roman"/>
                      <w:color w:val="000000"/>
                      <w:kern w:val="0"/>
                      <w:sz w:val="21"/>
                      <w:szCs w:val="21"/>
                      <w:highlight w:val="none"/>
                      <w:lang w:val="en-US" w:eastAsia="zh-CN" w:bidi="ar"/>
                    </w:rPr>
                    <w:t>用地为</w:t>
                  </w:r>
                  <w:r>
                    <w:rPr>
                      <w:rFonts w:hint="eastAsia" w:ascii="Times New Roman" w:hAnsi="Times New Roman" w:eastAsia="宋体" w:cs="Times New Roman"/>
                      <w:color w:val="000000"/>
                      <w:kern w:val="0"/>
                      <w:sz w:val="21"/>
                      <w:szCs w:val="21"/>
                      <w:highlight w:val="none"/>
                      <w:lang w:val="en-US" w:eastAsia="zh-CN" w:bidi="ar"/>
                    </w:rPr>
                    <w:t>工业用地</w:t>
                  </w:r>
                  <w:r>
                    <w:rPr>
                      <w:rFonts w:hint="default" w:ascii="Times New Roman" w:hAnsi="Times New Roman" w:eastAsia="宋体" w:cs="Times New Roman"/>
                      <w:color w:val="000000"/>
                      <w:kern w:val="0"/>
                      <w:sz w:val="21"/>
                      <w:szCs w:val="21"/>
                      <w:highlight w:val="none"/>
                      <w:lang w:val="en-US" w:eastAsia="zh-CN" w:bidi="ar"/>
                    </w:rPr>
                    <w:t>，不属于“6.5 建设用地污染风险管控区”范围。</w:t>
                  </w:r>
                </w:p>
              </w:tc>
              <w:tc>
                <w:tcPr>
                  <w:tcW w:w="272" w:type="pct"/>
                  <w:noWrap w:val="0"/>
                  <w:vAlign w:val="center"/>
                </w:tcPr>
                <w:p>
                  <w:pPr>
                    <w:spacing w:line="240" w:lineRule="auto"/>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4" w:type="pct"/>
                  <w:vMerge w:val="continue"/>
                  <w:noWrap w:val="0"/>
                  <w:vAlign w:val="center"/>
                </w:tcPr>
                <w:p>
                  <w:pPr>
                    <w:spacing w:line="240" w:lineRule="auto"/>
                    <w:jc w:val="center"/>
                    <w:rPr>
                      <w:rFonts w:hint="default" w:ascii="Times New Roman" w:hAnsi="Times New Roman" w:eastAsia="宋体" w:cs="Times New Roman"/>
                      <w:color w:val="000000"/>
                      <w:szCs w:val="21"/>
                      <w:highlight w:val="none"/>
                    </w:rPr>
                  </w:pPr>
                </w:p>
              </w:tc>
              <w:tc>
                <w:tcPr>
                  <w:tcW w:w="500" w:type="pct"/>
                  <w:vMerge w:val="continue"/>
                  <w:noWrap w:val="0"/>
                  <w:vAlign w:val="center"/>
                </w:tcPr>
                <w:p>
                  <w:pPr>
                    <w:spacing w:line="240" w:lineRule="auto"/>
                    <w:jc w:val="center"/>
                    <w:rPr>
                      <w:rFonts w:hint="default" w:ascii="Times New Roman" w:hAnsi="Times New Roman" w:eastAsia="宋体" w:cs="Times New Roman"/>
                      <w:color w:val="000000"/>
                      <w:szCs w:val="21"/>
                      <w:highlight w:val="none"/>
                    </w:rPr>
                  </w:pPr>
                </w:p>
              </w:tc>
              <w:tc>
                <w:tcPr>
                  <w:tcW w:w="453" w:type="pct"/>
                  <w:vMerge w:val="continue"/>
                  <w:noWrap w:val="0"/>
                  <w:vAlign w:val="center"/>
                </w:tcPr>
                <w:p>
                  <w:pPr>
                    <w:spacing w:line="240" w:lineRule="auto"/>
                    <w:jc w:val="center"/>
                    <w:rPr>
                      <w:rFonts w:hint="default" w:ascii="Times New Roman" w:hAnsi="Times New Roman" w:eastAsia="宋体" w:cs="Times New Roman"/>
                      <w:color w:val="000000"/>
                      <w:szCs w:val="21"/>
                      <w:highlight w:val="none"/>
                    </w:rPr>
                  </w:pPr>
                </w:p>
              </w:tc>
              <w:tc>
                <w:tcPr>
                  <w:tcW w:w="435" w:type="pct"/>
                  <w:noWrap w:val="0"/>
                  <w:vAlign w:val="center"/>
                </w:tcPr>
                <w:p>
                  <w:pPr>
                    <w:widowControl/>
                    <w:spacing w:line="240" w:lineRule="auto"/>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污染物排放管控</w:t>
                  </w:r>
                </w:p>
              </w:tc>
              <w:tc>
                <w:tcPr>
                  <w:tcW w:w="1408" w:type="pct"/>
                  <w:noWrap w:val="0"/>
                  <w:vAlign w:val="center"/>
                </w:tcPr>
                <w:p>
                  <w:pPr>
                    <w:pStyle w:val="53"/>
                    <w:tabs>
                      <w:tab w:val="left" w:pos="265"/>
                    </w:tabs>
                    <w:spacing w:line="240" w:lineRule="auto"/>
                    <w:jc w:val="both"/>
                    <w:rPr>
                      <w:rFonts w:hint="default" w:ascii="Times New Roman" w:hAnsi="Times New Roman" w:eastAsia="宋体" w:cs="Times New Roman"/>
                      <w:color w:val="000000"/>
                      <w:spacing w:val="-3"/>
                      <w:szCs w:val="21"/>
                      <w:highlight w:val="none"/>
                    </w:rPr>
                  </w:pPr>
                  <w:r>
                    <w:rPr>
                      <w:rFonts w:hint="default" w:ascii="Times New Roman" w:hAnsi="Times New Roman" w:eastAsia="宋体" w:cs="Times New Roman"/>
                      <w:color w:val="000000"/>
                      <w:spacing w:val="-3"/>
                      <w:szCs w:val="21"/>
                      <w:highlight w:val="none"/>
                      <w:lang w:val="en-US"/>
                    </w:rPr>
                    <w:t>1.推广使用电、天然气等清洁能源。</w:t>
                  </w:r>
                </w:p>
                <w:p>
                  <w:pPr>
                    <w:pStyle w:val="53"/>
                    <w:tabs>
                      <w:tab w:val="left" w:pos="265"/>
                    </w:tabs>
                    <w:spacing w:line="240" w:lineRule="auto"/>
                    <w:jc w:val="both"/>
                    <w:rPr>
                      <w:rFonts w:hint="default" w:ascii="Times New Roman" w:hAnsi="Times New Roman" w:eastAsia="宋体" w:cs="Times New Roman"/>
                      <w:color w:val="000000"/>
                      <w:spacing w:val="-3"/>
                      <w:szCs w:val="21"/>
                      <w:highlight w:val="none"/>
                    </w:rPr>
                  </w:pPr>
                  <w:r>
                    <w:rPr>
                      <w:rFonts w:hint="default" w:ascii="Times New Roman" w:hAnsi="Times New Roman" w:eastAsia="宋体" w:cs="Times New Roman"/>
                      <w:color w:val="000000"/>
                      <w:spacing w:val="-3"/>
                      <w:szCs w:val="21"/>
                      <w:highlight w:val="none"/>
                      <w:lang w:val="en-US"/>
                    </w:rPr>
                    <w:t>2.提升环境管理水平，减少污染物排放。</w:t>
                  </w:r>
                </w:p>
                <w:p>
                  <w:pPr>
                    <w:tabs>
                      <w:tab w:val="left" w:pos="312"/>
                    </w:tabs>
                    <w:spacing w:line="240" w:lineRule="auto"/>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pacing w:val="-3"/>
                      <w:szCs w:val="21"/>
                      <w:highlight w:val="none"/>
                    </w:rPr>
                    <w:t>3.支持企业开展能效提升、清洁生产、工业节水等绿色化升级改造，实施重点行业和企业循环化改造，推动资源循环再生利用，降低能源消耗和污染物排放量。</w:t>
                  </w:r>
                </w:p>
              </w:tc>
              <w:tc>
                <w:tcPr>
                  <w:tcW w:w="1446" w:type="pct"/>
                  <w:noWrap w:val="0"/>
                  <w:vAlign w:val="center"/>
                </w:tcPr>
                <w:p>
                  <w:pPr>
                    <w:spacing w:line="240" w:lineRule="auto"/>
                    <w:rPr>
                      <w:rFonts w:hint="default" w:ascii="Times New Roman" w:hAnsi="Times New Roman" w:eastAsia="宋体" w:cs="Times New Roman"/>
                      <w:color w:val="000000"/>
                      <w:szCs w:val="21"/>
                      <w:highlight w:val="none"/>
                      <w:lang w:val="en-US" w:eastAsia="zh-CN"/>
                    </w:rPr>
                  </w:pPr>
                  <w:r>
                    <w:rPr>
                      <w:rFonts w:hint="default" w:ascii="Times New Roman" w:hAnsi="Times New Roman" w:eastAsia="宋体" w:cs="Times New Roman"/>
                      <w:color w:val="000000"/>
                      <w:szCs w:val="21"/>
                      <w:highlight w:val="none"/>
                      <w:lang w:val="en-US" w:eastAsia="zh-CN"/>
                    </w:rPr>
                    <w:t>1、本项目冬季办公区供暖及生产</w:t>
                  </w:r>
                  <w:r>
                    <w:rPr>
                      <w:rFonts w:hint="eastAsia" w:ascii="Times New Roman" w:hAnsi="Times New Roman" w:eastAsia="宋体" w:cs="Times New Roman"/>
                      <w:color w:val="000000"/>
                      <w:szCs w:val="21"/>
                      <w:highlight w:val="none"/>
                      <w:lang w:val="en-US" w:eastAsia="zh-CN"/>
                    </w:rPr>
                    <w:t>蒸汽均由市政</w:t>
                  </w:r>
                  <w:r>
                    <w:rPr>
                      <w:rFonts w:hint="default" w:ascii="Times New Roman" w:hAnsi="Times New Roman" w:eastAsia="宋体" w:cs="Times New Roman"/>
                      <w:color w:val="000000"/>
                      <w:szCs w:val="21"/>
                      <w:highlight w:val="none"/>
                      <w:lang w:val="en-US" w:eastAsia="zh-CN"/>
                    </w:rPr>
                    <w:t>热网集中供给。</w:t>
                  </w:r>
                </w:p>
                <w:p>
                  <w:pPr>
                    <w:spacing w:line="240" w:lineRule="auto"/>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lang w:val="en-US" w:eastAsia="zh-CN"/>
                    </w:rPr>
                    <w:t>2、</w:t>
                  </w:r>
                  <w:r>
                    <w:rPr>
                      <w:rFonts w:hint="default" w:ascii="Times New Roman" w:hAnsi="Times New Roman" w:eastAsia="宋体" w:cs="Times New Roman"/>
                      <w:color w:val="000000"/>
                      <w:sz w:val="21"/>
                      <w:szCs w:val="21"/>
                      <w:highlight w:val="none"/>
                    </w:rPr>
                    <w:t>项目</w:t>
                  </w:r>
                  <w:r>
                    <w:rPr>
                      <w:rFonts w:hint="eastAsia" w:ascii="Times New Roman" w:hAnsi="Times New Roman" w:eastAsia="宋体" w:cs="Times New Roman"/>
                      <w:color w:val="000000"/>
                      <w:sz w:val="21"/>
                      <w:szCs w:val="21"/>
                      <w:highlight w:val="none"/>
                      <w:lang w:eastAsia="zh-CN"/>
                    </w:rPr>
                    <w:t>运营期各污染物均可</w:t>
                  </w:r>
                  <w:r>
                    <w:rPr>
                      <w:rFonts w:hint="default" w:ascii="Times New Roman" w:hAnsi="Times New Roman" w:eastAsia="宋体" w:cs="Times New Roman"/>
                      <w:color w:val="000000"/>
                      <w:sz w:val="21"/>
                      <w:szCs w:val="21"/>
                      <w:highlight w:val="none"/>
                      <w:lang w:eastAsia="zh-CN"/>
                    </w:rPr>
                    <w:t>满足相应的标准</w:t>
                  </w:r>
                  <w:r>
                    <w:rPr>
                      <w:rFonts w:hint="default" w:ascii="Times New Roman" w:hAnsi="Times New Roman" w:eastAsia="宋体" w:cs="Times New Roman"/>
                      <w:color w:val="000000"/>
                      <w:sz w:val="21"/>
                      <w:szCs w:val="21"/>
                      <w:highlight w:val="none"/>
                    </w:rPr>
                    <w:t>要求</w:t>
                  </w:r>
                  <w:r>
                    <w:rPr>
                      <w:rStyle w:val="63"/>
                      <w:rFonts w:hint="default" w:ascii="Times New Roman" w:hAnsi="Times New Roman" w:eastAsia="宋体" w:cs="Times New Roman"/>
                      <w:bCs/>
                      <w:color w:val="000000"/>
                      <w:sz w:val="21"/>
                      <w:szCs w:val="21"/>
                      <w:highlight w:val="none"/>
                    </w:rPr>
                    <w:t>。</w:t>
                  </w:r>
                  <w:r>
                    <w:rPr>
                      <w:rFonts w:hint="default" w:ascii="Times New Roman" w:hAnsi="Times New Roman" w:eastAsia="宋体" w:cs="Times New Roman"/>
                      <w:color w:val="000000"/>
                      <w:sz w:val="21"/>
                      <w:szCs w:val="21"/>
                      <w:highlight w:val="none"/>
                    </w:rPr>
                    <w:t>本项目企业生产工艺、治理设施均达到国内先进水平；企业定期进行环保培训，加强环境管理水平。</w:t>
                  </w:r>
                </w:p>
              </w:tc>
              <w:tc>
                <w:tcPr>
                  <w:tcW w:w="272" w:type="pct"/>
                  <w:noWrap w:val="0"/>
                  <w:vAlign w:val="center"/>
                </w:tcPr>
                <w:p>
                  <w:pPr>
                    <w:spacing w:line="240" w:lineRule="auto"/>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84" w:type="pct"/>
                  <w:vMerge w:val="continue"/>
                  <w:noWrap w:val="0"/>
                  <w:vAlign w:val="center"/>
                </w:tcPr>
                <w:p>
                  <w:pPr>
                    <w:spacing w:line="240" w:lineRule="auto"/>
                    <w:jc w:val="center"/>
                    <w:rPr>
                      <w:rFonts w:hint="default" w:ascii="Times New Roman" w:hAnsi="Times New Roman" w:eastAsia="宋体" w:cs="Times New Roman"/>
                      <w:color w:val="000000"/>
                      <w:szCs w:val="21"/>
                      <w:highlight w:val="none"/>
                    </w:rPr>
                  </w:pPr>
                </w:p>
              </w:tc>
              <w:tc>
                <w:tcPr>
                  <w:tcW w:w="500" w:type="pct"/>
                  <w:vMerge w:val="continue"/>
                  <w:noWrap w:val="0"/>
                  <w:vAlign w:val="center"/>
                </w:tcPr>
                <w:p>
                  <w:pPr>
                    <w:spacing w:line="240" w:lineRule="auto"/>
                    <w:jc w:val="center"/>
                    <w:rPr>
                      <w:rFonts w:hint="default" w:ascii="Times New Roman" w:hAnsi="Times New Roman" w:eastAsia="宋体" w:cs="Times New Roman"/>
                      <w:color w:val="000000"/>
                      <w:szCs w:val="21"/>
                      <w:highlight w:val="none"/>
                    </w:rPr>
                  </w:pPr>
                </w:p>
              </w:tc>
              <w:tc>
                <w:tcPr>
                  <w:tcW w:w="453" w:type="pct"/>
                  <w:vMerge w:val="continue"/>
                  <w:noWrap w:val="0"/>
                  <w:vAlign w:val="center"/>
                </w:tcPr>
                <w:p>
                  <w:pPr>
                    <w:spacing w:line="240" w:lineRule="auto"/>
                    <w:jc w:val="center"/>
                    <w:rPr>
                      <w:rFonts w:hint="default" w:ascii="Times New Roman" w:hAnsi="Times New Roman" w:eastAsia="宋体" w:cs="Times New Roman"/>
                      <w:color w:val="000000"/>
                      <w:szCs w:val="21"/>
                      <w:highlight w:val="none"/>
                    </w:rPr>
                  </w:pPr>
                </w:p>
              </w:tc>
              <w:tc>
                <w:tcPr>
                  <w:tcW w:w="435" w:type="pct"/>
                  <w:noWrap w:val="0"/>
                  <w:vAlign w:val="center"/>
                </w:tcPr>
                <w:p>
                  <w:pPr>
                    <w:widowControl/>
                    <w:spacing w:line="240" w:lineRule="auto"/>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环境风险防控</w:t>
                  </w:r>
                </w:p>
              </w:tc>
              <w:tc>
                <w:tcPr>
                  <w:tcW w:w="1408" w:type="pct"/>
                  <w:noWrap w:val="0"/>
                  <w:vAlign w:val="center"/>
                </w:tcPr>
                <w:p>
                  <w:pPr>
                    <w:widowControl/>
                    <w:spacing w:line="240" w:lineRule="auto"/>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1.严格执行相关行业企业布局选址要求，禁止在商住、学校、医疗、养老机构、人口密集区和公共服务设施等周边新建有色金属冶炼、化工等行业企业。</w:t>
                  </w:r>
                </w:p>
                <w:p>
                  <w:pPr>
                    <w:widowControl/>
                    <w:spacing w:line="240" w:lineRule="auto"/>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2.建设用地污染风险管控区同时执行本清单哈尔滨市总体准入要求中“6.5建设用地污染风险管控区”准入要求。</w:t>
                  </w:r>
                </w:p>
              </w:tc>
              <w:tc>
                <w:tcPr>
                  <w:tcW w:w="1446" w:type="pct"/>
                  <w:noWrap w:val="0"/>
                  <w:vAlign w:val="center"/>
                </w:tcPr>
                <w:p>
                  <w:pPr>
                    <w:widowControl/>
                    <w:spacing w:line="240" w:lineRule="auto"/>
                    <w:rPr>
                      <w:rFonts w:hint="default" w:ascii="Times New Roman" w:hAnsi="Times New Roman" w:eastAsia="宋体" w:cs="Times New Roman"/>
                      <w:color w:val="000000"/>
                      <w:szCs w:val="21"/>
                      <w:highlight w:val="none"/>
                      <w:lang w:eastAsia="zh-CN"/>
                    </w:rPr>
                  </w:pPr>
                  <w:r>
                    <w:rPr>
                      <w:rFonts w:hint="default" w:ascii="Times New Roman" w:hAnsi="Times New Roman" w:eastAsia="宋体" w:cs="Times New Roman"/>
                      <w:color w:val="000000"/>
                      <w:szCs w:val="21"/>
                      <w:highlight w:val="none"/>
                      <w:lang w:eastAsia="zh-CN"/>
                    </w:rPr>
                    <w:t>本项目用地为工业用地，四周均是企业，符合</w:t>
                  </w:r>
                  <w:r>
                    <w:rPr>
                      <w:rFonts w:hint="default" w:ascii="Times New Roman" w:hAnsi="Times New Roman" w:eastAsia="宋体" w:cs="Times New Roman"/>
                      <w:color w:val="000000"/>
                      <w:szCs w:val="21"/>
                      <w:highlight w:val="none"/>
                    </w:rPr>
                    <w:t>企业布局选址要求，</w:t>
                  </w:r>
                  <w:r>
                    <w:rPr>
                      <w:rFonts w:hint="default" w:ascii="Times New Roman" w:hAnsi="Times New Roman" w:eastAsia="宋体" w:cs="Times New Roman"/>
                      <w:color w:val="000000"/>
                      <w:szCs w:val="21"/>
                      <w:highlight w:val="none"/>
                      <w:lang w:eastAsia="zh-CN"/>
                    </w:rPr>
                    <w:t>不</w:t>
                  </w:r>
                  <w:r>
                    <w:rPr>
                      <w:rFonts w:hint="default" w:ascii="Times New Roman" w:hAnsi="Times New Roman" w:eastAsia="宋体" w:cs="Times New Roman"/>
                      <w:color w:val="000000"/>
                      <w:szCs w:val="21"/>
                      <w:highlight w:val="none"/>
                    </w:rPr>
                    <w:t>在商住、学校、医疗、养老机构、人口密集区和公共服务设施等周边。</w:t>
                  </w:r>
                </w:p>
              </w:tc>
              <w:tc>
                <w:tcPr>
                  <w:tcW w:w="272" w:type="pct"/>
                  <w:noWrap w:val="0"/>
                  <w:vAlign w:val="center"/>
                </w:tcPr>
                <w:p>
                  <w:pPr>
                    <w:spacing w:line="240" w:lineRule="auto"/>
                    <w:jc w:val="center"/>
                    <w:rPr>
                      <w:rFonts w:hint="default" w:ascii="Times New Roman" w:hAnsi="Times New Roman" w:eastAsia="宋体" w:cs="Times New Roman"/>
                      <w:color w:val="000000"/>
                      <w:szCs w:val="21"/>
                      <w:highlight w:val="none"/>
                    </w:rPr>
                  </w:pPr>
                  <w:r>
                    <w:rPr>
                      <w:rFonts w:hint="default" w:ascii="Times New Roman" w:hAnsi="Times New Roman" w:eastAsia="宋体" w:cs="Times New Roman"/>
                      <w:color w:val="000000"/>
                      <w:szCs w:val="21"/>
                      <w:highlight w:val="none"/>
                    </w:rPr>
                    <w:t>符合</w:t>
                  </w:r>
                </w:p>
              </w:tc>
            </w:tr>
          </w:tbl>
          <w:p>
            <w:pPr>
              <w:pStyle w:val="42"/>
              <w:ind w:firstLine="420"/>
              <w:rPr>
                <w:rFonts w:hint="eastAsia" w:ascii="Times New Roman" w:hAnsi="Times New Roman" w:eastAsia="宋体" w:cs="Times New Roman"/>
                <w:lang w:eastAsia="zh-CN"/>
              </w:rPr>
            </w:pPr>
            <w:r>
              <w:rPr>
                <w:rFonts w:hint="eastAsia" w:ascii="Times New Roman" w:hAnsi="Times New Roman" w:eastAsia="宋体" w:cs="Times New Roman"/>
                <w:lang w:eastAsia="zh-CN"/>
              </w:rPr>
              <w:t>综上，</w:t>
            </w:r>
            <w:r>
              <w:rPr>
                <w:rFonts w:hint="default" w:ascii="Times New Roman" w:hAnsi="Times New Roman" w:eastAsia="宋体" w:cs="Times New Roman"/>
                <w:lang w:eastAsia="zh-CN"/>
              </w:rPr>
              <w:t>本项目符合</w:t>
            </w:r>
            <w:r>
              <w:rPr>
                <w:rFonts w:hint="eastAsia" w:ascii="Times New Roman" w:hAnsi="Times New Roman" w:eastAsia="宋体" w:cs="Times New Roman"/>
                <w:lang w:eastAsia="zh-CN"/>
              </w:rPr>
              <w:t>《黑龙江省人民政府关于实施“三线一单”生态环境分区管控的意见》（黑政发〔2020〕14号）、《哈尔滨市人民政府关于实施“三线一单”生态环境分区控制的意见》哈政规[2021]7号中要求。</w:t>
            </w:r>
          </w:p>
          <w:p>
            <w:pPr>
              <w:pStyle w:val="42"/>
              <w:ind w:firstLine="420"/>
            </w:pPr>
            <w:r>
              <w:t>2、产业政策符合性分析</w:t>
            </w:r>
          </w:p>
          <w:p>
            <w:pPr>
              <w:pStyle w:val="42"/>
              <w:ind w:firstLine="420"/>
            </w:pPr>
            <w:r>
              <w:rPr>
                <w:rFonts w:hint="eastAsia"/>
              </w:rPr>
              <w:t>本</w:t>
            </w:r>
            <w:r>
              <w:t>项目为</w:t>
            </w:r>
            <w:r>
              <w:rPr>
                <w:rFonts w:hint="eastAsia"/>
              </w:rPr>
              <w:t>实验室扩建项目</w:t>
            </w:r>
            <w:r>
              <w:t>，根据《产业结构调整指导目录（2019年本）》相关规定，“鼓励类”中的““三十一、科技服务业”的</w:t>
            </w:r>
            <w:r>
              <w:rPr>
                <w:rFonts w:hint="eastAsia"/>
              </w:rPr>
              <w:t>“1</w:t>
            </w:r>
            <w:r>
              <w:t>、</w:t>
            </w:r>
            <w:r>
              <w:rPr>
                <w:rFonts w:hint="eastAsia"/>
              </w:rPr>
              <w:t>工业设计、气象、生物、新材料、新能源、节能、环保、测绘、海洋等专业科技服务，标准化服务、计量测试、质量认证和检验检测服务、科技普及</w:t>
            </w:r>
            <w:r>
              <w:t>”。因此，本项目符合国家产业政策。</w:t>
            </w:r>
          </w:p>
          <w:p>
            <w:pPr>
              <w:pStyle w:val="42"/>
              <w:ind w:firstLine="420"/>
            </w:pPr>
            <w:r>
              <w:rPr>
                <w:rFonts w:hint="eastAsia"/>
              </w:rPr>
              <w:t>3、</w:t>
            </w:r>
            <w:r>
              <w:t>与《哈尔滨新区总体规划》（2018-2035）符合性分析</w:t>
            </w:r>
          </w:p>
          <w:p>
            <w:pPr>
              <w:pStyle w:val="42"/>
              <w:ind w:firstLine="420"/>
            </w:pPr>
            <w:r>
              <w:t>哈尔滨新区规划范围为 493 平方公里，包括江北一体发展区和江南政策协同区两部分。江北一体发展区包括呼兰区利业镇、松北区松北镇和松浦镇，以及松北区对青山镇、乐业镇和万宝镇的部分区域，面积为 398 平方公里。江南政策协同区为平房区全域，面积为 95 平方公里。功能定位按照“高能级开放、高质量发展、高品质生活”的发展思路，新区形成“四中心一高地”的核心功能定位：在哈尔滨新区形成以对俄全面合作为基石的科创中心、金融中心，面向东北亚的商贸会展中心，特色国际文旅中心和新兴产业集聚高地。</w:t>
            </w:r>
          </w:p>
          <w:p>
            <w:pPr>
              <w:pStyle w:val="42"/>
              <w:ind w:firstLine="420"/>
            </w:pPr>
            <w:r>
              <w:t>根据《哈尔滨新区总体规划》（2018-2035）中</w:t>
            </w:r>
            <w:r>
              <w:rPr>
                <w:rFonts w:hint="eastAsia"/>
              </w:rPr>
              <w:t>的相关</w:t>
            </w:r>
            <w:r>
              <w:t>规划</w:t>
            </w:r>
            <w:r>
              <w:rPr>
                <w:rFonts w:hint="eastAsia"/>
              </w:rPr>
              <w:t>及布局</w:t>
            </w:r>
            <w:r>
              <w:t>，</w:t>
            </w:r>
            <w:r>
              <w:rPr>
                <w:rFonts w:hint="eastAsia"/>
              </w:rPr>
              <w:t>本项目为医疗实验室项目，符合</w:t>
            </w:r>
            <w:r>
              <w:t>《哈尔滨新区总体规划》（2018-2035）</w:t>
            </w:r>
            <w:r>
              <w:rPr>
                <w:rFonts w:hint="eastAsia"/>
              </w:rPr>
              <w:t>的功能定位及规划目标；区域所在地的用地性质为工业用地，</w:t>
            </w:r>
            <w:r>
              <w:t>符《哈尔滨新区总体规划》（2018-2035）</w:t>
            </w:r>
            <w:r>
              <w:rPr>
                <w:rFonts w:hint="eastAsia"/>
              </w:rPr>
              <w:t>的用地规划</w:t>
            </w:r>
            <w:r>
              <w:t>要求。</w:t>
            </w:r>
          </w:p>
          <w:p>
            <w:pPr>
              <w:pStyle w:val="42"/>
              <w:ind w:firstLine="420"/>
            </w:pPr>
            <w:r>
              <w:rPr>
                <w:rFonts w:hint="eastAsia"/>
              </w:rPr>
              <w:t>4、选址合理性分析</w:t>
            </w:r>
          </w:p>
          <w:p>
            <w:pPr>
              <w:pStyle w:val="42"/>
              <w:ind w:firstLine="420"/>
            </w:pPr>
            <w:r>
              <w:rPr>
                <w:rFonts w:hint="eastAsia"/>
              </w:rPr>
              <w:t>（1）本项目位于黑龙江省哈尔滨市松北区智谷二街3043号哈尔滨松北（深圳龙岗）科技创新产业园4栋3层；</w:t>
            </w:r>
            <w:r>
              <w:rPr>
                <w:rFonts w:hint="eastAsia"/>
                <w:color w:val="auto"/>
              </w:rPr>
              <w:t>厂界东侧为海邻科，西侧为松北（龙岗）科技创新产业园园区内部停车场，北侧为黑龙江景途教育科技有限公司</w:t>
            </w:r>
            <w:r>
              <w:rPr>
                <w:rFonts w:hint="eastAsia"/>
                <w:color w:val="auto"/>
                <w:lang w:eastAsia="zh-CN"/>
              </w:rPr>
              <w:t>。</w:t>
            </w:r>
            <w:r>
              <w:t>项目用地性质为</w:t>
            </w:r>
            <w:r>
              <w:rPr>
                <w:rFonts w:hint="eastAsia"/>
              </w:rPr>
              <w:t>工业用地。</w:t>
            </w:r>
          </w:p>
          <w:p>
            <w:pPr>
              <w:pStyle w:val="42"/>
              <w:ind w:firstLine="420"/>
            </w:pPr>
            <w:r>
              <w:t>（</w:t>
            </w:r>
            <w:r>
              <w:rPr>
                <w:rFonts w:hint="eastAsia"/>
              </w:rPr>
              <w:t>2</w:t>
            </w:r>
            <w:r>
              <w:t>）项目运营过程中产生的设备噪声</w:t>
            </w:r>
            <w:r>
              <w:rPr>
                <w:rFonts w:hint="eastAsia"/>
              </w:rPr>
              <w:t>、废气</w:t>
            </w:r>
            <w:r>
              <w:t>等对周围环境将产生一定影响，但通过采取相应的环保措施可使该项目的环境影响降低。</w:t>
            </w:r>
          </w:p>
          <w:p>
            <w:pPr>
              <w:pStyle w:val="42"/>
              <w:ind w:firstLine="420"/>
            </w:pPr>
            <w:r>
              <w:t>（</w:t>
            </w:r>
            <w:r>
              <w:rPr>
                <w:rFonts w:hint="eastAsia"/>
              </w:rPr>
              <w:t>3</w:t>
            </w:r>
            <w:r>
              <w:t>）项目所在地具有方便的交通运输和水电条件，便于项目的施工建设。</w:t>
            </w:r>
          </w:p>
          <w:p>
            <w:pPr>
              <w:pStyle w:val="42"/>
              <w:ind w:firstLine="420"/>
              <w:rPr>
                <w:rFonts w:cs="宋体"/>
                <w:kern w:val="0"/>
                <w:szCs w:val="21"/>
              </w:rPr>
            </w:pPr>
            <w:r>
              <w:t>在落实本报告提出的污染防治措施前提，确保各项污染物稳定达标排放，对周围环境影响不大，选址可行</w:t>
            </w:r>
            <w:r>
              <w:rPr>
                <w:rFonts w:hint="eastAsia"/>
              </w:rPr>
              <w:t>。</w:t>
            </w:r>
          </w:p>
          <w:p>
            <w:pPr>
              <w:pStyle w:val="42"/>
              <w:ind w:firstLine="420"/>
            </w:pPr>
            <w:r>
              <w:rPr>
                <w:rFonts w:hint="eastAsia"/>
              </w:rPr>
              <w:t>5、生物实验室相关条例、技术规范的符合性分析</w:t>
            </w:r>
          </w:p>
          <w:p>
            <w:pPr>
              <w:pStyle w:val="42"/>
              <w:ind w:firstLine="420"/>
            </w:pPr>
            <w:r>
              <w:rPr>
                <w:rFonts w:hint="eastAsia"/>
              </w:rPr>
              <w:t>根据《国家卫生健康委办公厅关于印发新型冠状病毒实验室生物安全指南（第二版）的通知》（国卫办科教函[2020]70号），本项目实验室等级为生物安全二级。本项目为标准生物安全二级实验室，应满足但不限于《生物安全实验室建筑技术规范》（GB50346-2011）、《实验室生物安全通用要求》（GB19489-2008）、《病原微生物实验室生物安全通用准则》（WS233-2017）、卫生部《微生物和生物医学实验室安全通用准则》、《医疗机构临床基因扩增检验实验室工作导则》等相关条例、技术规范的要求，本项目与上述规定中环境保护相关内容的符合性分析对比情况见表</w:t>
            </w:r>
            <w:r>
              <w:rPr>
                <w:rFonts w:hint="eastAsia"/>
                <w:lang w:val="en-US" w:eastAsia="zh-CN"/>
              </w:rPr>
              <w:t>2</w:t>
            </w:r>
            <w:r>
              <w:rPr>
                <w:rFonts w:hint="eastAsia"/>
              </w:rPr>
              <w:t>。</w:t>
            </w:r>
          </w:p>
          <w:p>
            <w:pPr>
              <w:pStyle w:val="32"/>
            </w:pPr>
            <w:r>
              <w:t>本项目与生物安全相关规范符合性</w:t>
            </w:r>
          </w:p>
          <w:tbl>
            <w:tblPr>
              <w:tblStyle w:val="2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1"/>
              <w:gridCol w:w="2335"/>
              <w:gridCol w:w="2958"/>
              <w:gridCol w:w="4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shd w:val="clear" w:color="auto" w:fill="auto"/>
                  <w:noWrap/>
                  <w:vAlign w:val="center"/>
                </w:tcPr>
                <w:p>
                  <w:pPr>
                    <w:pStyle w:val="54"/>
                    <w:spacing w:line="240" w:lineRule="auto"/>
                    <w:ind w:firstLine="0" w:firstLineChars="0"/>
                    <w:rPr>
                      <w:sz w:val="21"/>
                      <w:szCs w:val="21"/>
                    </w:rPr>
                  </w:pPr>
                  <w:r>
                    <w:rPr>
                      <w:sz w:val="21"/>
                      <w:szCs w:val="21"/>
                    </w:rPr>
                    <w:t>标准、规则</w:t>
                  </w:r>
                </w:p>
              </w:tc>
              <w:tc>
                <w:tcPr>
                  <w:tcW w:w="1640" w:type="pct"/>
                  <w:shd w:val="clear" w:color="auto" w:fill="auto"/>
                  <w:noWrap/>
                  <w:vAlign w:val="center"/>
                </w:tcPr>
                <w:p>
                  <w:pPr>
                    <w:pStyle w:val="54"/>
                    <w:spacing w:line="240" w:lineRule="auto"/>
                    <w:ind w:firstLine="0" w:firstLineChars="0"/>
                    <w:rPr>
                      <w:sz w:val="21"/>
                      <w:szCs w:val="21"/>
                    </w:rPr>
                  </w:pPr>
                  <w:r>
                    <w:rPr>
                      <w:sz w:val="21"/>
                      <w:szCs w:val="21"/>
                    </w:rPr>
                    <w:t>指标要求</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本项目情况</w:t>
                  </w:r>
                </w:p>
              </w:tc>
              <w:tc>
                <w:tcPr>
                  <w:tcW w:w="310" w:type="pct"/>
                  <w:shd w:val="clear" w:color="auto" w:fill="auto"/>
                  <w:noWrap/>
                  <w:vAlign w:val="center"/>
                </w:tcPr>
                <w:p>
                  <w:pPr>
                    <w:pStyle w:val="54"/>
                    <w:spacing w:line="240" w:lineRule="auto"/>
                    <w:ind w:firstLine="0" w:firstLineChars="0"/>
                    <w:rPr>
                      <w:sz w:val="21"/>
                      <w:szCs w:val="21"/>
                    </w:rPr>
                  </w:pPr>
                  <w:r>
                    <w:rPr>
                      <w:sz w:val="21"/>
                      <w:szCs w:val="21"/>
                    </w:rPr>
                    <w:t>符合行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restart"/>
                  <w:shd w:val="clear" w:color="auto" w:fill="auto"/>
                  <w:noWrap/>
                  <w:vAlign w:val="center"/>
                </w:tcPr>
                <w:p>
                  <w:pPr>
                    <w:pStyle w:val="54"/>
                    <w:spacing w:line="240" w:lineRule="auto"/>
                    <w:ind w:firstLine="0" w:firstLineChars="0"/>
                    <w:rPr>
                      <w:sz w:val="21"/>
                      <w:szCs w:val="21"/>
                    </w:rPr>
                  </w:pPr>
                  <w:r>
                    <w:rPr>
                      <w:sz w:val="21"/>
                      <w:szCs w:val="21"/>
                    </w:rPr>
                    <w:t>《生物安全实验室建筑技术规范》（GB50346-2011）对二级实验室的要求</w:t>
                  </w:r>
                </w:p>
              </w:tc>
              <w:tc>
                <w:tcPr>
                  <w:tcW w:w="1640" w:type="pct"/>
                  <w:shd w:val="clear" w:color="auto" w:fill="auto"/>
                  <w:noWrap/>
                  <w:vAlign w:val="center"/>
                </w:tcPr>
                <w:p>
                  <w:pPr>
                    <w:pStyle w:val="54"/>
                    <w:spacing w:line="240" w:lineRule="auto"/>
                    <w:ind w:firstLine="0" w:firstLineChars="0"/>
                    <w:rPr>
                      <w:sz w:val="21"/>
                      <w:szCs w:val="21"/>
                    </w:rPr>
                  </w:pPr>
                  <w:r>
                    <w:rPr>
                      <w:sz w:val="21"/>
                      <w:szCs w:val="21"/>
                    </w:rPr>
                    <w:t>技术指标：二级生物安全实验室宜实施一级屏障和二级屏障</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二级生物安全实验室实施一级屏障和二级屏障：实验室及所有生物安全柜均为负压设计，安装微压差传感器，送风设置定风量送风妥思阀，排风设置电动调节阀，通过PLC闭环控制来保证室内负压强梯度，含病原微生物废气极少外泄。此外实验室内部还设置有紫外线消毒装置，通过紫外线切断病原微生物的传播途径，确保实验室排出的气体对环境的安全。</w:t>
                  </w:r>
                </w:p>
              </w:tc>
              <w:tc>
                <w:tcPr>
                  <w:tcW w:w="310" w:type="pct"/>
                  <w:shd w:val="clear" w:color="auto" w:fill="auto"/>
                  <w:noWrap/>
                  <w:vAlign w:val="center"/>
                </w:tcPr>
                <w:p>
                  <w:pPr>
                    <w:pStyle w:val="54"/>
                    <w:spacing w:line="240" w:lineRule="auto"/>
                    <w:ind w:firstLine="0" w:firstLineChars="0"/>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选址和建筑间距：无要求</w:t>
                  </w:r>
                </w:p>
              </w:tc>
              <w:tc>
                <w:tcPr>
                  <w:tcW w:w="2078" w:type="pct"/>
                  <w:shd w:val="clear" w:color="auto" w:fill="auto"/>
                  <w:noWrap/>
                  <w:vAlign w:val="center"/>
                </w:tcPr>
                <w:p>
                  <w:pPr>
                    <w:pStyle w:val="54"/>
                    <w:spacing w:line="240" w:lineRule="auto"/>
                    <w:ind w:firstLine="0" w:firstLineChars="0"/>
                    <w:rPr>
                      <w:sz w:val="21"/>
                      <w:szCs w:val="21"/>
                    </w:rPr>
                  </w:pPr>
                  <w:r>
                    <w:rPr>
                      <w:rFonts w:hint="eastAsia"/>
                      <w:sz w:val="21"/>
                      <w:szCs w:val="21"/>
                    </w:rPr>
                    <w:t>/</w:t>
                  </w:r>
                </w:p>
              </w:tc>
              <w:tc>
                <w:tcPr>
                  <w:tcW w:w="310" w:type="pct"/>
                  <w:shd w:val="clear" w:color="auto" w:fill="auto"/>
                  <w:noWrap/>
                  <w:vAlign w:val="center"/>
                </w:tcPr>
                <w:p>
                  <w:pPr>
                    <w:pStyle w:val="54"/>
                    <w:spacing w:line="240" w:lineRule="auto"/>
                    <w:ind w:firstLine="0" w:firstLineChars="0"/>
                    <w:rPr>
                      <w:sz w:val="21"/>
                      <w:szCs w:val="21"/>
                    </w:rPr>
                  </w:pPr>
                  <w:r>
                    <w:rPr>
                      <w:rFonts w:hint="eastAsia"/>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平面位置：可共用建筑物，与建筑物其他部分可相通，但应设可自动关闭的带锁的门</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本项目新建核酸检测</w:t>
                  </w:r>
                  <w:r>
                    <w:rPr>
                      <w:rFonts w:hint="eastAsia"/>
                      <w:sz w:val="21"/>
                      <w:szCs w:val="21"/>
                    </w:rPr>
                    <w:t>实验室</w:t>
                  </w:r>
                  <w:r>
                    <w:rPr>
                      <w:sz w:val="21"/>
                      <w:szCs w:val="21"/>
                    </w:rPr>
                    <w:t>，与建筑物其他部分相通，设置了可自动关闭的带锁的门。</w:t>
                  </w:r>
                </w:p>
              </w:tc>
              <w:tc>
                <w:tcPr>
                  <w:tcW w:w="310" w:type="pct"/>
                  <w:shd w:val="clear" w:color="auto" w:fill="auto"/>
                  <w:noWrap/>
                  <w:vAlign w:val="center"/>
                </w:tcPr>
                <w:p>
                  <w:pPr>
                    <w:pStyle w:val="54"/>
                    <w:spacing w:line="240" w:lineRule="auto"/>
                    <w:ind w:firstLine="0" w:firstLineChars="0"/>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二级生物安全实验室应在人口处设置更衣室或更衣柜</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本项目二级生物实验室在入口处设置更衣</w:t>
                  </w:r>
                  <w:r>
                    <w:rPr>
                      <w:rFonts w:hint="eastAsia"/>
                      <w:sz w:val="21"/>
                      <w:szCs w:val="21"/>
                    </w:rPr>
                    <w:t>室。</w:t>
                  </w:r>
                </w:p>
              </w:tc>
              <w:tc>
                <w:tcPr>
                  <w:tcW w:w="310" w:type="pct"/>
                  <w:shd w:val="clear" w:color="auto" w:fill="auto"/>
                  <w:noWrap/>
                  <w:vAlign w:val="center"/>
                </w:tcPr>
                <w:p>
                  <w:pPr>
                    <w:pStyle w:val="54"/>
                    <w:spacing w:line="240" w:lineRule="auto"/>
                    <w:ind w:firstLine="0" w:firstLineChars="0"/>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二级生物安全实验室应在实验室或实验室所在建筑内配备高压灭菌器或其他消毒灭菌设备</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本项目二级生物安全实验室在实验室所在建筑内配备消毒灭菌设备。</w:t>
                  </w:r>
                </w:p>
              </w:tc>
              <w:tc>
                <w:tcPr>
                  <w:tcW w:w="310" w:type="pct"/>
                  <w:shd w:val="clear" w:color="auto" w:fill="auto"/>
                  <w:noWrap/>
                  <w:vAlign w:val="center"/>
                </w:tcPr>
                <w:p>
                  <w:pPr>
                    <w:pStyle w:val="54"/>
                    <w:spacing w:line="240" w:lineRule="auto"/>
                    <w:ind w:firstLine="0" w:firstLineChars="0"/>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送、排风系统中的中、高效过滤器不应重复使用</w:t>
                  </w:r>
                </w:p>
              </w:tc>
              <w:tc>
                <w:tcPr>
                  <w:tcW w:w="2078" w:type="pct"/>
                  <w:shd w:val="clear" w:color="auto" w:fill="auto"/>
                  <w:noWrap/>
                  <w:vAlign w:val="center"/>
                </w:tcPr>
                <w:p>
                  <w:pPr>
                    <w:pStyle w:val="54"/>
                    <w:spacing w:line="240" w:lineRule="auto"/>
                    <w:ind w:firstLine="0" w:firstLineChars="0"/>
                    <w:rPr>
                      <w:color w:val="auto"/>
                      <w:sz w:val="21"/>
                      <w:szCs w:val="21"/>
                    </w:rPr>
                  </w:pPr>
                  <w:r>
                    <w:rPr>
                      <w:color w:val="auto"/>
                      <w:sz w:val="21"/>
                      <w:szCs w:val="21"/>
                    </w:rPr>
                    <w:t>项目送排风系统的HEPA过滤器定期更换，不重复使用</w:t>
                  </w:r>
                </w:p>
                <w:p>
                  <w:pPr>
                    <w:pStyle w:val="54"/>
                    <w:spacing w:line="240" w:lineRule="auto"/>
                    <w:ind w:firstLine="0" w:firstLineChars="0"/>
                    <w:rPr>
                      <w:rFonts w:hint="default"/>
                      <w:color w:val="auto"/>
                      <w:sz w:val="21"/>
                      <w:szCs w:val="21"/>
                      <w:lang w:val="en-US" w:eastAsia="zh-CN"/>
                    </w:rPr>
                  </w:pPr>
                  <w:r>
                    <w:rPr>
                      <w:rFonts w:hint="default" w:eastAsia="宋体"/>
                      <w:color w:val="auto"/>
                      <w:sz w:val="21"/>
                      <w:szCs w:val="21"/>
                      <w:lang w:val="en-US" w:eastAsia="zh-CN"/>
                    </w:rPr>
                    <w:t>液相色谱串联质谱仪</w:t>
                  </w:r>
                  <w:r>
                    <w:rPr>
                      <w:rFonts w:hint="eastAsia"/>
                      <w:color w:val="auto"/>
                      <w:sz w:val="21"/>
                      <w:szCs w:val="21"/>
                      <w:lang w:val="en-US" w:eastAsia="zh-CN"/>
                    </w:rPr>
                    <w:t>实验室操作过程的有机废气需使用活性炭吸附装置进行吸附，活性炭需进行定期更换，废活性炭需暂存在危废暂存间内，定期交由有资质单位进行处理。</w:t>
                  </w:r>
                </w:p>
              </w:tc>
              <w:tc>
                <w:tcPr>
                  <w:tcW w:w="310" w:type="pct"/>
                  <w:shd w:val="clear" w:color="auto" w:fill="auto"/>
                  <w:noWrap/>
                  <w:vAlign w:val="center"/>
                </w:tcPr>
                <w:p>
                  <w:pPr>
                    <w:pStyle w:val="54"/>
                    <w:spacing w:line="240" w:lineRule="auto"/>
                    <w:ind w:firstLine="0" w:firstLineChars="0"/>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二级、三级、四级生物安全实验室的入口，应明确标示出生物防护级别、操作的致病性生物因子、实验室负责人姓名、紧急联络方式等，并应标示出国际通用生物危险符号</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本项目在二级生物安全实验室的入口，明确标示出生物防护级别、操作的致病性生物因子、实验室负责人姓名、紧急联络方式等，并应标示出国际通用生物危险符号</w:t>
                  </w:r>
                </w:p>
              </w:tc>
              <w:tc>
                <w:tcPr>
                  <w:tcW w:w="310" w:type="pct"/>
                  <w:shd w:val="clear" w:color="auto" w:fill="auto"/>
                  <w:noWrap/>
                  <w:vAlign w:val="center"/>
                </w:tcPr>
                <w:p>
                  <w:pPr>
                    <w:pStyle w:val="54"/>
                    <w:spacing w:line="240" w:lineRule="auto"/>
                    <w:ind w:firstLine="0" w:firstLineChars="0"/>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restart"/>
                  <w:shd w:val="clear" w:color="auto" w:fill="auto"/>
                  <w:noWrap/>
                  <w:vAlign w:val="center"/>
                </w:tcPr>
                <w:p>
                  <w:pPr>
                    <w:pStyle w:val="54"/>
                    <w:spacing w:line="240" w:lineRule="auto"/>
                    <w:ind w:firstLine="0" w:firstLineChars="0"/>
                    <w:rPr>
                      <w:sz w:val="21"/>
                      <w:szCs w:val="21"/>
                    </w:rPr>
                  </w:pPr>
                  <w:r>
                    <w:rPr>
                      <w:sz w:val="21"/>
                      <w:szCs w:val="21"/>
                    </w:rPr>
                    <w:t>《实验室生物安全通用要求》（GB19489-2008）对二级实验室设施和设备要求</w:t>
                  </w:r>
                </w:p>
              </w:tc>
              <w:tc>
                <w:tcPr>
                  <w:tcW w:w="1640" w:type="pct"/>
                  <w:shd w:val="clear" w:color="auto" w:fill="auto"/>
                  <w:noWrap/>
                  <w:vAlign w:val="center"/>
                </w:tcPr>
                <w:p>
                  <w:pPr>
                    <w:pStyle w:val="54"/>
                    <w:spacing w:line="240" w:lineRule="auto"/>
                    <w:ind w:firstLine="0" w:firstLineChars="0"/>
                    <w:rPr>
                      <w:sz w:val="21"/>
                      <w:szCs w:val="21"/>
                    </w:rPr>
                  </w:pPr>
                  <w:r>
                    <w:rPr>
                      <w:sz w:val="21"/>
                      <w:szCs w:val="21"/>
                    </w:rPr>
                    <w:t>实验室主</w:t>
                  </w:r>
                  <w:r>
                    <w:rPr>
                      <w:rFonts w:hint="eastAsia"/>
                      <w:sz w:val="21"/>
                      <w:szCs w:val="21"/>
                    </w:rPr>
                    <w:t>入</w:t>
                  </w:r>
                  <w:r>
                    <w:rPr>
                      <w:sz w:val="21"/>
                      <w:szCs w:val="21"/>
                    </w:rPr>
                    <w:t>口的门、放置生物安全柜实验间的门应可自动关闭；实验室主入口的门应有进人控制措施。</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本项目实验室主</w:t>
                  </w:r>
                  <w:r>
                    <w:rPr>
                      <w:rFonts w:hint="eastAsia"/>
                      <w:sz w:val="21"/>
                      <w:szCs w:val="21"/>
                    </w:rPr>
                    <w:t>入</w:t>
                  </w:r>
                  <w:r>
                    <w:rPr>
                      <w:sz w:val="21"/>
                      <w:szCs w:val="21"/>
                    </w:rPr>
                    <w:t>口的门、放置生物安全柜实验间的门均可自动关闭；实验室主入口的门有进人控制措施。</w:t>
                  </w:r>
                </w:p>
              </w:tc>
              <w:tc>
                <w:tcPr>
                  <w:tcW w:w="310" w:type="pct"/>
                  <w:shd w:val="clear" w:color="auto" w:fill="auto"/>
                  <w:noWrap/>
                  <w:vAlign w:val="center"/>
                </w:tcPr>
                <w:p>
                  <w:pPr>
                    <w:pStyle w:val="54"/>
                    <w:spacing w:line="240" w:lineRule="auto"/>
                    <w:ind w:firstLine="0" w:firstLineChars="0"/>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应在实验室工作区配备洗眼装置。</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本项目在实验室工作区配备洗眼装置。</w:t>
                  </w:r>
                </w:p>
              </w:tc>
              <w:tc>
                <w:tcPr>
                  <w:tcW w:w="310" w:type="pct"/>
                  <w:shd w:val="clear" w:color="auto" w:fill="auto"/>
                  <w:noWrap/>
                  <w:vAlign w:val="center"/>
                </w:tcPr>
                <w:p>
                  <w:pPr>
                    <w:pStyle w:val="54"/>
                    <w:spacing w:line="240" w:lineRule="auto"/>
                    <w:ind w:firstLine="0" w:firstLineChars="0"/>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应在实验室或其所在的建筑内配备高压蒸汽灭菌器或其他适当的消毒灭菌设备，所配备的消毒 灭菌设备应以风险评估为依据。</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本项目在实验室配备高压蒸汽灭菌器。</w:t>
                  </w:r>
                </w:p>
              </w:tc>
              <w:tc>
                <w:tcPr>
                  <w:tcW w:w="310" w:type="pct"/>
                  <w:shd w:val="clear" w:color="auto" w:fill="auto"/>
                  <w:noWrap/>
                  <w:vAlign w:val="center"/>
                </w:tcPr>
                <w:p>
                  <w:pPr>
                    <w:pStyle w:val="54"/>
                    <w:spacing w:line="240" w:lineRule="auto"/>
                    <w:ind w:firstLine="0" w:firstLineChars="0"/>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应在操作病原微生物样本的实验间内配备生物安全柜。</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本项目在操作病原微生物样本的实验间内配备生物安全柜。</w:t>
                  </w:r>
                </w:p>
              </w:tc>
              <w:tc>
                <w:tcPr>
                  <w:tcW w:w="310" w:type="pct"/>
                  <w:shd w:val="clear" w:color="auto" w:fill="auto"/>
                  <w:noWrap/>
                  <w:vAlign w:val="center"/>
                </w:tcPr>
                <w:p>
                  <w:pPr>
                    <w:pStyle w:val="54"/>
                    <w:spacing w:line="240" w:lineRule="auto"/>
                    <w:ind w:firstLine="0" w:firstLineChars="0"/>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应按产品的设计要求安装和使用生物安全柜。如果生物安全柜的排风在室内循环，室内应具备通风换气的条件；如果使用需要管道排风的生物安全柜，应通过独立于建筑物其他公共通风系统的管道排出。</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本项目使用需要管道排风的生物安全柜，通过独立于建筑物其他公共通风系统的管道排出。</w:t>
                  </w:r>
                </w:p>
              </w:tc>
              <w:tc>
                <w:tcPr>
                  <w:tcW w:w="310" w:type="pct"/>
                  <w:shd w:val="clear" w:color="auto" w:fill="auto"/>
                  <w:noWrap/>
                  <w:vAlign w:val="center"/>
                </w:tcPr>
                <w:p>
                  <w:pPr>
                    <w:pStyle w:val="54"/>
                    <w:spacing w:line="240" w:lineRule="auto"/>
                    <w:ind w:firstLine="0" w:firstLineChars="0"/>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应有可靠的电力供应。</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本项目供电由市政电网供给，电量能够满足项目需要。</w:t>
                  </w:r>
                </w:p>
              </w:tc>
              <w:tc>
                <w:tcPr>
                  <w:tcW w:w="310" w:type="pct"/>
                  <w:shd w:val="clear" w:color="auto" w:fill="auto"/>
                  <w:noWrap/>
                  <w:vAlign w:val="center"/>
                </w:tcPr>
                <w:p>
                  <w:pPr>
                    <w:pStyle w:val="54"/>
                    <w:spacing w:line="240" w:lineRule="auto"/>
                    <w:ind w:firstLine="0" w:firstLineChars="0"/>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restart"/>
                  <w:shd w:val="clear" w:color="auto" w:fill="auto"/>
                  <w:noWrap/>
                  <w:vAlign w:val="center"/>
                </w:tcPr>
                <w:p>
                  <w:pPr>
                    <w:pStyle w:val="54"/>
                    <w:spacing w:line="240" w:lineRule="auto"/>
                    <w:ind w:firstLine="0" w:firstLineChars="0"/>
                    <w:rPr>
                      <w:sz w:val="21"/>
                      <w:szCs w:val="21"/>
                    </w:rPr>
                  </w:pPr>
                  <w:r>
                    <w:rPr>
                      <w:sz w:val="21"/>
                      <w:szCs w:val="21"/>
                    </w:rPr>
                    <w:t>《病原微生物实验室生物安全通用准则》（WS 233-2017）对二级实验室设的基本要求</w:t>
                  </w:r>
                </w:p>
              </w:tc>
              <w:tc>
                <w:tcPr>
                  <w:tcW w:w="1640" w:type="pct"/>
                  <w:shd w:val="clear" w:color="auto" w:fill="auto"/>
                  <w:noWrap/>
                  <w:vAlign w:val="center"/>
                </w:tcPr>
                <w:p>
                  <w:pPr>
                    <w:pStyle w:val="54"/>
                    <w:spacing w:line="240" w:lineRule="auto"/>
                    <w:ind w:firstLine="0" w:firstLineChars="0"/>
                    <w:rPr>
                      <w:sz w:val="21"/>
                      <w:szCs w:val="21"/>
                    </w:rPr>
                  </w:pPr>
                  <w:r>
                    <w:rPr>
                      <w:sz w:val="21"/>
                      <w:szCs w:val="21"/>
                    </w:rPr>
                    <w:t>应为实验室仪器设备的安装、清洁和维护、安全运行提供足够的空间。</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本项目可保证实验室仪器设备的安装、清洁和维护、安全运行具有足够的空间。</w:t>
                  </w:r>
                </w:p>
              </w:tc>
              <w:tc>
                <w:tcPr>
                  <w:tcW w:w="310" w:type="pct"/>
                  <w:vMerge w:val="restart"/>
                  <w:shd w:val="clear" w:color="auto" w:fill="auto"/>
                  <w:noWrap/>
                  <w:vAlign w:val="center"/>
                </w:tcPr>
                <w:p>
                  <w:pPr>
                    <w:pStyle w:val="54"/>
                    <w:spacing w:line="240" w:lineRule="auto"/>
                    <w:ind w:firstLine="0" w:firstLineChars="0"/>
                    <w:rPr>
                      <w:sz w:val="21"/>
                      <w:szCs w:val="21"/>
                    </w:rPr>
                  </w:pPr>
                  <w:r>
                    <w:rPr>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实验室应有足够的空间和台柜等摆放实验室设备和物品。</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本项目实验室内设有边台，有足够的空间和台柜等摆放实验室设备和物品。</w:t>
                  </w:r>
                </w:p>
              </w:tc>
              <w:tc>
                <w:tcPr>
                  <w:tcW w:w="310" w:type="pct"/>
                  <w:vMerge w:val="continue"/>
                  <w:shd w:val="clear" w:color="auto" w:fill="auto"/>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在实验室的工作区外应当有存放外衣和私人物品的设施，应将个人服装与实验室工作服分开放置。</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本项目实验室工作区外设有更衣间，可存放外衣和私人物品，个人服装与实验室工作服分开放置。</w:t>
                  </w:r>
                </w:p>
              </w:tc>
              <w:tc>
                <w:tcPr>
                  <w:tcW w:w="310" w:type="pct"/>
                  <w:vMerge w:val="continue"/>
                  <w:shd w:val="clear" w:color="auto" w:fill="auto"/>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进食、饮水和休息的场所应设在实验室的工作区外。</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本项目行政办公区设在实验室的工作区外，保证员工进食、饮水和休息的场所在实验室的工作区外。</w:t>
                  </w:r>
                </w:p>
              </w:tc>
              <w:tc>
                <w:tcPr>
                  <w:tcW w:w="310" w:type="pct"/>
                  <w:vMerge w:val="continue"/>
                  <w:shd w:val="clear" w:color="auto" w:fill="auto"/>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实验室墙壁、顶板和地板应当光滑、易清洁、防渗漏并耐化学品和消毒剂的腐蚀。地面应防滑，不得在实验室内铺设地毯。</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本项目实验室围护结构内表面于清洁。地面防滑、无缝隙，不铺设地毯。</w:t>
                  </w:r>
                </w:p>
              </w:tc>
              <w:tc>
                <w:tcPr>
                  <w:tcW w:w="310" w:type="pct"/>
                  <w:vMerge w:val="continue"/>
                  <w:shd w:val="clear" w:color="auto" w:fill="auto"/>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实验室台(桌)柜和座椅等应稳固和坚固，边角应圆滑。实验台面应防水，并能耐受中等程度的热、有机溶剂、酸碱、消毒剂及其他化学剂。</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本项目实验室台柜和座椅等稳固和坚固，边角应圆滑。实验台面防水，并能耐受中等程度的热、有机溶剂、酸碱、消毒剂及其他化学剂。</w:t>
                  </w:r>
                </w:p>
              </w:tc>
              <w:tc>
                <w:tcPr>
                  <w:tcW w:w="310" w:type="pct"/>
                  <w:vMerge w:val="continue"/>
                  <w:shd w:val="clear" w:color="auto" w:fill="auto"/>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应根据工作性质和流程合理摆放实验室设备、台柜、物品等，避免相互干扰、交叉污染，并应不妨碍逃生和急救。台(桌)柜和设备之间应有足够的间距，以便于清洁。</w:t>
                  </w:r>
                </w:p>
              </w:tc>
              <w:tc>
                <w:tcPr>
                  <w:tcW w:w="2078" w:type="pct"/>
                  <w:shd w:val="clear" w:color="auto" w:fill="auto"/>
                  <w:noWrap/>
                  <w:vAlign w:val="center"/>
                </w:tcPr>
                <w:p>
                  <w:pPr>
                    <w:pStyle w:val="54"/>
                    <w:spacing w:line="240" w:lineRule="auto"/>
                    <w:ind w:firstLine="0" w:firstLineChars="0"/>
                    <w:rPr>
                      <w:sz w:val="21"/>
                      <w:szCs w:val="21"/>
                    </w:rPr>
                  </w:pPr>
                  <w:r>
                    <w:rPr>
                      <w:color w:val="auto"/>
                      <w:sz w:val="21"/>
                      <w:szCs w:val="21"/>
                    </w:rPr>
                    <w:t>本项目实验区设有PCR实验室（剂准备区、样品制备区、基因扩增区），台柜和设备之间保证足够的间距，以便于清洁。</w:t>
                  </w:r>
                </w:p>
              </w:tc>
              <w:tc>
                <w:tcPr>
                  <w:tcW w:w="310" w:type="pct"/>
                  <w:vMerge w:val="continue"/>
                  <w:shd w:val="clear" w:color="auto" w:fill="auto"/>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实验室应设洗手池，水龙头开关宜为非手动式，宜设置在靠近出口处。</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本项目实验区设洗手池，水龙头开关为非手动式，并设置在靠近出口处。</w:t>
                  </w:r>
                </w:p>
              </w:tc>
              <w:tc>
                <w:tcPr>
                  <w:tcW w:w="310" w:type="pct"/>
                  <w:vMerge w:val="continue"/>
                  <w:shd w:val="clear" w:color="auto" w:fill="auto"/>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实验室的门应有可视窗并可锁闭，并达到适当的防火等级，门锁及门的开启方向应不妨碍室内人员逃生。</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本项目实验室的门设有可视窗并可锁闭，并达到适当的防火等级，耐火等级为二级，门锁及门的开启方向不妨碍室内人员逃生。</w:t>
                  </w:r>
                </w:p>
              </w:tc>
              <w:tc>
                <w:tcPr>
                  <w:tcW w:w="310" w:type="pct"/>
                  <w:vMerge w:val="continue"/>
                  <w:shd w:val="clear" w:color="auto" w:fill="auto"/>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实验室可以利用自然通风，开启窗户应安装防蚊虫的纱窗。如果采用机械通风，应避免气流流向导致的污染和避免污染气流在实验室之间或与其他区域之间串通而造成交叉污染。</w:t>
                  </w:r>
                </w:p>
              </w:tc>
              <w:tc>
                <w:tcPr>
                  <w:tcW w:w="2078" w:type="pct"/>
                  <w:shd w:val="clear" w:color="auto" w:fill="auto"/>
                  <w:noWrap/>
                  <w:vAlign w:val="center"/>
                </w:tcPr>
                <w:p>
                  <w:pPr>
                    <w:pStyle w:val="54"/>
                    <w:spacing w:line="240" w:lineRule="auto"/>
                    <w:ind w:firstLine="0" w:firstLineChars="0"/>
                    <w:rPr>
                      <w:sz w:val="21"/>
                      <w:szCs w:val="21"/>
                    </w:rPr>
                  </w:pPr>
                  <w:r>
                    <w:rPr>
                      <w:color w:val="auto"/>
                      <w:sz w:val="21"/>
                      <w:szCs w:val="21"/>
                    </w:rPr>
                    <w:t>实验室及所有生物安全柜均为负压设计，安装微压差传感器，送风设置定风量送风妥思阀，排风设置电动调节阀，通过PLC闭环控制来保证室内负压强梯度，含病原微生物废气极少外泄。此外实验室内部还设置有紫外线消毒装置，通过紫外线切断病原微生物的传播途径，确保实验室排出的气体对环境的安全。</w:t>
                  </w:r>
                </w:p>
              </w:tc>
              <w:tc>
                <w:tcPr>
                  <w:tcW w:w="310" w:type="pct"/>
                  <w:vMerge w:val="continue"/>
                  <w:shd w:val="clear" w:color="auto" w:fill="auto"/>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应满足实验室所需用水。</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本项目用水由市政给水管网供给，可满足实验室所需用水</w:t>
                  </w:r>
                </w:p>
              </w:tc>
              <w:tc>
                <w:tcPr>
                  <w:tcW w:w="310" w:type="pct"/>
                  <w:vMerge w:val="continue"/>
                  <w:shd w:val="clear" w:color="auto" w:fill="auto"/>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给水管道应设置倒流防止器或其他有效的防止回流污染的装置;给排水系统应不渗漏，下水应有防回流设计。</w:t>
                  </w:r>
                </w:p>
              </w:tc>
              <w:tc>
                <w:tcPr>
                  <w:tcW w:w="2078" w:type="pct"/>
                  <w:shd w:val="clear" w:color="auto" w:fill="auto"/>
                  <w:noWrap/>
                  <w:vAlign w:val="center"/>
                </w:tcPr>
                <w:p>
                  <w:pPr>
                    <w:pStyle w:val="54"/>
                    <w:spacing w:line="240" w:lineRule="auto"/>
                    <w:ind w:firstLine="0" w:firstLineChars="0"/>
                    <w:rPr>
                      <w:sz w:val="21"/>
                      <w:szCs w:val="21"/>
                    </w:rPr>
                  </w:pPr>
                  <w:r>
                    <w:rPr>
                      <w:rFonts w:hint="eastAsia"/>
                      <w:sz w:val="21"/>
                      <w:szCs w:val="21"/>
                    </w:rPr>
                    <w:t>本项目</w:t>
                  </w:r>
                  <w:r>
                    <w:rPr>
                      <w:sz w:val="21"/>
                      <w:szCs w:val="21"/>
                    </w:rPr>
                    <w:t>给水管道设置倒流防止器，下水应有防回流设计。</w:t>
                  </w:r>
                </w:p>
              </w:tc>
              <w:tc>
                <w:tcPr>
                  <w:tcW w:w="310" w:type="pct"/>
                  <w:vMerge w:val="continue"/>
                  <w:shd w:val="clear" w:color="auto" w:fill="auto"/>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应配备适用的应急器材，如消防器材、意外事故处理器材、急救器材等。</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本项目运营期应配备适用的应急器材，如消防器材、意外事故处理器材、急救器材等。</w:t>
                  </w:r>
                </w:p>
              </w:tc>
              <w:tc>
                <w:tcPr>
                  <w:tcW w:w="310" w:type="pct"/>
                  <w:vMerge w:val="continue"/>
                  <w:shd w:val="clear" w:color="auto" w:fill="auto"/>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必要时，可配备适当的消毒、灭菌设备。</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本项目实验室配备消毒、灭菌设备。</w:t>
                  </w:r>
                </w:p>
              </w:tc>
              <w:tc>
                <w:tcPr>
                  <w:tcW w:w="310" w:type="pct"/>
                  <w:vMerge w:val="continue"/>
                  <w:shd w:val="clear" w:color="auto" w:fill="auto"/>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实验室主入口的门、放置生物安全柜实验间的门应可自动关闭;实验室主入口的门应有进入控制措施。</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本项目实验室主入口的门、放置生物安全柜实验间的门可自动关闭；实验室主入口的门有进入控制措施。</w:t>
                  </w:r>
                </w:p>
              </w:tc>
              <w:tc>
                <w:tcPr>
                  <w:tcW w:w="310" w:type="pct"/>
                  <w:vMerge w:val="continue"/>
                  <w:shd w:val="clear" w:color="auto" w:fill="auto"/>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实验室工作区域外应有存放备用物品的条件。</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本项目实验区外设有更衣间和准备间，有存放备用物品的条件。</w:t>
                  </w:r>
                </w:p>
              </w:tc>
              <w:tc>
                <w:tcPr>
                  <w:tcW w:w="310" w:type="pct"/>
                  <w:vMerge w:val="continue"/>
                  <w:shd w:val="clear" w:color="auto" w:fill="auto"/>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应在实验室或其所在的建筑内配备压力蒸汽灭菌器或其他适当的消毒、灭菌设备，所配备的消毒、灭菌设备应以风险评估为依据。</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本项目实验室配电高压蒸汽灭菌器，对有感染性的器具先进行灭菌消毒，后进行洗刷。</w:t>
                  </w:r>
                </w:p>
              </w:tc>
              <w:tc>
                <w:tcPr>
                  <w:tcW w:w="310" w:type="pct"/>
                  <w:vMerge w:val="continue"/>
                  <w:shd w:val="clear" w:color="auto" w:fill="auto"/>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应在实验室工作区配备洗眼装置，必要时，应在每个工作间配备洗眼装置。</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本项目在实验室工作区配备洗眼装置。</w:t>
                  </w:r>
                </w:p>
              </w:tc>
              <w:tc>
                <w:tcPr>
                  <w:tcW w:w="310" w:type="pct"/>
                  <w:vMerge w:val="continue"/>
                  <w:shd w:val="clear" w:color="auto" w:fill="auto"/>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应在操作病原微生物及样本的实验区内配备二级生物安全柜。</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本项目在操作病原微生物及样本的实验区内配备二级生物安全柜。</w:t>
                  </w:r>
                </w:p>
              </w:tc>
              <w:tc>
                <w:tcPr>
                  <w:tcW w:w="310" w:type="pct"/>
                  <w:vMerge w:val="continue"/>
                  <w:shd w:val="clear" w:color="auto" w:fill="auto"/>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应按产品的设计、使用说明书的要求安装和使用生物安全柜。</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本项目按产品的设计、使用说明书的要求安装和使用生物安全柜。</w:t>
                  </w:r>
                </w:p>
              </w:tc>
              <w:tc>
                <w:tcPr>
                  <w:tcW w:w="310" w:type="pct"/>
                  <w:vMerge w:val="continue"/>
                  <w:shd w:val="clear" w:color="auto" w:fill="auto"/>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如果使用管道排风的生物安全柜，应通过独立于建筑物其他公共通风系统的管道排出。</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本项目生物安全柜排风通过独立于建筑物其他公共通风系统的管道排出。</w:t>
                  </w:r>
                </w:p>
              </w:tc>
              <w:tc>
                <w:tcPr>
                  <w:tcW w:w="310" w:type="pct"/>
                  <w:vMerge w:val="continue"/>
                  <w:shd w:val="clear" w:color="auto" w:fill="auto"/>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pStyle w:val="54"/>
                    <w:spacing w:line="240" w:lineRule="auto"/>
                    <w:ind w:firstLine="0" w:firstLineChars="0"/>
                    <w:rPr>
                      <w:sz w:val="21"/>
                      <w:szCs w:val="21"/>
                    </w:rPr>
                  </w:pPr>
                  <w:r>
                    <w:rPr>
                      <w:sz w:val="21"/>
                      <w:szCs w:val="21"/>
                    </w:rPr>
                    <w:t>实验室入口应有生物危害标识，出口应有逃生发光指示标识。</w:t>
                  </w:r>
                </w:p>
              </w:tc>
              <w:tc>
                <w:tcPr>
                  <w:tcW w:w="2078" w:type="pct"/>
                  <w:shd w:val="clear" w:color="auto" w:fill="auto"/>
                  <w:noWrap/>
                  <w:vAlign w:val="center"/>
                </w:tcPr>
                <w:p>
                  <w:pPr>
                    <w:pStyle w:val="54"/>
                    <w:spacing w:line="240" w:lineRule="auto"/>
                    <w:ind w:firstLine="0" w:firstLineChars="0"/>
                    <w:rPr>
                      <w:sz w:val="21"/>
                      <w:szCs w:val="21"/>
                    </w:rPr>
                  </w:pPr>
                  <w:r>
                    <w:rPr>
                      <w:sz w:val="21"/>
                      <w:szCs w:val="21"/>
                    </w:rPr>
                    <w:t>本项目实验室入口设有生物危害标识，出口设有逃生发光指示标识。</w:t>
                  </w:r>
                </w:p>
              </w:tc>
              <w:tc>
                <w:tcPr>
                  <w:tcW w:w="310" w:type="pct"/>
                  <w:vMerge w:val="continue"/>
                  <w:shd w:val="clear" w:color="auto" w:fill="auto"/>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restart"/>
                  <w:shd w:val="clear" w:color="auto" w:fill="auto"/>
                  <w:noWrap/>
                  <w:vAlign w:val="center"/>
                </w:tcPr>
                <w:p>
                  <w:pPr>
                    <w:jc w:val="center"/>
                    <w:rPr>
                      <w:szCs w:val="21"/>
                    </w:rPr>
                  </w:pPr>
                  <w:r>
                    <w:rPr>
                      <w:snapToGrid w:val="0"/>
                      <w:kern w:val="0"/>
                      <w:szCs w:val="21"/>
                    </w:rPr>
                    <w:t>《微生物和生物医学实验室生物安全通用准则》对二级实验室的基本要求</w:t>
                  </w:r>
                </w:p>
              </w:tc>
              <w:tc>
                <w:tcPr>
                  <w:tcW w:w="1640" w:type="pct"/>
                  <w:shd w:val="clear" w:color="auto" w:fill="auto"/>
                  <w:noWrap/>
                  <w:vAlign w:val="center"/>
                </w:tcPr>
                <w:p>
                  <w:pPr>
                    <w:jc w:val="center"/>
                    <w:rPr>
                      <w:snapToGrid w:val="0"/>
                      <w:kern w:val="0"/>
                      <w:szCs w:val="21"/>
                    </w:rPr>
                  </w:pPr>
                  <w:r>
                    <w:rPr>
                      <w:snapToGrid w:val="0"/>
                      <w:kern w:val="0"/>
                      <w:szCs w:val="21"/>
                    </w:rPr>
                    <w:t>可能产生致病微生物气溶胶或出现溅出的操作均应在生物安全柜（Ⅱ级生物安全柜为宜）或其他物理抑制设备中进行，并使用个体防护设备</w:t>
                  </w:r>
                </w:p>
              </w:tc>
              <w:tc>
                <w:tcPr>
                  <w:tcW w:w="2078" w:type="pct"/>
                  <w:shd w:val="clear" w:color="auto" w:fill="auto"/>
                  <w:noWrap/>
                  <w:vAlign w:val="center"/>
                </w:tcPr>
                <w:p>
                  <w:pPr>
                    <w:jc w:val="center"/>
                    <w:rPr>
                      <w:snapToGrid w:val="0"/>
                      <w:kern w:val="0"/>
                      <w:szCs w:val="21"/>
                    </w:rPr>
                  </w:pPr>
                  <w:r>
                    <w:rPr>
                      <w:snapToGrid w:val="0"/>
                      <w:kern w:val="0"/>
                      <w:szCs w:val="21"/>
                    </w:rPr>
                    <w:t>生物实验按要求在生物安全柜内进行，并使用个体防护设备</w:t>
                  </w:r>
                  <w:r>
                    <w:rPr>
                      <w:rFonts w:hint="eastAsia"/>
                      <w:snapToGrid w:val="0"/>
                      <w:kern w:val="0"/>
                      <w:szCs w:val="21"/>
                    </w:rPr>
                    <w:t>。</w:t>
                  </w:r>
                </w:p>
              </w:tc>
              <w:tc>
                <w:tcPr>
                  <w:tcW w:w="310" w:type="pct"/>
                  <w:shd w:val="clear" w:color="auto" w:fill="auto"/>
                  <w:noWrap/>
                  <w:vAlign w:val="center"/>
                </w:tcPr>
                <w:p>
                  <w:pPr>
                    <w:pStyle w:val="54"/>
                    <w:spacing w:line="240" w:lineRule="auto"/>
                    <w:ind w:firstLine="0" w:firstLineChars="0"/>
                    <w:rPr>
                      <w:sz w:val="21"/>
                      <w:szCs w:val="21"/>
                    </w:rPr>
                  </w:pPr>
                  <w:r>
                    <w:rPr>
                      <w:snapToGrid w:val="0"/>
                      <w:kern w:val="0"/>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jc w:val="center"/>
                    <w:rPr>
                      <w:snapToGrid w:val="0"/>
                      <w:kern w:val="0"/>
                      <w:szCs w:val="21"/>
                    </w:rPr>
                  </w:pPr>
                  <w:r>
                    <w:rPr>
                      <w:snapToGrid w:val="0"/>
                      <w:kern w:val="0"/>
                      <w:szCs w:val="21"/>
                    </w:rPr>
                    <w:t>在实验室中应穿着工作服或罩衫等防护服。离开实验室时，防护服必须脱下并留在实验室内。不得穿着外出，更不能携带回家。用过的工作服应现在实验室中消毒，然后统一洗涤或丢弃。</w:t>
                  </w:r>
                </w:p>
              </w:tc>
              <w:tc>
                <w:tcPr>
                  <w:tcW w:w="2078" w:type="pct"/>
                  <w:shd w:val="clear" w:color="auto" w:fill="auto"/>
                  <w:noWrap/>
                  <w:vAlign w:val="center"/>
                </w:tcPr>
                <w:p>
                  <w:pPr>
                    <w:jc w:val="center"/>
                    <w:rPr>
                      <w:snapToGrid w:val="0"/>
                      <w:kern w:val="0"/>
                      <w:szCs w:val="21"/>
                    </w:rPr>
                  </w:pPr>
                  <w:r>
                    <w:rPr>
                      <w:snapToGrid w:val="0"/>
                      <w:kern w:val="0"/>
                      <w:szCs w:val="21"/>
                    </w:rPr>
                    <w:t>本项目在实验室中穿着工作服等防护服。离开实验室时，防护服必须脱下并留在实验室内。不得穿着外出，更不能携带回家。用过的工作服在实验室中消毒，然后统一洗涤或丢弃。</w:t>
                  </w:r>
                </w:p>
              </w:tc>
              <w:tc>
                <w:tcPr>
                  <w:tcW w:w="310" w:type="pct"/>
                  <w:shd w:val="clear" w:color="auto" w:fill="auto"/>
                  <w:noWrap/>
                  <w:vAlign w:val="center"/>
                </w:tcPr>
                <w:p>
                  <w:pPr>
                    <w:pStyle w:val="54"/>
                    <w:spacing w:line="240" w:lineRule="auto"/>
                    <w:ind w:firstLine="0" w:firstLineChars="0"/>
                    <w:rPr>
                      <w:sz w:val="21"/>
                      <w:szCs w:val="21"/>
                    </w:rPr>
                  </w:pPr>
                  <w:r>
                    <w:rPr>
                      <w:snapToGrid w:val="0"/>
                      <w:kern w:val="0"/>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jc w:val="center"/>
                    <w:rPr>
                      <w:snapToGrid w:val="0"/>
                      <w:kern w:val="0"/>
                      <w:szCs w:val="21"/>
                    </w:rPr>
                  </w:pPr>
                  <w:r>
                    <w:rPr>
                      <w:snapToGrid w:val="0"/>
                      <w:kern w:val="0"/>
                      <w:szCs w:val="21"/>
                    </w:rPr>
                    <w:t>采用机械通风系统，送风口和排风口应采取防雨、防风、防 杂物、防昆虫及其他动物的措施，送风口远离污染源和排放 风口。排风系统应使用高效空气过滤器</w:t>
                  </w:r>
                </w:p>
              </w:tc>
              <w:tc>
                <w:tcPr>
                  <w:tcW w:w="2078" w:type="pct"/>
                  <w:shd w:val="clear" w:color="auto" w:fill="auto"/>
                  <w:noWrap/>
                  <w:vAlign w:val="center"/>
                </w:tcPr>
                <w:p>
                  <w:pPr>
                    <w:jc w:val="center"/>
                    <w:rPr>
                      <w:snapToGrid w:val="0"/>
                      <w:kern w:val="0"/>
                      <w:szCs w:val="21"/>
                    </w:rPr>
                  </w:pPr>
                  <w:r>
                    <w:rPr>
                      <w:snapToGrid w:val="0"/>
                      <w:kern w:val="0"/>
                      <w:szCs w:val="21"/>
                    </w:rPr>
                    <w:t>项目采用机械通风，送排风封口采取了防雨、防雨、防风、防杂物、防昆虫及其他动物的措施，送风口远离污染源和排放风口。送风系统和排风系统均配有高效空气过滤器</w:t>
                  </w:r>
                  <w:r>
                    <w:rPr>
                      <w:rFonts w:hint="eastAsia"/>
                      <w:snapToGrid w:val="0"/>
                      <w:kern w:val="0"/>
                      <w:szCs w:val="21"/>
                    </w:rPr>
                    <w:t>。</w:t>
                  </w:r>
                </w:p>
              </w:tc>
              <w:tc>
                <w:tcPr>
                  <w:tcW w:w="310" w:type="pct"/>
                  <w:shd w:val="clear" w:color="auto" w:fill="auto"/>
                  <w:noWrap/>
                  <w:vAlign w:val="center"/>
                </w:tcPr>
                <w:p>
                  <w:pPr>
                    <w:pStyle w:val="54"/>
                    <w:spacing w:line="240" w:lineRule="auto"/>
                    <w:ind w:firstLine="0" w:firstLineChars="0"/>
                    <w:rPr>
                      <w:snapToGrid w:val="0"/>
                      <w:kern w:val="0"/>
                      <w:sz w:val="21"/>
                      <w:szCs w:val="21"/>
                    </w:rPr>
                  </w:pPr>
                  <w:r>
                    <w:rPr>
                      <w:snapToGrid w:val="0"/>
                      <w:kern w:val="0"/>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jc w:val="center"/>
                    <w:rPr>
                      <w:snapToGrid w:val="0"/>
                      <w:kern w:val="0"/>
                      <w:szCs w:val="21"/>
                    </w:rPr>
                  </w:pPr>
                  <w:r>
                    <w:rPr>
                      <w:snapToGrid w:val="0"/>
                      <w:kern w:val="0"/>
                      <w:szCs w:val="21"/>
                    </w:rPr>
                    <w:t>应设置实施各种消毒方法的设施，如高压灭菌锅、化学消毒装置等对废弃物进行处理</w:t>
                  </w:r>
                  <w:r>
                    <w:rPr>
                      <w:rFonts w:hint="eastAsia"/>
                      <w:snapToGrid w:val="0"/>
                      <w:kern w:val="0"/>
                      <w:szCs w:val="21"/>
                    </w:rPr>
                    <w:t>。</w:t>
                  </w:r>
                </w:p>
              </w:tc>
              <w:tc>
                <w:tcPr>
                  <w:tcW w:w="2078" w:type="pct"/>
                  <w:shd w:val="clear" w:color="auto" w:fill="auto"/>
                  <w:noWrap/>
                  <w:vAlign w:val="center"/>
                </w:tcPr>
                <w:p>
                  <w:pPr>
                    <w:jc w:val="center"/>
                    <w:rPr>
                      <w:snapToGrid w:val="0"/>
                      <w:kern w:val="0"/>
                      <w:szCs w:val="21"/>
                    </w:rPr>
                  </w:pPr>
                  <w:r>
                    <w:rPr>
                      <w:snapToGrid w:val="0"/>
                      <w:kern w:val="0"/>
                      <w:szCs w:val="21"/>
                    </w:rPr>
                    <w:t>本项目设有立式压力蒸汽灭菌器对废弃物进行处理。</w:t>
                  </w:r>
                </w:p>
              </w:tc>
              <w:tc>
                <w:tcPr>
                  <w:tcW w:w="310" w:type="pct"/>
                  <w:shd w:val="clear" w:color="auto" w:fill="auto"/>
                  <w:noWrap/>
                  <w:vAlign w:val="center"/>
                </w:tcPr>
                <w:p>
                  <w:pPr>
                    <w:pStyle w:val="54"/>
                    <w:spacing w:line="240" w:lineRule="auto"/>
                    <w:ind w:firstLine="0" w:firstLineChars="0"/>
                    <w:rPr>
                      <w:sz w:val="21"/>
                      <w:szCs w:val="21"/>
                    </w:rPr>
                  </w:pPr>
                  <w:r>
                    <w:rPr>
                      <w:snapToGrid w:val="0"/>
                      <w:kern w:val="0"/>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jc w:val="center"/>
                    <w:rPr>
                      <w:snapToGrid w:val="0"/>
                      <w:kern w:val="0"/>
                      <w:szCs w:val="21"/>
                    </w:rPr>
                  </w:pPr>
                  <w:r>
                    <w:rPr>
                      <w:snapToGrid w:val="0"/>
                      <w:kern w:val="0"/>
                      <w:szCs w:val="21"/>
                    </w:rPr>
                    <w:t>应设置洗眼装置</w:t>
                  </w:r>
                  <w:r>
                    <w:rPr>
                      <w:rFonts w:hint="eastAsia"/>
                      <w:snapToGrid w:val="0"/>
                      <w:kern w:val="0"/>
                      <w:szCs w:val="21"/>
                    </w:rPr>
                    <w:t>。</w:t>
                  </w:r>
                </w:p>
              </w:tc>
              <w:tc>
                <w:tcPr>
                  <w:tcW w:w="2078" w:type="pct"/>
                  <w:shd w:val="clear" w:color="auto" w:fill="auto"/>
                  <w:noWrap/>
                  <w:vAlign w:val="center"/>
                </w:tcPr>
                <w:p>
                  <w:pPr>
                    <w:jc w:val="center"/>
                    <w:rPr>
                      <w:snapToGrid w:val="0"/>
                      <w:kern w:val="0"/>
                      <w:szCs w:val="21"/>
                    </w:rPr>
                  </w:pPr>
                  <w:r>
                    <w:rPr>
                      <w:snapToGrid w:val="0"/>
                      <w:kern w:val="0"/>
                      <w:szCs w:val="21"/>
                    </w:rPr>
                    <w:t>本项目设置洗眼装置。</w:t>
                  </w:r>
                </w:p>
              </w:tc>
              <w:tc>
                <w:tcPr>
                  <w:tcW w:w="310" w:type="pct"/>
                  <w:shd w:val="clear" w:color="auto" w:fill="auto"/>
                  <w:noWrap/>
                  <w:vAlign w:val="center"/>
                </w:tcPr>
                <w:p>
                  <w:pPr>
                    <w:pStyle w:val="54"/>
                    <w:spacing w:line="240" w:lineRule="auto"/>
                    <w:ind w:firstLine="0" w:firstLineChars="0"/>
                    <w:rPr>
                      <w:sz w:val="21"/>
                      <w:szCs w:val="21"/>
                    </w:rPr>
                  </w:pPr>
                  <w:r>
                    <w:rPr>
                      <w:snapToGrid w:val="0"/>
                      <w:kern w:val="0"/>
                      <w:sz w:val="21"/>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jc w:val="center"/>
                    <w:rPr>
                      <w:snapToGrid w:val="0"/>
                      <w:kern w:val="0"/>
                      <w:szCs w:val="21"/>
                    </w:rPr>
                  </w:pPr>
                  <w:r>
                    <w:rPr>
                      <w:snapToGrid w:val="0"/>
                      <w:kern w:val="0"/>
                      <w:szCs w:val="21"/>
                    </w:rPr>
                    <w:t>实验室出口应有发光指示标志</w:t>
                  </w:r>
                  <w:r>
                    <w:rPr>
                      <w:rFonts w:hint="eastAsia"/>
                      <w:snapToGrid w:val="0"/>
                      <w:kern w:val="0"/>
                      <w:szCs w:val="21"/>
                    </w:rPr>
                    <w:t>。</w:t>
                  </w:r>
                </w:p>
              </w:tc>
              <w:tc>
                <w:tcPr>
                  <w:tcW w:w="2078" w:type="pct"/>
                  <w:shd w:val="clear" w:color="auto" w:fill="auto"/>
                  <w:noWrap/>
                  <w:vAlign w:val="center"/>
                </w:tcPr>
                <w:p>
                  <w:pPr>
                    <w:jc w:val="center"/>
                    <w:rPr>
                      <w:snapToGrid w:val="0"/>
                      <w:kern w:val="0"/>
                      <w:szCs w:val="21"/>
                    </w:rPr>
                  </w:pPr>
                  <w:r>
                    <w:rPr>
                      <w:snapToGrid w:val="0"/>
                      <w:kern w:val="0"/>
                      <w:szCs w:val="21"/>
                    </w:rPr>
                    <w:t>实验室出口设有发光指示标志。</w:t>
                  </w:r>
                </w:p>
              </w:tc>
              <w:tc>
                <w:tcPr>
                  <w:tcW w:w="310" w:type="pct"/>
                  <w:shd w:val="clear" w:color="auto" w:fill="auto"/>
                  <w:noWrap/>
                  <w:vAlign w:val="center"/>
                </w:tcPr>
                <w:p>
                  <w:pPr>
                    <w:jc w:val="center"/>
                    <w:rPr>
                      <w:snapToGrid w:val="0"/>
                      <w:kern w:val="0"/>
                      <w:szCs w:val="21"/>
                    </w:rPr>
                  </w:pPr>
                  <w:r>
                    <w:rPr>
                      <w:snapToGrid w:val="0"/>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jc w:val="center"/>
                    <w:rPr>
                      <w:snapToGrid w:val="0"/>
                      <w:kern w:val="0"/>
                      <w:szCs w:val="21"/>
                    </w:rPr>
                  </w:pPr>
                  <w:r>
                    <w:rPr>
                      <w:snapToGrid w:val="0"/>
                      <w:kern w:val="0"/>
                      <w:szCs w:val="21"/>
                    </w:rPr>
                    <w:t>实验室宜有不少于每小时3~4次的通风换气次数</w:t>
                  </w:r>
                  <w:r>
                    <w:rPr>
                      <w:rFonts w:hint="eastAsia"/>
                      <w:snapToGrid w:val="0"/>
                      <w:kern w:val="0"/>
                      <w:szCs w:val="21"/>
                    </w:rPr>
                    <w:t>。</w:t>
                  </w:r>
                </w:p>
              </w:tc>
              <w:tc>
                <w:tcPr>
                  <w:tcW w:w="2078" w:type="pct"/>
                  <w:shd w:val="clear" w:color="auto" w:fill="auto"/>
                  <w:noWrap/>
                  <w:vAlign w:val="center"/>
                </w:tcPr>
                <w:p>
                  <w:pPr>
                    <w:jc w:val="center"/>
                    <w:rPr>
                      <w:snapToGrid w:val="0"/>
                      <w:kern w:val="0"/>
                      <w:szCs w:val="21"/>
                    </w:rPr>
                  </w:pPr>
                  <w:r>
                    <w:rPr>
                      <w:snapToGrid w:val="0"/>
                      <w:kern w:val="0"/>
                      <w:szCs w:val="21"/>
                    </w:rPr>
                    <w:t>实验室设有不少于每小时3~4次的通风换气次数。</w:t>
                  </w:r>
                </w:p>
              </w:tc>
              <w:tc>
                <w:tcPr>
                  <w:tcW w:w="310" w:type="pct"/>
                  <w:shd w:val="clear" w:color="auto" w:fill="auto"/>
                  <w:noWrap/>
                  <w:vAlign w:val="center"/>
                </w:tcPr>
                <w:p>
                  <w:pPr>
                    <w:jc w:val="center"/>
                    <w:rPr>
                      <w:snapToGrid w:val="0"/>
                      <w:kern w:val="0"/>
                      <w:szCs w:val="21"/>
                    </w:rPr>
                  </w:pPr>
                  <w:r>
                    <w:rPr>
                      <w:snapToGrid w:val="0"/>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restart"/>
                  <w:shd w:val="clear" w:color="auto" w:fill="auto"/>
                  <w:noWrap/>
                  <w:vAlign w:val="center"/>
                </w:tcPr>
                <w:p>
                  <w:pPr>
                    <w:pStyle w:val="54"/>
                    <w:spacing w:line="240" w:lineRule="auto"/>
                    <w:ind w:firstLine="0" w:firstLineChars="0"/>
                    <w:rPr>
                      <w:sz w:val="21"/>
                      <w:szCs w:val="21"/>
                    </w:rPr>
                  </w:pPr>
                  <w:r>
                    <w:rPr>
                      <w:sz w:val="21"/>
                      <w:szCs w:val="21"/>
                    </w:rPr>
                    <w:t>《医疗机构临床基因扩增检验实验室工作导则》</w:t>
                  </w:r>
                </w:p>
              </w:tc>
              <w:tc>
                <w:tcPr>
                  <w:tcW w:w="1640" w:type="pct"/>
                  <w:shd w:val="clear" w:color="auto" w:fill="auto"/>
                  <w:noWrap/>
                  <w:vAlign w:val="center"/>
                </w:tcPr>
                <w:p>
                  <w:pPr>
                    <w:jc w:val="center"/>
                    <w:rPr>
                      <w:snapToGrid w:val="0"/>
                      <w:color w:val="auto"/>
                      <w:kern w:val="0"/>
                      <w:szCs w:val="21"/>
                    </w:rPr>
                  </w:pPr>
                  <w:r>
                    <w:rPr>
                      <w:snapToGrid w:val="0"/>
                      <w:color w:val="auto"/>
                      <w:kern w:val="0"/>
                      <w:szCs w:val="21"/>
                    </w:rPr>
                    <w:t>进入各工作区域应当严格按照单一方向进行，即试剂储存和准备区→标本制备区→扩增区→ 扩增产物分析区。</w:t>
                  </w:r>
                </w:p>
              </w:tc>
              <w:tc>
                <w:tcPr>
                  <w:tcW w:w="2078" w:type="pct"/>
                  <w:shd w:val="clear" w:color="auto" w:fill="auto"/>
                  <w:noWrap/>
                  <w:vAlign w:val="center"/>
                </w:tcPr>
                <w:p>
                  <w:pPr>
                    <w:jc w:val="center"/>
                    <w:rPr>
                      <w:rFonts w:hint="eastAsia" w:eastAsia="宋体"/>
                      <w:snapToGrid w:val="0"/>
                      <w:color w:val="auto"/>
                      <w:kern w:val="0"/>
                      <w:szCs w:val="21"/>
                      <w:lang w:eastAsia="zh-CN"/>
                    </w:rPr>
                  </w:pPr>
                  <w:r>
                    <w:rPr>
                      <w:snapToGrid w:val="0"/>
                      <w:color w:val="auto"/>
                      <w:kern w:val="0"/>
                      <w:szCs w:val="21"/>
                    </w:rPr>
                    <w:t>本项目PCR实验室进入各工作区域严格按照单一方向进行，即试剂准备区→标本制备区→扩增区</w:t>
                  </w:r>
                  <w:r>
                    <w:rPr>
                      <w:rFonts w:hint="eastAsia"/>
                      <w:snapToGrid w:val="0"/>
                      <w:color w:val="auto"/>
                      <w:kern w:val="0"/>
                      <w:szCs w:val="21"/>
                      <w:lang w:eastAsia="zh-CN"/>
                    </w:rPr>
                    <w:t>。</w:t>
                  </w:r>
                </w:p>
              </w:tc>
              <w:tc>
                <w:tcPr>
                  <w:tcW w:w="310" w:type="pct"/>
                  <w:shd w:val="clear" w:color="auto" w:fill="auto"/>
                  <w:noWrap/>
                  <w:vAlign w:val="center"/>
                </w:tcPr>
                <w:p>
                  <w:pPr>
                    <w:jc w:val="center"/>
                    <w:rPr>
                      <w:snapToGrid w:val="0"/>
                      <w:kern w:val="0"/>
                      <w:szCs w:val="21"/>
                    </w:rPr>
                  </w:pPr>
                  <w:r>
                    <w:rPr>
                      <w:snapToGrid w:val="0"/>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jc w:val="center"/>
                    <w:rPr>
                      <w:snapToGrid w:val="0"/>
                      <w:kern w:val="0"/>
                      <w:szCs w:val="21"/>
                    </w:rPr>
                  </w:pPr>
                  <w:r>
                    <w:rPr>
                      <w:snapToGrid w:val="0"/>
                      <w:kern w:val="0"/>
                      <w:szCs w:val="21"/>
                    </w:rPr>
                    <w:t>各工作区域必须有明确的标记，不同工作区域内的设备、物品不得混用。</w:t>
                  </w:r>
                </w:p>
              </w:tc>
              <w:tc>
                <w:tcPr>
                  <w:tcW w:w="2078" w:type="pct"/>
                  <w:shd w:val="clear" w:color="auto" w:fill="auto"/>
                  <w:noWrap/>
                  <w:vAlign w:val="center"/>
                </w:tcPr>
                <w:p>
                  <w:pPr>
                    <w:jc w:val="center"/>
                    <w:rPr>
                      <w:snapToGrid w:val="0"/>
                      <w:kern w:val="0"/>
                      <w:szCs w:val="21"/>
                    </w:rPr>
                  </w:pPr>
                  <w:r>
                    <w:rPr>
                      <w:snapToGrid w:val="0"/>
                      <w:kern w:val="0"/>
                      <w:szCs w:val="21"/>
                    </w:rPr>
                    <w:t>各工作区域有明确的标记，不同工作区域内的设备、物品不得混用。</w:t>
                  </w:r>
                </w:p>
              </w:tc>
              <w:tc>
                <w:tcPr>
                  <w:tcW w:w="310" w:type="pct"/>
                  <w:shd w:val="clear" w:color="auto" w:fill="auto"/>
                  <w:noWrap/>
                  <w:vAlign w:val="center"/>
                </w:tcPr>
                <w:p>
                  <w:pPr>
                    <w:jc w:val="center"/>
                    <w:rPr>
                      <w:snapToGrid w:val="0"/>
                      <w:kern w:val="0"/>
                      <w:szCs w:val="21"/>
                    </w:rPr>
                  </w:pPr>
                  <w:r>
                    <w:rPr>
                      <w:snapToGrid w:val="0"/>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jc w:val="center"/>
                    <w:rPr>
                      <w:snapToGrid w:val="0"/>
                      <w:kern w:val="0"/>
                      <w:szCs w:val="21"/>
                    </w:rPr>
                  </w:pPr>
                  <w:r>
                    <w:rPr>
                      <w:snapToGrid w:val="0"/>
                      <w:kern w:val="0"/>
                      <w:szCs w:val="21"/>
                    </w:rPr>
                    <w:t>不同的工作区域使用不同的工作服（例如不同的颜色）。工作人员离开各工作区域时，不得将工作服带出。</w:t>
                  </w:r>
                </w:p>
              </w:tc>
              <w:tc>
                <w:tcPr>
                  <w:tcW w:w="2078" w:type="pct"/>
                  <w:shd w:val="clear" w:color="auto" w:fill="auto"/>
                  <w:noWrap/>
                  <w:vAlign w:val="center"/>
                </w:tcPr>
                <w:p>
                  <w:pPr>
                    <w:jc w:val="center"/>
                    <w:rPr>
                      <w:snapToGrid w:val="0"/>
                      <w:kern w:val="0"/>
                      <w:szCs w:val="21"/>
                    </w:rPr>
                  </w:pPr>
                  <w:r>
                    <w:rPr>
                      <w:snapToGrid w:val="0"/>
                      <w:kern w:val="0"/>
                      <w:szCs w:val="21"/>
                    </w:rPr>
                    <w:t>不同的工作区域使用不同的工作服。工作人员离开各工作区域时，不得将工作服带出。</w:t>
                  </w:r>
                </w:p>
              </w:tc>
              <w:tc>
                <w:tcPr>
                  <w:tcW w:w="310" w:type="pct"/>
                  <w:shd w:val="clear" w:color="auto" w:fill="auto"/>
                  <w:noWrap/>
                  <w:vAlign w:val="center"/>
                </w:tcPr>
                <w:p>
                  <w:pPr>
                    <w:jc w:val="center"/>
                    <w:rPr>
                      <w:snapToGrid w:val="0"/>
                      <w:kern w:val="0"/>
                      <w:szCs w:val="21"/>
                    </w:rPr>
                  </w:pPr>
                  <w:r>
                    <w:rPr>
                      <w:snapToGrid w:val="0"/>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jc w:val="center"/>
                    <w:rPr>
                      <w:snapToGrid w:val="0"/>
                      <w:kern w:val="0"/>
                      <w:szCs w:val="21"/>
                    </w:rPr>
                  </w:pPr>
                  <w:r>
                    <w:rPr>
                      <w:snapToGrid w:val="0"/>
                      <w:kern w:val="0"/>
                      <w:szCs w:val="21"/>
                    </w:rPr>
                    <w:t>实验室的清洁应当按试剂贮存和准备区→标本制备区→扩增区→扩增产物分析区的方向进行。不同的实验区域应当有其各自的清洁用具以防止交叉污染。</w:t>
                  </w:r>
                </w:p>
              </w:tc>
              <w:tc>
                <w:tcPr>
                  <w:tcW w:w="2078" w:type="pct"/>
                  <w:shd w:val="clear" w:color="auto" w:fill="auto"/>
                  <w:noWrap/>
                  <w:vAlign w:val="center"/>
                </w:tcPr>
                <w:p>
                  <w:pPr>
                    <w:jc w:val="center"/>
                    <w:rPr>
                      <w:snapToGrid w:val="0"/>
                      <w:kern w:val="0"/>
                      <w:szCs w:val="21"/>
                    </w:rPr>
                  </w:pPr>
                  <w:r>
                    <w:rPr>
                      <w:snapToGrid w:val="0"/>
                      <w:kern w:val="0"/>
                      <w:szCs w:val="21"/>
                    </w:rPr>
                    <w:t>实验室的清洁按试剂贮存和准备区→标本制备区→扩增区→扩增产物分析区的方向进行。不同的实验区域应当有其各自的清洁用具以防止交叉污染。</w:t>
                  </w:r>
                </w:p>
              </w:tc>
              <w:tc>
                <w:tcPr>
                  <w:tcW w:w="310" w:type="pct"/>
                  <w:shd w:val="clear" w:color="auto" w:fill="auto"/>
                  <w:noWrap/>
                  <w:vAlign w:val="center"/>
                </w:tcPr>
                <w:p>
                  <w:pPr>
                    <w:jc w:val="center"/>
                    <w:rPr>
                      <w:snapToGrid w:val="0"/>
                      <w:kern w:val="0"/>
                      <w:szCs w:val="21"/>
                    </w:rPr>
                  </w:pPr>
                  <w:r>
                    <w:rPr>
                      <w:snapToGrid w:val="0"/>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jc w:val="center"/>
                    <w:rPr>
                      <w:snapToGrid w:val="0"/>
                      <w:kern w:val="0"/>
                      <w:szCs w:val="21"/>
                    </w:rPr>
                  </w:pPr>
                  <w:r>
                    <w:rPr>
                      <w:snapToGrid w:val="0"/>
                      <w:kern w:val="0"/>
                      <w:szCs w:val="21"/>
                    </w:rPr>
                    <w:t>工作结束后，必须立即对工作区进行清洁，最好是照射过夜。</w:t>
                  </w:r>
                </w:p>
              </w:tc>
              <w:tc>
                <w:tcPr>
                  <w:tcW w:w="2078" w:type="pct"/>
                  <w:shd w:val="clear" w:color="auto" w:fill="auto"/>
                  <w:noWrap/>
                  <w:vAlign w:val="center"/>
                </w:tcPr>
                <w:p>
                  <w:pPr>
                    <w:jc w:val="center"/>
                    <w:rPr>
                      <w:snapToGrid w:val="0"/>
                      <w:kern w:val="0"/>
                      <w:szCs w:val="21"/>
                    </w:rPr>
                  </w:pPr>
                  <w:r>
                    <w:rPr>
                      <w:snapToGrid w:val="0"/>
                      <w:kern w:val="0"/>
                      <w:szCs w:val="21"/>
                    </w:rPr>
                    <w:t>工作结束后，必须立即对工作区进行清洁。</w:t>
                  </w:r>
                </w:p>
              </w:tc>
              <w:tc>
                <w:tcPr>
                  <w:tcW w:w="310" w:type="pct"/>
                  <w:shd w:val="clear" w:color="auto" w:fill="auto"/>
                  <w:noWrap/>
                  <w:vAlign w:val="center"/>
                </w:tcPr>
                <w:p>
                  <w:pPr>
                    <w:jc w:val="center"/>
                    <w:rPr>
                      <w:snapToGrid w:val="0"/>
                      <w:kern w:val="0"/>
                      <w:szCs w:val="21"/>
                    </w:rPr>
                  </w:pPr>
                  <w:r>
                    <w:rPr>
                      <w:snapToGrid w:val="0"/>
                      <w:kern w:val="0"/>
                      <w:szCs w:val="21"/>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970" w:type="pct"/>
                  <w:vMerge w:val="continue"/>
                  <w:shd w:val="clear" w:color="auto" w:fill="auto"/>
                  <w:noWrap/>
                  <w:vAlign w:val="center"/>
                </w:tcPr>
                <w:p>
                  <w:pPr>
                    <w:pStyle w:val="54"/>
                    <w:spacing w:line="240" w:lineRule="auto"/>
                    <w:ind w:firstLine="0" w:firstLineChars="0"/>
                    <w:rPr>
                      <w:sz w:val="21"/>
                      <w:szCs w:val="21"/>
                    </w:rPr>
                  </w:pPr>
                </w:p>
              </w:tc>
              <w:tc>
                <w:tcPr>
                  <w:tcW w:w="1640" w:type="pct"/>
                  <w:shd w:val="clear" w:color="auto" w:fill="auto"/>
                  <w:noWrap/>
                  <w:vAlign w:val="center"/>
                </w:tcPr>
                <w:p>
                  <w:pPr>
                    <w:jc w:val="center"/>
                    <w:rPr>
                      <w:snapToGrid w:val="0"/>
                      <w:kern w:val="0"/>
                      <w:szCs w:val="21"/>
                    </w:rPr>
                  </w:pPr>
                  <w:r>
                    <w:rPr>
                      <w:snapToGrid w:val="0"/>
                      <w:kern w:val="0"/>
                      <w:szCs w:val="21"/>
                    </w:rPr>
                    <w:t>实验室的安全工作制度或安全标准操作程序，所有操作符合《实验室生物安全通用要求》（GB19489-2008）。</w:t>
                  </w:r>
                </w:p>
              </w:tc>
              <w:tc>
                <w:tcPr>
                  <w:tcW w:w="2078" w:type="pct"/>
                  <w:shd w:val="clear" w:color="auto" w:fill="auto"/>
                  <w:noWrap/>
                  <w:vAlign w:val="center"/>
                </w:tcPr>
                <w:p>
                  <w:pPr>
                    <w:jc w:val="center"/>
                    <w:rPr>
                      <w:snapToGrid w:val="0"/>
                      <w:kern w:val="0"/>
                      <w:szCs w:val="21"/>
                    </w:rPr>
                  </w:pPr>
                  <w:r>
                    <w:rPr>
                      <w:snapToGrid w:val="0"/>
                      <w:kern w:val="0"/>
                      <w:szCs w:val="21"/>
                    </w:rPr>
                    <w:t>实验室设安全工作制度或安全标准操作程序，所有操作符合《实验室生物安全通用要求》（GB19489-2008）。</w:t>
                  </w:r>
                </w:p>
              </w:tc>
              <w:tc>
                <w:tcPr>
                  <w:tcW w:w="310" w:type="pct"/>
                  <w:shd w:val="clear" w:color="auto" w:fill="auto"/>
                  <w:noWrap/>
                  <w:vAlign w:val="center"/>
                </w:tcPr>
                <w:p>
                  <w:pPr>
                    <w:jc w:val="center"/>
                    <w:rPr>
                      <w:snapToGrid w:val="0"/>
                      <w:kern w:val="0"/>
                      <w:szCs w:val="21"/>
                    </w:rPr>
                  </w:pPr>
                  <w:r>
                    <w:rPr>
                      <w:snapToGrid w:val="0"/>
                      <w:kern w:val="0"/>
                      <w:szCs w:val="21"/>
                    </w:rPr>
                    <w:t>符合</w:t>
                  </w:r>
                </w:p>
              </w:tc>
            </w:tr>
          </w:tbl>
          <w:p>
            <w:pPr>
              <w:pStyle w:val="42"/>
              <w:ind w:firstLine="420"/>
            </w:pPr>
            <w:r>
              <w:rPr>
                <w:rFonts w:hint="eastAsia"/>
              </w:rPr>
              <w:t>由表</w:t>
            </w:r>
            <w:r>
              <w:rPr>
                <w:rFonts w:hint="eastAsia"/>
                <w:lang w:val="en-US" w:eastAsia="zh-CN"/>
              </w:rPr>
              <w:t>2</w:t>
            </w:r>
            <w:r>
              <w:rPr>
                <w:rFonts w:hint="eastAsia"/>
              </w:rPr>
              <w:t>可知，项目满足《生物安全实验室建筑技术规范》（GB50346-2011）、《实验室生物安全通用要求》（GB19489-2008）、《病原微生物实验室生物安全通用准则》（WS233-2017）、卫生部《微生物和生物医学实验室安全通用准则》、《医疗机构临床基因扩增检验实验室工作导则》相关条例、技术规范中相关要求。</w:t>
            </w:r>
          </w:p>
          <w:p>
            <w:pPr>
              <w:autoSpaceDE w:val="0"/>
              <w:autoSpaceDN w:val="0"/>
              <w:adjustRightInd w:val="0"/>
              <w:snapToGrid w:val="0"/>
              <w:rPr>
                <w:rFonts w:cs="宋体"/>
                <w:kern w:val="0"/>
                <w:szCs w:val="21"/>
              </w:rPr>
            </w:pPr>
          </w:p>
        </w:tc>
      </w:tr>
    </w:tbl>
    <w:p>
      <w:pPr>
        <w:spacing w:line="360" w:lineRule="auto"/>
        <w:outlineLvl w:val="0"/>
        <w:rPr>
          <w:sz w:val="30"/>
        </w:rPr>
        <w:sectPr>
          <w:footerReference r:id="rId5" w:type="default"/>
          <w:pgSz w:w="11906" w:h="16838"/>
          <w:pgMar w:top="1440" w:right="1440" w:bottom="1440" w:left="1440"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43"/>
        <w:spacing w:before="240" w:after="240"/>
        <w:outlineLvl w:val="0"/>
      </w:pPr>
      <w:r>
        <w:rPr>
          <w:rFonts w:hint="eastAsia"/>
        </w:rPr>
        <w:t>二、建设项目工程分析</w:t>
      </w:r>
    </w:p>
    <w:tbl>
      <w:tblPr>
        <w:tblStyle w:val="26"/>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78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51" w:hRule="atLeast"/>
          <w:jc w:val="center"/>
        </w:trPr>
        <w:tc>
          <w:tcPr>
            <w:tcW w:w="247" w:type="pct"/>
            <w:vAlign w:val="center"/>
          </w:tcPr>
          <w:p>
            <w:pPr>
              <w:adjustRightInd w:val="0"/>
              <w:snapToGrid w:val="0"/>
              <w:jc w:val="center"/>
              <w:rPr>
                <w:rFonts w:cs="宋体"/>
              </w:rPr>
            </w:pPr>
            <w:r>
              <w:rPr>
                <w:rFonts w:hint="eastAsia" w:cs="宋体"/>
              </w:rPr>
              <w:t>建设内容</w:t>
            </w:r>
          </w:p>
        </w:tc>
        <w:tc>
          <w:tcPr>
            <w:tcW w:w="4752" w:type="pct"/>
          </w:tcPr>
          <w:p>
            <w:pPr>
              <w:pStyle w:val="42"/>
              <w:ind w:firstLine="420"/>
            </w:pPr>
            <w:r>
              <w:rPr>
                <w:rFonts w:hint="eastAsia"/>
              </w:rPr>
              <w:t>1、</w:t>
            </w:r>
            <w:r>
              <w:t>项目建设内容</w:t>
            </w:r>
          </w:p>
          <w:p>
            <w:pPr>
              <w:pStyle w:val="42"/>
              <w:ind w:firstLine="420"/>
              <w:rPr>
                <w:color w:val="auto"/>
                <w:highlight w:val="none"/>
              </w:rPr>
            </w:pPr>
            <w:r>
              <w:rPr>
                <w:rFonts w:hint="eastAsia"/>
              </w:rPr>
              <w:t>黑龙江诺明哲天医学检验实验室有限公司现建设地点位于黑龙江省哈尔滨市松北区智谷二街3043号哈尔滨松北（深圳龙岗）科技创新产业园4栋3层，黑龙江诺明哲天医学检验实验室有限公司拟</w:t>
            </w:r>
            <w:r>
              <w:t>投资</w:t>
            </w:r>
            <w:r>
              <w:rPr>
                <w:rFonts w:hint="eastAsia"/>
                <w:color w:val="auto"/>
              </w:rPr>
              <w:t>300万</w:t>
            </w:r>
            <w:r>
              <w:rPr>
                <w:color w:val="auto"/>
              </w:rPr>
              <w:t>元，</w:t>
            </w:r>
            <w:r>
              <w:rPr>
                <w:rFonts w:hint="eastAsia"/>
                <w:color w:val="auto"/>
              </w:rPr>
              <w:t>其中</w:t>
            </w:r>
            <w:r>
              <w:rPr>
                <w:color w:val="auto"/>
              </w:rPr>
              <w:t>环保投资</w:t>
            </w:r>
            <w:r>
              <w:rPr>
                <w:rFonts w:hint="eastAsia"/>
                <w:color w:val="auto"/>
              </w:rPr>
              <w:t>10万</w:t>
            </w:r>
            <w:r>
              <w:rPr>
                <w:color w:val="auto"/>
              </w:rPr>
              <w:t>元，</w:t>
            </w:r>
            <w:r>
              <w:rPr>
                <w:rFonts w:hint="eastAsia"/>
              </w:rPr>
              <w:t>租赁黑龙江省哈尔滨市松北区智谷二街3043号哈尔滨松北（深圳龙岗）科技创新产业园4栋3层，占地面积1300m</w:t>
            </w:r>
            <w:r>
              <w:rPr>
                <w:rFonts w:hint="eastAsia"/>
                <w:vertAlign w:val="superscript"/>
              </w:rPr>
              <w:t>2</w:t>
            </w:r>
            <w:r>
              <w:t>，</w:t>
            </w:r>
            <w:r>
              <w:rPr>
                <w:rFonts w:hint="eastAsia"/>
              </w:rPr>
              <w:t>总建筑面积851m</w:t>
            </w:r>
            <w:r>
              <w:rPr>
                <w:rFonts w:hint="eastAsia"/>
                <w:vertAlign w:val="superscript"/>
              </w:rPr>
              <w:t>2</w:t>
            </w:r>
            <w:r>
              <w:t>，建设</w:t>
            </w:r>
            <w:r>
              <w:rPr>
                <w:rFonts w:hint="eastAsia"/>
              </w:rPr>
              <w:t>医学检验</w:t>
            </w:r>
            <w:r>
              <w:t>实验室，本</w:t>
            </w:r>
            <w:r>
              <w:rPr>
                <w:rFonts w:hint="eastAsia"/>
              </w:rPr>
              <w:t>项目主要是临床化学检验、临床免疫血清检验、临床细胞分子遗传学；通过临床血液样品的化学检验及仪器，检测血液中维生素含量及其他扩展元素的含量及对药物的敏感性。检验样本收取方式采取上门收取本市各级医疗卫生机构所提供的检验标本，对于外埠检验标本，利用现代化物流服务进行收样，项目内不涉及采样。</w:t>
            </w:r>
            <w:r>
              <w:rPr>
                <w:rFonts w:hint="eastAsia"/>
                <w:color w:val="auto"/>
                <w:highlight w:val="none"/>
              </w:rPr>
              <w:t>核酸检验日检测10000例化验样品</w:t>
            </w:r>
            <w:r>
              <w:rPr>
                <w:color w:val="auto"/>
                <w:highlight w:val="none"/>
              </w:rPr>
              <w:t>。</w:t>
            </w:r>
            <w:r>
              <w:rPr>
                <w:rFonts w:hint="eastAsia"/>
                <w:color w:val="auto"/>
                <w:highlight w:val="none"/>
              </w:rPr>
              <w:t>本</w:t>
            </w:r>
            <w:r>
              <w:rPr>
                <w:color w:val="auto"/>
                <w:highlight w:val="none"/>
              </w:rPr>
              <w:t>项目</w:t>
            </w:r>
            <w:r>
              <w:rPr>
                <w:rFonts w:hint="eastAsia"/>
                <w:color w:val="auto"/>
                <w:highlight w:val="none"/>
              </w:rPr>
              <w:t>为P2生物安全实验室，</w:t>
            </w:r>
            <w:r>
              <w:rPr>
                <w:color w:val="auto"/>
                <w:highlight w:val="none"/>
              </w:rPr>
              <w:t>不涉及P3~P4生物安全实验室，不涉及转基因</w:t>
            </w:r>
            <w:r>
              <w:rPr>
                <w:rFonts w:hint="eastAsia"/>
                <w:color w:val="auto"/>
                <w:highlight w:val="none"/>
              </w:rPr>
              <w:t>实验室</w:t>
            </w:r>
            <w:r>
              <w:rPr>
                <w:color w:val="auto"/>
                <w:highlight w:val="none"/>
              </w:rPr>
              <w:t>。</w:t>
            </w:r>
          </w:p>
          <w:p>
            <w:pPr>
              <w:pStyle w:val="42"/>
              <w:ind w:firstLine="420"/>
            </w:pPr>
            <w:r>
              <w:rPr>
                <w:rFonts w:hint="eastAsia"/>
              </w:rPr>
              <w:t>本</w:t>
            </w:r>
            <w:r>
              <w:t>项目</w:t>
            </w:r>
            <w:r>
              <w:rPr>
                <w:rFonts w:hint="eastAsia"/>
              </w:rPr>
              <w:t>工程组成</w:t>
            </w:r>
            <w:r>
              <w:t>见下表</w:t>
            </w:r>
            <w:r>
              <w:rPr>
                <w:rFonts w:hint="eastAsia"/>
              </w:rPr>
              <w:t>。</w:t>
            </w:r>
          </w:p>
          <w:p>
            <w:pPr>
              <w:pStyle w:val="32"/>
            </w:pPr>
            <w:r>
              <w:t>项目工程组成表</w:t>
            </w:r>
          </w:p>
          <w:tbl>
            <w:tblPr>
              <w:tblStyle w:val="26"/>
              <w:tblW w:w="4998"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821"/>
              <w:gridCol w:w="1861"/>
              <w:gridCol w:w="4798"/>
              <w:gridCol w:w="1085"/>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03" w:hRule="atLeast"/>
                <w:jc w:val="center"/>
              </w:trPr>
              <w:tc>
                <w:tcPr>
                  <w:tcW w:w="479" w:type="pct"/>
                  <w:vAlign w:val="center"/>
                </w:tcPr>
                <w:p>
                  <w:pPr>
                    <w:pStyle w:val="33"/>
                    <w:rPr>
                      <w:szCs w:val="21"/>
                    </w:rPr>
                  </w:pPr>
                  <w:r>
                    <w:rPr>
                      <w:rFonts w:hint="eastAsia"/>
                      <w:szCs w:val="21"/>
                    </w:rPr>
                    <w:t>名称</w:t>
                  </w:r>
                </w:p>
              </w:tc>
              <w:tc>
                <w:tcPr>
                  <w:tcW w:w="1086" w:type="pct"/>
                  <w:vAlign w:val="center"/>
                </w:tcPr>
                <w:p>
                  <w:pPr>
                    <w:pStyle w:val="33"/>
                    <w:rPr>
                      <w:szCs w:val="21"/>
                    </w:rPr>
                  </w:pPr>
                  <w:r>
                    <w:rPr>
                      <w:rFonts w:hint="eastAsia"/>
                      <w:szCs w:val="21"/>
                    </w:rPr>
                    <w:t>工程</w:t>
                  </w:r>
                  <w:r>
                    <w:rPr>
                      <w:szCs w:val="21"/>
                    </w:rPr>
                    <w:t>内容</w:t>
                  </w:r>
                </w:p>
              </w:tc>
              <w:tc>
                <w:tcPr>
                  <w:tcW w:w="2800" w:type="pct"/>
                  <w:vAlign w:val="center"/>
                </w:tcPr>
                <w:p>
                  <w:pPr>
                    <w:pStyle w:val="33"/>
                    <w:rPr>
                      <w:szCs w:val="21"/>
                    </w:rPr>
                  </w:pPr>
                  <w:r>
                    <w:rPr>
                      <w:rFonts w:hint="eastAsia"/>
                      <w:szCs w:val="21"/>
                    </w:rPr>
                    <w:t>建设</w:t>
                  </w:r>
                  <w:r>
                    <w:rPr>
                      <w:szCs w:val="21"/>
                    </w:rPr>
                    <w:t>规模</w:t>
                  </w:r>
                </w:p>
              </w:tc>
              <w:tc>
                <w:tcPr>
                  <w:tcW w:w="633" w:type="pct"/>
                  <w:vAlign w:val="center"/>
                </w:tcPr>
                <w:p>
                  <w:pPr>
                    <w:pStyle w:val="33"/>
                    <w:rPr>
                      <w:szCs w:val="21"/>
                    </w:rPr>
                  </w:pPr>
                  <w:r>
                    <w:rPr>
                      <w:rFonts w:hint="eastAsia"/>
                      <w:szCs w:val="21"/>
                    </w:rPr>
                    <w:t>备注</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03" w:hRule="atLeast"/>
                <w:jc w:val="center"/>
              </w:trPr>
              <w:tc>
                <w:tcPr>
                  <w:tcW w:w="479" w:type="pct"/>
                  <w:vMerge w:val="restart"/>
                  <w:vAlign w:val="center"/>
                </w:tcPr>
                <w:p>
                  <w:pPr>
                    <w:pStyle w:val="33"/>
                    <w:rPr>
                      <w:szCs w:val="21"/>
                    </w:rPr>
                  </w:pPr>
                  <w:r>
                    <w:rPr>
                      <w:rFonts w:hint="eastAsia"/>
                      <w:szCs w:val="21"/>
                    </w:rPr>
                    <w:t>主体</w:t>
                  </w:r>
                  <w:r>
                    <w:rPr>
                      <w:szCs w:val="21"/>
                    </w:rPr>
                    <w:t>工程</w:t>
                  </w:r>
                </w:p>
              </w:tc>
              <w:tc>
                <w:tcPr>
                  <w:tcW w:w="1086" w:type="pct"/>
                  <w:vAlign w:val="center"/>
                </w:tcPr>
                <w:p>
                  <w:pPr>
                    <w:pStyle w:val="33"/>
                    <w:rPr>
                      <w:szCs w:val="21"/>
                    </w:rPr>
                  </w:pPr>
                  <w:r>
                    <w:rPr>
                      <w:rFonts w:hint="eastAsia"/>
                      <w:szCs w:val="21"/>
                    </w:rPr>
                    <w:t>中心实验室</w:t>
                  </w:r>
                </w:p>
              </w:tc>
              <w:tc>
                <w:tcPr>
                  <w:tcW w:w="2800" w:type="pct"/>
                  <w:vAlign w:val="center"/>
                </w:tcPr>
                <w:p>
                  <w:pPr>
                    <w:pStyle w:val="33"/>
                    <w:rPr>
                      <w:szCs w:val="21"/>
                    </w:rPr>
                  </w:pPr>
                  <w:r>
                    <w:rPr>
                      <w:rFonts w:hint="eastAsia"/>
                      <w:szCs w:val="21"/>
                    </w:rPr>
                    <w:t>新建中心实验室位于检测基地中部</w:t>
                  </w:r>
                  <w:r>
                    <w:rPr>
                      <w:rFonts w:hint="eastAsia"/>
                    </w:rPr>
                    <w:t>，</w:t>
                  </w:r>
                  <w:r>
                    <w:rPr>
                      <w:rFonts w:hint="eastAsia"/>
                      <w:lang w:val="en-US" w:eastAsia="zh-CN"/>
                    </w:rPr>
                    <w:t>内设化学发光仪、微量元素分析仪，</w:t>
                  </w:r>
                  <w:r>
                    <w:rPr>
                      <w:rFonts w:hint="eastAsia"/>
                    </w:rPr>
                    <w:t>建筑面积160m</w:t>
                  </w:r>
                  <w:r>
                    <w:rPr>
                      <w:rFonts w:hint="eastAsia"/>
                      <w:vertAlign w:val="superscript"/>
                    </w:rPr>
                    <w:t>2</w:t>
                  </w:r>
                  <w:r>
                    <w:rPr>
                      <w:rFonts w:hint="eastAsia"/>
                    </w:rPr>
                    <w:t>，检测血液中维生素含量及其他扩展元素的含量及对药物的敏感性</w:t>
                  </w:r>
                  <w:r>
                    <w:rPr>
                      <w:rFonts w:hint="eastAsia"/>
                      <w:szCs w:val="21"/>
                    </w:rPr>
                    <w:t>。</w:t>
                  </w:r>
                </w:p>
              </w:tc>
              <w:tc>
                <w:tcPr>
                  <w:tcW w:w="633" w:type="pct"/>
                  <w:vAlign w:val="center"/>
                </w:tcPr>
                <w:p>
                  <w:pPr>
                    <w:pStyle w:val="33"/>
                    <w:rPr>
                      <w:szCs w:val="21"/>
                    </w:rPr>
                  </w:pPr>
                  <w:r>
                    <w:rPr>
                      <w:rFonts w:hint="eastAsia"/>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03" w:hRule="atLeast"/>
                <w:jc w:val="center"/>
              </w:trPr>
              <w:tc>
                <w:tcPr>
                  <w:tcW w:w="479" w:type="pct"/>
                  <w:vMerge w:val="continue"/>
                  <w:vAlign w:val="center"/>
                </w:tcPr>
                <w:p>
                  <w:pPr>
                    <w:pStyle w:val="33"/>
                    <w:rPr>
                      <w:szCs w:val="21"/>
                    </w:rPr>
                  </w:pPr>
                </w:p>
              </w:tc>
              <w:tc>
                <w:tcPr>
                  <w:tcW w:w="1086" w:type="pct"/>
                  <w:vAlign w:val="center"/>
                </w:tcPr>
                <w:p>
                  <w:pPr>
                    <w:pStyle w:val="33"/>
                    <w:rPr>
                      <w:szCs w:val="21"/>
                    </w:rPr>
                  </w:pPr>
                  <w:r>
                    <w:rPr>
                      <w:rFonts w:hint="eastAsia"/>
                      <w:szCs w:val="21"/>
                    </w:rPr>
                    <w:t>质谱实验室</w:t>
                  </w:r>
                </w:p>
              </w:tc>
              <w:tc>
                <w:tcPr>
                  <w:tcW w:w="2800" w:type="pct"/>
                  <w:vAlign w:val="center"/>
                </w:tcPr>
                <w:p>
                  <w:pPr>
                    <w:pStyle w:val="33"/>
                    <w:rPr>
                      <w:szCs w:val="21"/>
                    </w:rPr>
                  </w:pPr>
                  <w:r>
                    <w:rPr>
                      <w:rFonts w:hint="eastAsia"/>
                      <w:szCs w:val="21"/>
                    </w:rPr>
                    <w:t>新建质谱实验室位于检测基地北侧</w:t>
                  </w:r>
                  <w:r>
                    <w:rPr>
                      <w:rFonts w:hint="eastAsia"/>
                      <w:szCs w:val="21"/>
                      <w:lang w:eastAsia="zh-CN"/>
                    </w:rPr>
                    <w:t>，</w:t>
                  </w:r>
                  <w:r>
                    <w:rPr>
                      <w:rFonts w:hint="eastAsia"/>
                      <w:szCs w:val="21"/>
                      <w:lang w:val="en-US" w:eastAsia="zh-CN"/>
                    </w:rPr>
                    <w:t>内设液相色谱串联质谱仪1台</w:t>
                  </w:r>
                  <w:r>
                    <w:rPr>
                      <w:rFonts w:hint="eastAsia"/>
                    </w:rPr>
                    <w:t>，建筑面积150m</w:t>
                  </w:r>
                  <w:r>
                    <w:rPr>
                      <w:rFonts w:hint="eastAsia"/>
                      <w:vertAlign w:val="superscript"/>
                    </w:rPr>
                    <w:t>2</w:t>
                  </w:r>
                  <w:r>
                    <w:rPr>
                      <w:rFonts w:hint="eastAsia"/>
                      <w:szCs w:val="21"/>
                    </w:rPr>
                    <w:t>。</w:t>
                  </w:r>
                </w:p>
              </w:tc>
              <w:tc>
                <w:tcPr>
                  <w:tcW w:w="633" w:type="pct"/>
                  <w:vAlign w:val="center"/>
                </w:tcPr>
                <w:p>
                  <w:pPr>
                    <w:pStyle w:val="33"/>
                    <w:rPr>
                      <w:szCs w:val="21"/>
                    </w:rPr>
                  </w:pPr>
                  <w:r>
                    <w:rPr>
                      <w:rFonts w:hint="eastAsia"/>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0" w:hRule="atLeast"/>
                <w:jc w:val="center"/>
              </w:trPr>
              <w:tc>
                <w:tcPr>
                  <w:tcW w:w="479" w:type="pct"/>
                  <w:vMerge w:val="continue"/>
                  <w:vAlign w:val="center"/>
                </w:tcPr>
                <w:p>
                  <w:pPr>
                    <w:pStyle w:val="33"/>
                    <w:rPr>
                      <w:szCs w:val="21"/>
                    </w:rPr>
                  </w:pPr>
                </w:p>
              </w:tc>
              <w:tc>
                <w:tcPr>
                  <w:tcW w:w="1086" w:type="pct"/>
                  <w:vAlign w:val="center"/>
                </w:tcPr>
                <w:p>
                  <w:pPr>
                    <w:jc w:val="center"/>
                    <w:rPr>
                      <w:rFonts w:hint="eastAsia" w:eastAsia="宋体"/>
                      <w:szCs w:val="21"/>
                      <w:lang w:val="en-US" w:eastAsia="zh-CN"/>
                    </w:rPr>
                  </w:pPr>
                  <w:r>
                    <w:rPr>
                      <w:rFonts w:hint="eastAsia" w:ascii="Arial" w:hAnsi="Arial" w:eastAsia="宋体" w:cs="Times New Roman"/>
                      <w:kern w:val="2"/>
                      <w:sz w:val="21"/>
                      <w:szCs w:val="21"/>
                      <w:lang w:val="en-US" w:eastAsia="zh-CN" w:bidi="ar-SA"/>
                    </w:rPr>
                    <w:t>临床细胞分子遗传学实验室</w:t>
                  </w:r>
                </w:p>
              </w:tc>
              <w:tc>
                <w:tcPr>
                  <w:tcW w:w="2800" w:type="pct"/>
                  <w:vAlign w:val="center"/>
                </w:tcPr>
                <w:p>
                  <w:pPr>
                    <w:jc w:val="center"/>
                    <w:rPr>
                      <w:szCs w:val="21"/>
                    </w:rPr>
                  </w:pPr>
                  <w:r>
                    <w:rPr>
                      <w:rFonts w:hint="eastAsia"/>
                      <w:szCs w:val="21"/>
                    </w:rPr>
                    <w:t>新建核酸实验室位于检测基地东北侧</w:t>
                  </w:r>
                  <w:r>
                    <w:rPr>
                      <w:rFonts w:hint="eastAsia"/>
                    </w:rPr>
                    <w:t>，建筑面积220m</w:t>
                  </w:r>
                  <w:r>
                    <w:rPr>
                      <w:rFonts w:hint="eastAsia"/>
                      <w:vertAlign w:val="superscript"/>
                    </w:rPr>
                    <w:t>2</w:t>
                  </w:r>
                  <w:r>
                    <w:rPr>
                      <w:rFonts w:hint="eastAsia"/>
                    </w:rPr>
                    <w:t>，分别</w:t>
                  </w:r>
                  <w:r>
                    <w:rPr>
                      <w:rFonts w:hint="eastAsia"/>
                      <w:szCs w:val="21"/>
                    </w:rPr>
                    <w:t>布置辅助用房、仓库、办公室、临床细胞分子遗传学实验室，采用二级屏障标准设计，主要配备空调系统、核酸提取设备、核酸检测设备、生物安全柜等设备设施；本项目实验室生物安全防护级别达到P2，项目完成后核酸检测能力为10000份/日。</w:t>
                  </w:r>
                </w:p>
                <w:p>
                  <w:pPr>
                    <w:jc w:val="center"/>
                    <w:rPr>
                      <w:szCs w:val="21"/>
                    </w:rPr>
                  </w:pPr>
                  <w:r>
                    <w:rPr>
                      <w:rFonts w:hint="eastAsia"/>
                      <w:szCs w:val="21"/>
                    </w:rPr>
                    <w:t>PCR实验室按剂准备区、样品制备区、基因扩增区、产物分析区、半污染区、洁净区进行布置。P2实验室按照前处理区、缓冲区、核心工作区进行布置。</w:t>
                  </w:r>
                </w:p>
              </w:tc>
              <w:tc>
                <w:tcPr>
                  <w:tcW w:w="633" w:type="pct"/>
                  <w:vAlign w:val="center"/>
                </w:tcPr>
                <w:p>
                  <w:pPr>
                    <w:pStyle w:val="33"/>
                    <w:rPr>
                      <w:szCs w:val="21"/>
                    </w:rPr>
                  </w:pPr>
                  <w:r>
                    <w:rPr>
                      <w:rFonts w:hint="eastAsia"/>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0" w:hRule="atLeast"/>
                <w:jc w:val="center"/>
              </w:trPr>
              <w:tc>
                <w:tcPr>
                  <w:tcW w:w="479" w:type="pct"/>
                  <w:vMerge w:val="continue"/>
                  <w:vAlign w:val="center"/>
                </w:tcPr>
                <w:p>
                  <w:pPr>
                    <w:pStyle w:val="33"/>
                    <w:rPr>
                      <w:szCs w:val="21"/>
                    </w:rPr>
                  </w:pPr>
                </w:p>
              </w:tc>
              <w:tc>
                <w:tcPr>
                  <w:tcW w:w="1086" w:type="pct"/>
                  <w:vAlign w:val="center"/>
                </w:tcPr>
                <w:p>
                  <w:pPr>
                    <w:jc w:val="center"/>
                    <w:rPr>
                      <w:szCs w:val="21"/>
                    </w:rPr>
                  </w:pPr>
                  <w:r>
                    <w:rPr>
                      <w:rFonts w:hint="eastAsia"/>
                      <w:szCs w:val="21"/>
                    </w:rPr>
                    <w:t>污水处理间</w:t>
                  </w:r>
                </w:p>
              </w:tc>
              <w:tc>
                <w:tcPr>
                  <w:tcW w:w="2800" w:type="pct"/>
                  <w:vAlign w:val="center"/>
                </w:tcPr>
                <w:p>
                  <w:pPr>
                    <w:jc w:val="center"/>
                    <w:rPr>
                      <w:szCs w:val="21"/>
                    </w:rPr>
                  </w:pPr>
                  <w:r>
                    <w:rPr>
                      <w:rFonts w:hint="eastAsia"/>
                      <w:szCs w:val="21"/>
                    </w:rPr>
                    <w:t>本项目新建污水处理间，位于检测基地西北侧，</w:t>
                  </w:r>
                  <w:r>
                    <w:rPr>
                      <w:rFonts w:hint="eastAsia"/>
                    </w:rPr>
                    <w:t>建筑面积45m</w:t>
                  </w:r>
                  <w:r>
                    <w:rPr>
                      <w:rFonts w:hint="eastAsia"/>
                      <w:vertAlign w:val="superscript"/>
                    </w:rPr>
                    <w:t>2</w:t>
                  </w:r>
                  <w:r>
                    <w:rPr>
                      <w:rFonts w:hint="eastAsia"/>
                    </w:rPr>
                    <w:t>，</w:t>
                  </w:r>
                  <w:r>
                    <w:rPr>
                      <w:rFonts w:hint="eastAsia"/>
                      <w:color w:val="auto"/>
                      <w:szCs w:val="21"/>
                    </w:rPr>
                    <w:t>污水处理规模20m</w:t>
                  </w:r>
                  <w:r>
                    <w:rPr>
                      <w:rFonts w:hint="eastAsia"/>
                      <w:color w:val="auto"/>
                      <w:szCs w:val="21"/>
                      <w:vertAlign w:val="superscript"/>
                    </w:rPr>
                    <w:t>3</w:t>
                  </w:r>
                  <w:r>
                    <w:rPr>
                      <w:rFonts w:hint="eastAsia"/>
                      <w:color w:val="auto"/>
                      <w:szCs w:val="21"/>
                    </w:rPr>
                    <w:t>/d，处理工艺采用采用“一级强化+二氧化氯消毒”工艺，处理后达到《医疗机构水污染物排放标准》 （GB18466-2005）中表2预处理标准后，经市政管网排入</w:t>
                  </w:r>
                  <w:r>
                    <w:rPr>
                      <w:color w:val="auto"/>
                      <w:szCs w:val="21"/>
                    </w:rPr>
                    <w:t>哈尔滨市松北供排水有限公司（原松浦污水处理厂）处理达标后排入松花江</w:t>
                  </w:r>
                  <w:r>
                    <w:rPr>
                      <w:rFonts w:hint="eastAsia"/>
                      <w:color w:val="auto"/>
                      <w:szCs w:val="21"/>
                    </w:rPr>
                    <w:t>。</w:t>
                  </w:r>
                </w:p>
              </w:tc>
              <w:tc>
                <w:tcPr>
                  <w:tcW w:w="633" w:type="pct"/>
                  <w:vAlign w:val="center"/>
                </w:tcPr>
                <w:p>
                  <w:pPr>
                    <w:pStyle w:val="33"/>
                    <w:rPr>
                      <w:szCs w:val="21"/>
                    </w:rPr>
                  </w:pPr>
                  <w:r>
                    <w:rPr>
                      <w:rFonts w:hint="eastAsia"/>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0" w:hRule="atLeast"/>
                <w:jc w:val="center"/>
              </w:trPr>
              <w:tc>
                <w:tcPr>
                  <w:tcW w:w="479" w:type="pct"/>
                  <w:vMerge w:val="continue"/>
                  <w:vAlign w:val="center"/>
                </w:tcPr>
                <w:p>
                  <w:pPr>
                    <w:pStyle w:val="33"/>
                    <w:rPr>
                      <w:szCs w:val="21"/>
                    </w:rPr>
                  </w:pPr>
                </w:p>
              </w:tc>
              <w:tc>
                <w:tcPr>
                  <w:tcW w:w="1086" w:type="pct"/>
                  <w:vAlign w:val="center"/>
                </w:tcPr>
                <w:p>
                  <w:pPr>
                    <w:jc w:val="center"/>
                    <w:rPr>
                      <w:szCs w:val="21"/>
                    </w:rPr>
                  </w:pPr>
                  <w:r>
                    <w:rPr>
                      <w:rFonts w:hint="eastAsia"/>
                      <w:szCs w:val="21"/>
                      <w:lang w:val="en-US" w:eastAsia="zh-CN"/>
                    </w:rPr>
                    <w:t>危废</w:t>
                  </w:r>
                  <w:r>
                    <w:rPr>
                      <w:rFonts w:hint="eastAsia"/>
                      <w:szCs w:val="21"/>
                    </w:rPr>
                    <w:t>暂存间</w:t>
                  </w:r>
                </w:p>
              </w:tc>
              <w:tc>
                <w:tcPr>
                  <w:tcW w:w="2800" w:type="pct"/>
                  <w:vAlign w:val="center"/>
                </w:tcPr>
                <w:p>
                  <w:pPr>
                    <w:jc w:val="center"/>
                  </w:pPr>
                  <w:r>
                    <w:rPr>
                      <w:rFonts w:hint="eastAsia"/>
                    </w:rPr>
                    <w:t>设置一座</w:t>
                  </w:r>
                  <w:r>
                    <w:rPr>
                      <w:rFonts w:hint="eastAsia"/>
                      <w:lang w:val="en-US" w:eastAsia="zh-CN"/>
                    </w:rPr>
                    <w:t>建筑面积6</w:t>
                  </w:r>
                  <w:r>
                    <w:rPr>
                      <w:rFonts w:hint="eastAsia"/>
                    </w:rPr>
                    <w:t>m2的医疗废物暂存间暂存本项目产生的</w:t>
                  </w:r>
                  <w:r>
                    <w:rPr>
                      <w:rFonts w:hint="eastAsia"/>
                      <w:lang w:val="en-US" w:eastAsia="zh-CN"/>
                    </w:rPr>
                    <w:t>危险废物</w:t>
                  </w:r>
                  <w:r>
                    <w:rPr>
                      <w:rFonts w:hint="eastAsia"/>
                    </w:rPr>
                    <w:t>，位于实验室</w:t>
                  </w:r>
                  <w:r>
                    <w:rPr>
                      <w:rFonts w:hint="eastAsia"/>
                      <w:lang w:val="en-US" w:eastAsia="zh-CN"/>
                    </w:rPr>
                    <w:t>基地西北</w:t>
                  </w:r>
                  <w:r>
                    <w:rPr>
                      <w:rFonts w:hint="eastAsia"/>
                    </w:rPr>
                    <w:t>角，</w:t>
                  </w:r>
                  <w:r>
                    <w:rPr>
                      <w:rFonts w:hint="eastAsia"/>
                      <w:lang w:val="en-US" w:eastAsia="zh-CN"/>
                    </w:rPr>
                    <w:t>危险废物</w:t>
                  </w:r>
                  <w:r>
                    <w:rPr>
                      <w:rFonts w:hint="eastAsia"/>
                    </w:rPr>
                    <w:t>暂存间设置及管理严格执行《危险废物贮存污染控制标准》（GB18597-2001）（2013年修订）中的相关要求，地面与裙脚防渗层为至少2mm厚的其它人工材料（渗透系数≤10-10cm/s）。</w:t>
                  </w:r>
                </w:p>
              </w:tc>
              <w:tc>
                <w:tcPr>
                  <w:tcW w:w="633" w:type="pct"/>
                  <w:vAlign w:val="center"/>
                </w:tcPr>
                <w:p>
                  <w:pPr>
                    <w:pStyle w:val="33"/>
                    <w:rPr>
                      <w:szCs w:val="21"/>
                    </w:rPr>
                  </w:pPr>
                  <w:r>
                    <w:rPr>
                      <w:rFonts w:hint="eastAsia"/>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0" w:hRule="atLeast"/>
                <w:jc w:val="center"/>
              </w:trPr>
              <w:tc>
                <w:tcPr>
                  <w:tcW w:w="479" w:type="pct"/>
                  <w:vMerge w:val="continue"/>
                  <w:vAlign w:val="center"/>
                </w:tcPr>
                <w:p>
                  <w:pPr>
                    <w:pStyle w:val="33"/>
                    <w:rPr>
                      <w:szCs w:val="21"/>
                    </w:rPr>
                  </w:pPr>
                </w:p>
              </w:tc>
              <w:tc>
                <w:tcPr>
                  <w:tcW w:w="1086" w:type="pct"/>
                  <w:vAlign w:val="center"/>
                </w:tcPr>
                <w:p>
                  <w:pPr>
                    <w:jc w:val="center"/>
                    <w:rPr>
                      <w:rFonts w:hint="default"/>
                      <w:szCs w:val="21"/>
                      <w:lang w:val="en-US" w:eastAsia="zh-CN"/>
                    </w:rPr>
                  </w:pPr>
                  <w:r>
                    <w:rPr>
                      <w:rFonts w:hint="eastAsia"/>
                      <w:szCs w:val="21"/>
                      <w:lang w:val="en-US" w:eastAsia="zh-CN"/>
                    </w:rPr>
                    <w:t>办公室</w:t>
                  </w:r>
                </w:p>
              </w:tc>
              <w:tc>
                <w:tcPr>
                  <w:tcW w:w="2800" w:type="pct"/>
                  <w:vAlign w:val="center"/>
                </w:tcPr>
                <w:p>
                  <w:pPr>
                    <w:jc w:val="center"/>
                    <w:rPr>
                      <w:rFonts w:hint="default" w:eastAsia="宋体"/>
                      <w:vertAlign w:val="baseline"/>
                      <w:lang w:val="en-US" w:eastAsia="zh-CN"/>
                    </w:rPr>
                  </w:pPr>
                  <w:r>
                    <w:rPr>
                      <w:rFonts w:hint="eastAsia"/>
                      <w:lang w:val="en-US" w:eastAsia="zh-CN"/>
                    </w:rPr>
                    <w:t>共建设7个办公室，办公室1建筑面积36m</w:t>
                  </w:r>
                  <w:r>
                    <w:rPr>
                      <w:rFonts w:hint="eastAsia"/>
                      <w:vertAlign w:val="superscript"/>
                      <w:lang w:val="en-US" w:eastAsia="zh-CN"/>
                    </w:rPr>
                    <w:t>2</w:t>
                  </w:r>
                  <w:r>
                    <w:rPr>
                      <w:rFonts w:hint="eastAsia"/>
                      <w:vertAlign w:val="baseline"/>
                      <w:lang w:val="en-US" w:eastAsia="zh-CN"/>
                    </w:rPr>
                    <w:t>，办公室2建筑面积18m</w:t>
                  </w:r>
                  <w:r>
                    <w:rPr>
                      <w:rFonts w:hint="eastAsia"/>
                      <w:vertAlign w:val="superscript"/>
                      <w:lang w:val="en-US" w:eastAsia="zh-CN"/>
                    </w:rPr>
                    <w:t>2</w:t>
                  </w:r>
                  <w:r>
                    <w:rPr>
                      <w:rFonts w:hint="eastAsia"/>
                      <w:vertAlign w:val="baseline"/>
                      <w:lang w:val="en-US" w:eastAsia="zh-CN"/>
                    </w:rPr>
                    <w:t>，办公室3建筑面积18m</w:t>
                  </w:r>
                  <w:r>
                    <w:rPr>
                      <w:rFonts w:hint="eastAsia"/>
                      <w:vertAlign w:val="superscript"/>
                      <w:lang w:val="en-US" w:eastAsia="zh-CN"/>
                    </w:rPr>
                    <w:t>2</w:t>
                  </w:r>
                  <w:r>
                    <w:rPr>
                      <w:rFonts w:hint="eastAsia"/>
                      <w:vertAlign w:val="baseline"/>
                      <w:lang w:val="en-US" w:eastAsia="zh-CN"/>
                    </w:rPr>
                    <w:t>，办公室4建筑面积18m</w:t>
                  </w:r>
                  <w:r>
                    <w:rPr>
                      <w:rFonts w:hint="eastAsia"/>
                      <w:vertAlign w:val="superscript"/>
                      <w:lang w:val="en-US" w:eastAsia="zh-CN"/>
                    </w:rPr>
                    <w:t>2</w:t>
                  </w:r>
                  <w:r>
                    <w:rPr>
                      <w:rFonts w:hint="eastAsia"/>
                      <w:vertAlign w:val="baseline"/>
                      <w:lang w:val="en-US" w:eastAsia="zh-CN"/>
                    </w:rPr>
                    <w:t>，办公室5建筑面积18m</w:t>
                  </w:r>
                  <w:r>
                    <w:rPr>
                      <w:rFonts w:hint="eastAsia"/>
                      <w:vertAlign w:val="superscript"/>
                      <w:lang w:val="en-US" w:eastAsia="zh-CN"/>
                    </w:rPr>
                    <w:t>2</w:t>
                  </w:r>
                  <w:r>
                    <w:rPr>
                      <w:rFonts w:hint="eastAsia"/>
                      <w:vertAlign w:val="baseline"/>
                      <w:lang w:val="en-US" w:eastAsia="zh-CN"/>
                    </w:rPr>
                    <w:t>，办公室6建筑面积18m</w:t>
                  </w:r>
                  <w:r>
                    <w:rPr>
                      <w:rFonts w:hint="eastAsia"/>
                      <w:vertAlign w:val="superscript"/>
                      <w:lang w:val="en-US" w:eastAsia="zh-CN"/>
                    </w:rPr>
                    <w:t>2</w:t>
                  </w:r>
                  <w:r>
                    <w:rPr>
                      <w:rFonts w:hint="eastAsia"/>
                      <w:vertAlign w:val="baseline"/>
                      <w:lang w:val="en-US" w:eastAsia="zh-CN"/>
                    </w:rPr>
                    <w:t>，会议室建筑面积68m</w:t>
                  </w:r>
                  <w:r>
                    <w:rPr>
                      <w:rFonts w:hint="eastAsia"/>
                      <w:vertAlign w:val="superscript"/>
                      <w:lang w:val="en-US" w:eastAsia="zh-CN"/>
                    </w:rPr>
                    <w:t>2</w:t>
                  </w:r>
                  <w:r>
                    <w:rPr>
                      <w:rFonts w:hint="eastAsia"/>
                      <w:vertAlign w:val="baseline"/>
                      <w:lang w:val="en-US" w:eastAsia="zh-CN"/>
                    </w:rPr>
                    <w:t>，用于员工日常办公。</w:t>
                  </w:r>
                </w:p>
              </w:tc>
              <w:tc>
                <w:tcPr>
                  <w:tcW w:w="633" w:type="pct"/>
                  <w:vAlign w:val="center"/>
                </w:tcPr>
                <w:p>
                  <w:pPr>
                    <w:pStyle w:val="33"/>
                    <w:rPr>
                      <w:rFonts w:hint="eastAsia" w:eastAsia="宋体"/>
                      <w:szCs w:val="21"/>
                      <w:lang w:val="en-US" w:eastAsia="zh-CN"/>
                    </w:rPr>
                  </w:pPr>
                  <w:r>
                    <w:rPr>
                      <w:rFonts w:hint="eastAsia"/>
                      <w:szCs w:val="21"/>
                      <w:lang w:val="en-US" w:eastAsia="zh-CN"/>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0" w:hRule="atLeast"/>
                <w:jc w:val="center"/>
              </w:trPr>
              <w:tc>
                <w:tcPr>
                  <w:tcW w:w="479" w:type="pct"/>
                  <w:vMerge w:val="restart"/>
                  <w:vAlign w:val="center"/>
                </w:tcPr>
                <w:p>
                  <w:pPr>
                    <w:pStyle w:val="33"/>
                    <w:rPr>
                      <w:szCs w:val="21"/>
                    </w:rPr>
                  </w:pPr>
                  <w:r>
                    <w:rPr>
                      <w:rFonts w:hint="eastAsia"/>
                      <w:szCs w:val="21"/>
                    </w:rPr>
                    <w:t>依托</w:t>
                  </w:r>
                  <w:r>
                    <w:rPr>
                      <w:szCs w:val="21"/>
                    </w:rPr>
                    <w:t>工程</w:t>
                  </w:r>
                </w:p>
              </w:tc>
              <w:tc>
                <w:tcPr>
                  <w:tcW w:w="1086" w:type="pct"/>
                  <w:vAlign w:val="center"/>
                </w:tcPr>
                <w:p>
                  <w:pPr>
                    <w:pStyle w:val="33"/>
                    <w:rPr>
                      <w:szCs w:val="21"/>
                    </w:rPr>
                  </w:pPr>
                  <w:r>
                    <w:rPr>
                      <w:rFonts w:hint="eastAsia"/>
                      <w:szCs w:val="21"/>
                    </w:rPr>
                    <w:t>供水</w:t>
                  </w:r>
                </w:p>
              </w:tc>
              <w:tc>
                <w:tcPr>
                  <w:tcW w:w="2800" w:type="pct"/>
                  <w:vAlign w:val="center"/>
                </w:tcPr>
                <w:p>
                  <w:pPr>
                    <w:pStyle w:val="33"/>
                    <w:rPr>
                      <w:szCs w:val="21"/>
                    </w:rPr>
                  </w:pPr>
                  <w:r>
                    <w:rPr>
                      <w:rFonts w:hint="eastAsia" w:ascii="Times New Roman" w:hAnsi="Times New Roman"/>
                      <w:szCs w:val="21"/>
                    </w:rPr>
                    <w:t>用水</w:t>
                  </w:r>
                  <w:r>
                    <w:rPr>
                      <w:rFonts w:hint="eastAsia"/>
                      <w:szCs w:val="21"/>
                    </w:rPr>
                    <w:t>均</w:t>
                  </w:r>
                  <w:r>
                    <w:rPr>
                      <w:rFonts w:hint="eastAsia" w:ascii="Times New Roman" w:hAnsi="Times New Roman"/>
                      <w:szCs w:val="21"/>
                    </w:rPr>
                    <w:t>由市政给水管网供给</w:t>
                  </w:r>
                  <w:r>
                    <w:rPr>
                      <w:rFonts w:hint="eastAsia"/>
                      <w:szCs w:val="21"/>
                    </w:rPr>
                    <w:t>，其中</w:t>
                  </w:r>
                  <w:r>
                    <w:rPr>
                      <w:rFonts w:hint="eastAsia" w:ascii="Times New Roman" w:hAnsi="Times New Roman"/>
                      <w:szCs w:val="21"/>
                    </w:rPr>
                    <w:t>配置溶液用水、水浴锅灭活用水、医疗废物高压消毒用水</w:t>
                  </w:r>
                  <w:r>
                    <w:rPr>
                      <w:rFonts w:hint="eastAsia"/>
                      <w:szCs w:val="21"/>
                    </w:rPr>
                    <w:t>均</w:t>
                  </w:r>
                  <w:r>
                    <w:rPr>
                      <w:rFonts w:hint="eastAsia" w:ascii="Times New Roman" w:hAnsi="Times New Roman"/>
                      <w:szCs w:val="21"/>
                    </w:rPr>
                    <w:t>采用纯水</w:t>
                  </w:r>
                  <w:r>
                    <w:rPr>
                      <w:rFonts w:hint="eastAsia"/>
                      <w:szCs w:val="21"/>
                    </w:rPr>
                    <w:t>，纯水采用优普纯水机制备</w:t>
                  </w:r>
                  <w:r>
                    <w:rPr>
                      <w:rFonts w:hint="eastAsia" w:ascii="Times New Roman" w:hAnsi="Times New Roman"/>
                      <w:szCs w:val="21"/>
                    </w:rPr>
                    <w:t>。</w:t>
                  </w:r>
                </w:p>
              </w:tc>
              <w:tc>
                <w:tcPr>
                  <w:tcW w:w="633" w:type="pct"/>
                  <w:vAlign w:val="center"/>
                </w:tcPr>
                <w:p>
                  <w:pPr>
                    <w:pStyle w:val="33"/>
                    <w:rPr>
                      <w:szCs w:val="21"/>
                    </w:rPr>
                  </w:pPr>
                  <w:r>
                    <w:rPr>
                      <w:rFonts w:hint="eastAsia"/>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0" w:hRule="atLeast"/>
                <w:jc w:val="center"/>
              </w:trPr>
              <w:tc>
                <w:tcPr>
                  <w:tcW w:w="479" w:type="pct"/>
                  <w:vMerge w:val="continue"/>
                  <w:vAlign w:val="center"/>
                </w:tcPr>
                <w:p>
                  <w:pPr>
                    <w:pStyle w:val="33"/>
                    <w:rPr>
                      <w:szCs w:val="21"/>
                    </w:rPr>
                  </w:pPr>
                </w:p>
              </w:tc>
              <w:tc>
                <w:tcPr>
                  <w:tcW w:w="1086" w:type="pct"/>
                  <w:vAlign w:val="center"/>
                </w:tcPr>
                <w:p>
                  <w:pPr>
                    <w:pStyle w:val="33"/>
                    <w:rPr>
                      <w:szCs w:val="21"/>
                    </w:rPr>
                  </w:pPr>
                  <w:r>
                    <w:rPr>
                      <w:rFonts w:hint="eastAsia"/>
                      <w:szCs w:val="21"/>
                    </w:rPr>
                    <w:t>排水</w:t>
                  </w:r>
                </w:p>
              </w:tc>
              <w:tc>
                <w:tcPr>
                  <w:tcW w:w="2800" w:type="pct"/>
                  <w:vAlign w:val="center"/>
                </w:tcPr>
                <w:p>
                  <w:pPr>
                    <w:pStyle w:val="33"/>
                    <w:rPr>
                      <w:szCs w:val="21"/>
                    </w:rPr>
                  </w:pPr>
                  <w:r>
                    <w:rPr>
                      <w:rFonts w:hint="eastAsia" w:ascii="Times New Roman" w:hAnsi="Times New Roman"/>
                      <w:szCs w:val="21"/>
                    </w:rPr>
                    <w:t>本项目配置溶液用水全部进入实验废液中，作为</w:t>
                  </w:r>
                  <w:r>
                    <w:rPr>
                      <w:rFonts w:hint="eastAsia"/>
                      <w:szCs w:val="21"/>
                    </w:rPr>
                    <w:t>感染</w:t>
                  </w:r>
                  <w:r>
                    <w:rPr>
                      <w:rFonts w:hint="eastAsia" w:ascii="Times New Roman" w:hAnsi="Times New Roman"/>
                      <w:szCs w:val="21"/>
                    </w:rPr>
                    <w:t>性废物（废物代码：841-00</w:t>
                  </w:r>
                  <w:r>
                    <w:rPr>
                      <w:rFonts w:hint="eastAsia"/>
                      <w:szCs w:val="21"/>
                    </w:rPr>
                    <w:t>1</w:t>
                  </w:r>
                  <w:r>
                    <w:rPr>
                      <w:rFonts w:hint="eastAsia" w:ascii="Times New Roman" w:hAnsi="Times New Roman"/>
                      <w:szCs w:val="21"/>
                    </w:rPr>
                    <w:t>-01）定期交由资质单位进行处置；水浴锅灭活用水循环使用，不外排。实验室排放废水主要为纯水制备产生废水、实验室检测人员洗手废水、</w:t>
                  </w:r>
                  <w:r>
                    <w:rPr>
                      <w:rFonts w:hint="eastAsia"/>
                      <w:szCs w:val="21"/>
                    </w:rPr>
                    <w:t>医疗废物</w:t>
                  </w:r>
                  <w:r>
                    <w:rPr>
                      <w:rFonts w:hint="eastAsia" w:ascii="Times New Roman" w:hAnsi="Times New Roman"/>
                      <w:szCs w:val="21"/>
                    </w:rPr>
                    <w:t>高压消毒废水和实验室地面清洁废水，实验室废水经二氧化氯消毒预处理后</w:t>
                  </w:r>
                  <w:r>
                    <w:rPr>
                      <w:rFonts w:hint="eastAsia"/>
                      <w:szCs w:val="21"/>
                    </w:rPr>
                    <w:t>与本项目生活污水一同</w:t>
                  </w:r>
                  <w:r>
                    <w:rPr>
                      <w:rFonts w:hint="eastAsia" w:ascii="Times New Roman" w:hAnsi="Times New Roman"/>
                      <w:szCs w:val="21"/>
                    </w:rPr>
                    <w:t>进入本项目污水处理站处理达到《医疗机构水污染物排放标准》 （GB18466-2005）中表2预处理标准后，经市政管网排入</w:t>
                  </w:r>
                  <w:r>
                    <w:rPr>
                      <w:rFonts w:ascii="Times New Roman" w:hAnsi="Times New Roman"/>
                      <w:szCs w:val="21"/>
                    </w:rPr>
                    <w:t>哈尔滨市松北供排水有限公司（原松浦污水处理厂）处理达标后排入松花江</w:t>
                  </w:r>
                  <w:r>
                    <w:rPr>
                      <w:rFonts w:hint="eastAsia" w:ascii="Times New Roman" w:hAnsi="Times New Roman"/>
                      <w:szCs w:val="21"/>
                    </w:rPr>
                    <w:t>。</w:t>
                  </w:r>
                </w:p>
              </w:tc>
              <w:tc>
                <w:tcPr>
                  <w:tcW w:w="633" w:type="pct"/>
                  <w:vAlign w:val="center"/>
                </w:tcPr>
                <w:p>
                  <w:pPr>
                    <w:pStyle w:val="33"/>
                    <w:rPr>
                      <w:szCs w:val="21"/>
                    </w:rPr>
                  </w:pPr>
                  <w:r>
                    <w:rPr>
                      <w:rFonts w:hint="eastAsia"/>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0" w:hRule="atLeast"/>
                <w:jc w:val="center"/>
              </w:trPr>
              <w:tc>
                <w:tcPr>
                  <w:tcW w:w="479" w:type="pct"/>
                  <w:vMerge w:val="continue"/>
                  <w:vAlign w:val="center"/>
                </w:tcPr>
                <w:p>
                  <w:pPr>
                    <w:pStyle w:val="33"/>
                    <w:rPr>
                      <w:szCs w:val="21"/>
                    </w:rPr>
                  </w:pPr>
                </w:p>
              </w:tc>
              <w:tc>
                <w:tcPr>
                  <w:tcW w:w="1086" w:type="pct"/>
                  <w:vAlign w:val="center"/>
                </w:tcPr>
                <w:p>
                  <w:pPr>
                    <w:pStyle w:val="33"/>
                    <w:rPr>
                      <w:szCs w:val="21"/>
                    </w:rPr>
                  </w:pPr>
                  <w:r>
                    <w:rPr>
                      <w:rFonts w:hint="eastAsia"/>
                      <w:szCs w:val="21"/>
                    </w:rPr>
                    <w:t>供热</w:t>
                  </w:r>
                </w:p>
              </w:tc>
              <w:tc>
                <w:tcPr>
                  <w:tcW w:w="2800" w:type="pct"/>
                  <w:vAlign w:val="center"/>
                </w:tcPr>
                <w:p>
                  <w:pPr>
                    <w:pStyle w:val="33"/>
                    <w:rPr>
                      <w:szCs w:val="21"/>
                    </w:rPr>
                  </w:pPr>
                  <w:r>
                    <w:rPr>
                      <w:rFonts w:ascii="Times New Roman" w:hAnsi="Times New Roman"/>
                      <w:szCs w:val="21"/>
                    </w:rPr>
                    <w:t>本项目采暖依托</w:t>
                  </w:r>
                  <w:r>
                    <w:rPr>
                      <w:rFonts w:hint="eastAsia" w:ascii="Times New Roman" w:hAnsi="Times New Roman"/>
                      <w:szCs w:val="21"/>
                    </w:rPr>
                    <w:t>市政</w:t>
                  </w:r>
                  <w:r>
                    <w:rPr>
                      <w:rFonts w:ascii="Times New Roman" w:hAnsi="Times New Roman"/>
                      <w:szCs w:val="21"/>
                    </w:rPr>
                    <w:t>集中供热。</w:t>
                  </w:r>
                </w:p>
              </w:tc>
              <w:tc>
                <w:tcPr>
                  <w:tcW w:w="633" w:type="pct"/>
                  <w:vAlign w:val="center"/>
                </w:tcPr>
                <w:p>
                  <w:pPr>
                    <w:pStyle w:val="33"/>
                    <w:rPr>
                      <w:szCs w:val="21"/>
                    </w:rPr>
                  </w:pPr>
                  <w:r>
                    <w:rPr>
                      <w:rFonts w:hint="eastAsia"/>
                      <w:szCs w:val="21"/>
                    </w:rPr>
                    <w:t>依托</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4" w:hRule="atLeast"/>
                <w:jc w:val="center"/>
              </w:trPr>
              <w:tc>
                <w:tcPr>
                  <w:tcW w:w="479" w:type="pct"/>
                  <w:vMerge w:val="continue"/>
                  <w:vAlign w:val="center"/>
                </w:tcPr>
                <w:p>
                  <w:pPr>
                    <w:pStyle w:val="33"/>
                    <w:rPr>
                      <w:szCs w:val="21"/>
                    </w:rPr>
                  </w:pPr>
                </w:p>
              </w:tc>
              <w:tc>
                <w:tcPr>
                  <w:tcW w:w="1086" w:type="pct"/>
                  <w:vAlign w:val="center"/>
                </w:tcPr>
                <w:p>
                  <w:pPr>
                    <w:pStyle w:val="33"/>
                    <w:rPr>
                      <w:szCs w:val="21"/>
                    </w:rPr>
                  </w:pPr>
                  <w:r>
                    <w:rPr>
                      <w:szCs w:val="21"/>
                    </w:rPr>
                    <w:t>供电</w:t>
                  </w:r>
                </w:p>
              </w:tc>
              <w:tc>
                <w:tcPr>
                  <w:tcW w:w="2800" w:type="pct"/>
                  <w:vAlign w:val="center"/>
                </w:tcPr>
                <w:p>
                  <w:pPr>
                    <w:pStyle w:val="33"/>
                    <w:rPr>
                      <w:szCs w:val="21"/>
                    </w:rPr>
                  </w:pPr>
                  <w:r>
                    <w:rPr>
                      <w:rFonts w:hint="eastAsia"/>
                      <w:szCs w:val="21"/>
                    </w:rPr>
                    <w:t>由市政电网供应。</w:t>
                  </w:r>
                </w:p>
              </w:tc>
              <w:tc>
                <w:tcPr>
                  <w:tcW w:w="633" w:type="pct"/>
                  <w:vAlign w:val="center"/>
                </w:tcPr>
                <w:p>
                  <w:pPr>
                    <w:pStyle w:val="33"/>
                    <w:rPr>
                      <w:szCs w:val="21"/>
                    </w:rPr>
                  </w:pPr>
                  <w:r>
                    <w:rPr>
                      <w:rFonts w:hint="eastAsia"/>
                      <w:szCs w:val="21"/>
                    </w:rPr>
                    <w:t>依托</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406" w:hRule="atLeast"/>
                <w:jc w:val="center"/>
              </w:trPr>
              <w:tc>
                <w:tcPr>
                  <w:tcW w:w="479" w:type="pct"/>
                  <w:vMerge w:val="restart"/>
                  <w:vAlign w:val="center"/>
                </w:tcPr>
                <w:p>
                  <w:pPr>
                    <w:pStyle w:val="33"/>
                    <w:rPr>
                      <w:szCs w:val="21"/>
                    </w:rPr>
                  </w:pPr>
                  <w:r>
                    <w:rPr>
                      <w:rFonts w:hint="eastAsia"/>
                      <w:szCs w:val="21"/>
                    </w:rPr>
                    <w:t>环保</w:t>
                  </w:r>
                  <w:r>
                    <w:rPr>
                      <w:szCs w:val="21"/>
                    </w:rPr>
                    <w:t>工程</w:t>
                  </w:r>
                </w:p>
              </w:tc>
              <w:tc>
                <w:tcPr>
                  <w:tcW w:w="1086" w:type="pct"/>
                  <w:vAlign w:val="center"/>
                </w:tcPr>
                <w:p>
                  <w:pPr>
                    <w:pStyle w:val="33"/>
                    <w:rPr>
                      <w:szCs w:val="21"/>
                    </w:rPr>
                  </w:pPr>
                  <w:r>
                    <w:rPr>
                      <w:rFonts w:hint="eastAsia"/>
                      <w:szCs w:val="21"/>
                    </w:rPr>
                    <w:t>废水处理措施</w:t>
                  </w:r>
                </w:p>
              </w:tc>
              <w:tc>
                <w:tcPr>
                  <w:tcW w:w="2800" w:type="pct"/>
                  <w:vAlign w:val="center"/>
                </w:tcPr>
                <w:p>
                  <w:pPr>
                    <w:widowControl/>
                    <w:jc w:val="center"/>
                    <w:rPr>
                      <w:szCs w:val="21"/>
                    </w:rPr>
                  </w:pPr>
                  <w:r>
                    <w:rPr>
                      <w:rFonts w:hint="eastAsia"/>
                      <w:szCs w:val="21"/>
                    </w:rPr>
                    <w:t>实验室排放废水主要为纯水制备产生废水、实验室检测人员洗手废水、医疗废物高压消毒废水和实验室地面清洁废水，实验室废水经二氧化氯消毒预处理（消毒预处理能力20m</w:t>
                  </w:r>
                  <w:r>
                    <w:rPr>
                      <w:rFonts w:hint="eastAsia"/>
                      <w:szCs w:val="21"/>
                      <w:vertAlign w:val="superscript"/>
                    </w:rPr>
                    <w:t>3</w:t>
                  </w:r>
                  <w:r>
                    <w:rPr>
                      <w:rFonts w:hint="eastAsia"/>
                      <w:szCs w:val="21"/>
                    </w:rPr>
                    <w:t>/d）后与本项目生活污水一同进入污水处理间进行处理。污水处理间规模20m</w:t>
                  </w:r>
                  <w:r>
                    <w:rPr>
                      <w:rFonts w:hint="eastAsia"/>
                      <w:szCs w:val="21"/>
                      <w:vertAlign w:val="superscript"/>
                    </w:rPr>
                    <w:t>3</w:t>
                  </w:r>
                  <w:r>
                    <w:rPr>
                      <w:rFonts w:hint="eastAsia"/>
                      <w:szCs w:val="21"/>
                    </w:rPr>
                    <w:t>/d，处理工艺采用采用“一级强化+二氧化氯消毒”工艺，处理后达到《医疗机构水污染物排放标准》 （GB18466-2005）中表2预处理标准后，经市政管网排入</w:t>
                  </w:r>
                  <w:r>
                    <w:rPr>
                      <w:szCs w:val="21"/>
                    </w:rPr>
                    <w:t>哈尔滨市松北供排水有限公司（原松浦污水处理厂）处理达标后排入松花江</w:t>
                  </w:r>
                  <w:r>
                    <w:rPr>
                      <w:rFonts w:hint="eastAsia"/>
                      <w:szCs w:val="21"/>
                    </w:rPr>
                    <w:t>。</w:t>
                  </w:r>
                </w:p>
              </w:tc>
              <w:tc>
                <w:tcPr>
                  <w:tcW w:w="633" w:type="pct"/>
                  <w:vAlign w:val="center"/>
                </w:tcPr>
                <w:p>
                  <w:pPr>
                    <w:pStyle w:val="33"/>
                    <w:rPr>
                      <w:szCs w:val="21"/>
                    </w:rPr>
                  </w:pPr>
                  <w:r>
                    <w:rPr>
                      <w:rFonts w:hint="eastAsia"/>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50" w:hRule="atLeast"/>
                <w:jc w:val="center"/>
              </w:trPr>
              <w:tc>
                <w:tcPr>
                  <w:tcW w:w="479" w:type="pct"/>
                  <w:vMerge w:val="continue"/>
                  <w:vAlign w:val="center"/>
                </w:tcPr>
                <w:p>
                  <w:pPr>
                    <w:pStyle w:val="33"/>
                    <w:rPr>
                      <w:szCs w:val="21"/>
                    </w:rPr>
                  </w:pPr>
                </w:p>
              </w:tc>
              <w:tc>
                <w:tcPr>
                  <w:tcW w:w="1086" w:type="pct"/>
                  <w:vAlign w:val="center"/>
                </w:tcPr>
                <w:p>
                  <w:pPr>
                    <w:pStyle w:val="33"/>
                    <w:rPr>
                      <w:szCs w:val="21"/>
                    </w:rPr>
                  </w:pPr>
                  <w:r>
                    <w:rPr>
                      <w:rFonts w:hint="eastAsia"/>
                      <w:szCs w:val="21"/>
                    </w:rPr>
                    <w:t>废气处理措施</w:t>
                  </w:r>
                </w:p>
              </w:tc>
              <w:tc>
                <w:tcPr>
                  <w:tcW w:w="2800" w:type="pct"/>
                  <w:vAlign w:val="center"/>
                </w:tcPr>
                <w:p>
                  <w:pPr>
                    <w:pStyle w:val="33"/>
                    <w:rPr>
                      <w:rFonts w:hint="default" w:eastAsia="宋体"/>
                      <w:szCs w:val="21"/>
                      <w:lang w:val="en-US" w:eastAsia="zh-CN"/>
                    </w:rPr>
                  </w:pPr>
                  <w:r>
                    <w:rPr>
                      <w:rFonts w:hint="eastAsia" w:ascii="Times New Roman" w:hAnsi="Times New Roman"/>
                      <w:szCs w:val="21"/>
                    </w:rPr>
                    <w:t>临床细胞分子遗传学实验室内设置生物安全柜，涉及病原微生物气溶胶的操作在生物安全柜中进行，</w:t>
                  </w:r>
                  <w:r>
                    <w:rPr>
                      <w:rFonts w:hint="eastAsia"/>
                      <w:szCs w:val="21"/>
                    </w:rPr>
                    <w:t>废气经</w:t>
                  </w:r>
                  <w:r>
                    <w:rPr>
                      <w:rFonts w:hint="eastAsia" w:ascii="Times New Roman" w:hAnsi="Times New Roman"/>
                      <w:szCs w:val="21"/>
                    </w:rPr>
                    <w:t>负压收集</w:t>
                  </w:r>
                  <w:r>
                    <w:rPr>
                      <w:rFonts w:hint="eastAsia"/>
                      <w:szCs w:val="21"/>
                    </w:rPr>
                    <w:t>通过</w:t>
                  </w:r>
                  <w:r>
                    <w:rPr>
                      <w:rFonts w:hint="eastAsia" w:ascii="Times New Roman" w:hAnsi="Times New Roman"/>
                      <w:szCs w:val="21"/>
                    </w:rPr>
                    <w:t>高效过滤器处理后</w:t>
                  </w:r>
                  <w:r>
                    <w:rPr>
                      <w:rFonts w:hint="eastAsia"/>
                      <w:szCs w:val="21"/>
                    </w:rPr>
                    <w:t>经楼顶专业排放口</w:t>
                  </w:r>
                  <w:r>
                    <w:rPr>
                      <w:rFonts w:hint="eastAsia" w:ascii="Times New Roman" w:hAnsi="Times New Roman"/>
                      <w:szCs w:val="21"/>
                    </w:rPr>
                    <w:t>排放</w:t>
                  </w:r>
                  <w:r>
                    <w:rPr>
                      <w:rFonts w:hint="eastAsia"/>
                      <w:szCs w:val="21"/>
                    </w:rPr>
                    <w:t>。质谱实验室</w:t>
                  </w:r>
                  <w:r>
                    <w:rPr>
                      <w:rFonts w:hint="eastAsia"/>
                      <w:szCs w:val="21"/>
                      <w:lang w:val="en-US" w:eastAsia="zh-CN"/>
                    </w:rPr>
                    <w:t>产生的有机废气经活性炭吸附装置吸附后经楼顶专业排放口排放。</w:t>
                  </w:r>
                </w:p>
                <w:p>
                  <w:pPr>
                    <w:pStyle w:val="33"/>
                    <w:rPr>
                      <w:szCs w:val="21"/>
                    </w:rPr>
                  </w:pPr>
                  <w:r>
                    <w:rPr>
                      <w:rFonts w:hint="eastAsia"/>
                      <w:szCs w:val="21"/>
                    </w:rPr>
                    <w:t>污水处理间各处理单元密闭加盖，定时投加除臭剂，污水处理间废气排放满足《医疗机构水污染物排放标准》（GB18466-2005）中表3污水处理站周边大气污染物最高允许浓度限值要求。</w:t>
                  </w:r>
                </w:p>
              </w:tc>
              <w:tc>
                <w:tcPr>
                  <w:tcW w:w="633" w:type="pct"/>
                  <w:vAlign w:val="center"/>
                </w:tcPr>
                <w:p>
                  <w:pPr>
                    <w:pStyle w:val="33"/>
                    <w:rPr>
                      <w:szCs w:val="21"/>
                    </w:rPr>
                  </w:pPr>
                  <w:r>
                    <w:rPr>
                      <w:rFonts w:hint="eastAsia"/>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60" w:hRule="atLeast"/>
                <w:jc w:val="center"/>
              </w:trPr>
              <w:tc>
                <w:tcPr>
                  <w:tcW w:w="479" w:type="pct"/>
                  <w:vMerge w:val="continue"/>
                  <w:vAlign w:val="center"/>
                </w:tcPr>
                <w:p>
                  <w:pPr>
                    <w:pStyle w:val="33"/>
                    <w:rPr>
                      <w:szCs w:val="21"/>
                    </w:rPr>
                  </w:pPr>
                </w:p>
              </w:tc>
              <w:tc>
                <w:tcPr>
                  <w:tcW w:w="1086" w:type="pct"/>
                  <w:vAlign w:val="center"/>
                </w:tcPr>
                <w:p>
                  <w:pPr>
                    <w:pStyle w:val="33"/>
                    <w:rPr>
                      <w:szCs w:val="21"/>
                    </w:rPr>
                  </w:pPr>
                  <w:r>
                    <w:rPr>
                      <w:rFonts w:hint="eastAsia"/>
                      <w:szCs w:val="21"/>
                    </w:rPr>
                    <w:t>噪声</w:t>
                  </w:r>
                  <w:r>
                    <w:rPr>
                      <w:szCs w:val="21"/>
                    </w:rPr>
                    <w:t>处理措施</w:t>
                  </w:r>
                </w:p>
              </w:tc>
              <w:tc>
                <w:tcPr>
                  <w:tcW w:w="2800" w:type="pct"/>
                  <w:vAlign w:val="center"/>
                </w:tcPr>
                <w:p>
                  <w:pPr>
                    <w:pStyle w:val="33"/>
                    <w:rPr>
                      <w:szCs w:val="21"/>
                    </w:rPr>
                  </w:pPr>
                  <w:r>
                    <w:rPr>
                      <w:rFonts w:hint="eastAsia"/>
                      <w:szCs w:val="21"/>
                    </w:rPr>
                    <w:t>采取消声、减震、隔音等措施</w:t>
                  </w:r>
                </w:p>
              </w:tc>
              <w:tc>
                <w:tcPr>
                  <w:tcW w:w="633" w:type="pct"/>
                  <w:vAlign w:val="center"/>
                </w:tcPr>
                <w:p>
                  <w:pPr>
                    <w:pStyle w:val="33"/>
                    <w:rPr>
                      <w:szCs w:val="21"/>
                    </w:rPr>
                  </w:pPr>
                  <w:r>
                    <w:rPr>
                      <w:rFonts w:hint="eastAsia"/>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50" w:hRule="atLeast"/>
                <w:jc w:val="center"/>
              </w:trPr>
              <w:tc>
                <w:tcPr>
                  <w:tcW w:w="479" w:type="pct"/>
                  <w:vMerge w:val="continue"/>
                  <w:vAlign w:val="center"/>
                </w:tcPr>
                <w:p>
                  <w:pPr>
                    <w:pStyle w:val="33"/>
                    <w:rPr>
                      <w:szCs w:val="21"/>
                    </w:rPr>
                  </w:pPr>
                </w:p>
              </w:tc>
              <w:tc>
                <w:tcPr>
                  <w:tcW w:w="1086" w:type="pct"/>
                  <w:vAlign w:val="center"/>
                </w:tcPr>
                <w:p>
                  <w:pPr>
                    <w:pStyle w:val="33"/>
                    <w:rPr>
                      <w:szCs w:val="21"/>
                    </w:rPr>
                  </w:pPr>
                  <w:r>
                    <w:rPr>
                      <w:rFonts w:hint="eastAsia"/>
                      <w:szCs w:val="21"/>
                    </w:rPr>
                    <w:t>固体废物处理措施</w:t>
                  </w:r>
                </w:p>
              </w:tc>
              <w:tc>
                <w:tcPr>
                  <w:tcW w:w="2800" w:type="pct"/>
                  <w:vAlign w:val="center"/>
                </w:tcPr>
                <w:p>
                  <w:pPr>
                    <w:pStyle w:val="33"/>
                    <w:rPr>
                      <w:rFonts w:hint="eastAsia"/>
                      <w:szCs w:val="21"/>
                    </w:rPr>
                  </w:pPr>
                  <w:r>
                    <w:rPr>
                      <w:szCs w:val="21"/>
                    </w:rPr>
                    <w:t>生活垃圾由环卫部门统一清运处理。废包装材料</w:t>
                  </w:r>
                  <w:r>
                    <w:rPr>
                      <w:rFonts w:hint="eastAsia"/>
                      <w:szCs w:val="21"/>
                    </w:rPr>
                    <w:t>、</w:t>
                  </w:r>
                  <w:r>
                    <w:rPr>
                      <w:szCs w:val="21"/>
                    </w:rPr>
                    <w:t>分类收集后</w:t>
                  </w:r>
                  <w:r>
                    <w:rPr>
                      <w:rFonts w:hint="eastAsia"/>
                      <w:szCs w:val="21"/>
                    </w:rPr>
                    <w:t>外售综合利用。</w:t>
                  </w:r>
                  <w:r>
                    <w:rPr>
                      <w:szCs w:val="21"/>
                    </w:rPr>
                    <w:t>废弃一次性实验用品主要为实验过程产生的</w:t>
                  </w:r>
                  <w:r>
                    <w:rPr>
                      <w:rFonts w:hint="eastAsia"/>
                      <w:szCs w:val="21"/>
                    </w:rPr>
                    <w:t>废</w:t>
                  </w:r>
                  <w:r>
                    <w:rPr>
                      <w:szCs w:val="21"/>
                    </w:rPr>
                    <w:t>枪头、废口罩和手套等，属于医疗废物，</w:t>
                  </w:r>
                  <w:r>
                    <w:rPr>
                      <w:rFonts w:hint="eastAsia"/>
                      <w:szCs w:val="21"/>
                    </w:rPr>
                    <w:t>收集后暂存于</w:t>
                  </w:r>
                  <w:r>
                    <w:rPr>
                      <w:rFonts w:hint="eastAsia"/>
                      <w:szCs w:val="21"/>
                      <w:lang w:val="en-US" w:eastAsia="zh-CN"/>
                    </w:rPr>
                    <w:t>危废</w:t>
                  </w:r>
                  <w:r>
                    <w:rPr>
                      <w:rFonts w:hint="eastAsia"/>
                      <w:szCs w:val="21"/>
                    </w:rPr>
                    <w:t>暂存间交由资质单位处理</w:t>
                  </w:r>
                  <w:r>
                    <w:rPr>
                      <w:szCs w:val="21"/>
                    </w:rPr>
                    <w:t>。本项目在实验过程中会产生少量</w:t>
                  </w:r>
                  <w:r>
                    <w:rPr>
                      <w:rFonts w:hint="eastAsia"/>
                      <w:szCs w:val="21"/>
                    </w:rPr>
                    <w:t>的</w:t>
                  </w:r>
                  <w:r>
                    <w:rPr>
                      <w:szCs w:val="21"/>
                    </w:rPr>
                    <w:t>废弃样品</w:t>
                  </w:r>
                  <w:r>
                    <w:rPr>
                      <w:rFonts w:hint="eastAsia"/>
                      <w:szCs w:val="21"/>
                    </w:rPr>
                    <w:t>和</w:t>
                  </w:r>
                  <w:r>
                    <w:rPr>
                      <w:szCs w:val="21"/>
                    </w:rPr>
                    <w:t>废培养基，属于医疗废物，</w:t>
                  </w:r>
                  <w:r>
                    <w:rPr>
                      <w:rFonts w:hint="eastAsia"/>
                      <w:szCs w:val="21"/>
                    </w:rPr>
                    <w:t>收集后暂存于</w:t>
                  </w:r>
                  <w:r>
                    <w:rPr>
                      <w:rFonts w:hint="eastAsia"/>
                      <w:szCs w:val="21"/>
                      <w:lang w:val="en-US" w:eastAsia="zh-CN"/>
                    </w:rPr>
                    <w:t>危废</w:t>
                  </w:r>
                  <w:r>
                    <w:rPr>
                      <w:rFonts w:hint="eastAsia"/>
                      <w:szCs w:val="21"/>
                    </w:rPr>
                    <w:t>暂存间交由资质单位处理</w:t>
                  </w:r>
                  <w:r>
                    <w:rPr>
                      <w:szCs w:val="21"/>
                    </w:rPr>
                    <w:t>。</w:t>
                  </w:r>
                  <w:r>
                    <w:rPr>
                      <w:rFonts w:ascii="Times New Roman" w:hAnsi="Times New Roman"/>
                      <w:szCs w:val="21"/>
                    </w:rPr>
                    <w:t>废HEPA过滤器</w:t>
                  </w:r>
                  <w:r>
                    <w:rPr>
                      <w:rFonts w:hint="eastAsia" w:ascii="Times New Roman" w:hAnsi="Times New Roman"/>
                      <w:szCs w:val="21"/>
                    </w:rPr>
                    <w:t>应当由专业人士进行原位消毒后，装入安全容器内进行消毒灭菌，经消毒灭菌处理后移出实验室，</w:t>
                  </w:r>
                  <w:r>
                    <w:rPr>
                      <w:rFonts w:hint="eastAsia"/>
                      <w:szCs w:val="21"/>
                    </w:rPr>
                    <w:t>交由资质单位处理；</w:t>
                  </w:r>
                </w:p>
                <w:p>
                  <w:pPr>
                    <w:pStyle w:val="33"/>
                    <w:rPr>
                      <w:szCs w:val="21"/>
                    </w:rPr>
                  </w:pPr>
                  <w:r>
                    <w:rPr>
                      <w:rFonts w:hint="eastAsia"/>
                      <w:szCs w:val="21"/>
                      <w:lang w:val="en-US" w:eastAsia="zh-CN"/>
                    </w:rPr>
                    <w:t>废活性炭属于危险废物，收集后暂存在危险废物暂存间内，交由资质单位处理；质谱实验室运营过程会产生有机废液，属于危险废物，收集后暂存在危废暂存间内，定期交由资质单位回收处理；</w:t>
                  </w:r>
                  <w:r>
                    <w:rPr>
                      <w:rFonts w:hint="eastAsia"/>
                      <w:szCs w:val="21"/>
                    </w:rPr>
                    <w:t>污水处理间污泥</w:t>
                  </w:r>
                  <w:r>
                    <w:rPr>
                      <w:rFonts w:hint="eastAsia" w:ascii="Times New Roman" w:hAnsi="Times New Roman"/>
                      <w:szCs w:val="21"/>
                    </w:rPr>
                    <w:t>在清运处理前，采用漂白剂消毒处理，达到《医疗机构水污染物排放标准》(GB18466-2005)表4中污泥控制标准（粪大肠菌群数不大于100MPN/g，蛔虫死亡率&gt;95%）</w:t>
                  </w:r>
                  <w:r>
                    <w:rPr>
                      <w:rFonts w:hint="eastAsia"/>
                      <w:szCs w:val="21"/>
                    </w:rPr>
                    <w:t>，交由资质单位处理</w:t>
                  </w:r>
                  <w:r>
                    <w:rPr>
                      <w:szCs w:val="21"/>
                    </w:rPr>
                    <w:t>。</w:t>
                  </w:r>
                </w:p>
              </w:tc>
              <w:tc>
                <w:tcPr>
                  <w:tcW w:w="633" w:type="pct"/>
                  <w:vAlign w:val="center"/>
                </w:tcPr>
                <w:p>
                  <w:pPr>
                    <w:pStyle w:val="33"/>
                    <w:rPr>
                      <w:szCs w:val="21"/>
                    </w:rPr>
                  </w:pPr>
                  <w:r>
                    <w:rPr>
                      <w:rFonts w:hint="eastAsia"/>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50" w:hRule="atLeast"/>
                <w:jc w:val="center"/>
              </w:trPr>
              <w:tc>
                <w:tcPr>
                  <w:tcW w:w="479" w:type="pct"/>
                  <w:vMerge w:val="continue"/>
                  <w:vAlign w:val="center"/>
                </w:tcPr>
                <w:p>
                  <w:pPr>
                    <w:pStyle w:val="33"/>
                    <w:rPr>
                      <w:szCs w:val="21"/>
                    </w:rPr>
                  </w:pPr>
                </w:p>
              </w:tc>
              <w:tc>
                <w:tcPr>
                  <w:tcW w:w="1086" w:type="pct"/>
                  <w:vAlign w:val="center"/>
                </w:tcPr>
                <w:p>
                  <w:pPr>
                    <w:pStyle w:val="33"/>
                    <w:rPr>
                      <w:szCs w:val="21"/>
                    </w:rPr>
                  </w:pPr>
                  <w:r>
                    <w:rPr>
                      <w:rFonts w:hint="eastAsia"/>
                      <w:szCs w:val="21"/>
                      <w:lang w:val="en-US" w:eastAsia="zh-CN"/>
                    </w:rPr>
                    <w:t>危险废物</w:t>
                  </w:r>
                  <w:r>
                    <w:rPr>
                      <w:rFonts w:hint="eastAsia"/>
                      <w:szCs w:val="21"/>
                    </w:rPr>
                    <w:t>暂存间防渗工程</w:t>
                  </w:r>
                </w:p>
              </w:tc>
              <w:tc>
                <w:tcPr>
                  <w:tcW w:w="2800" w:type="pct"/>
                  <w:vAlign w:val="center"/>
                </w:tcPr>
                <w:p>
                  <w:pPr>
                    <w:widowControl/>
                    <w:jc w:val="left"/>
                    <w:rPr>
                      <w:szCs w:val="21"/>
                    </w:rPr>
                  </w:pPr>
                  <w:r>
                    <w:rPr>
                      <w:rFonts w:hint="eastAsia" w:ascii="宋体" w:hAnsi="宋体" w:cs="宋体"/>
                      <w:kern w:val="0"/>
                      <w:szCs w:val="21"/>
                    </w:rPr>
                    <w:t xml:space="preserve">地面及裙脚采用 </w:t>
                  </w:r>
                  <w:r>
                    <w:rPr>
                      <w:kern w:val="0"/>
                      <w:szCs w:val="21"/>
                    </w:rPr>
                    <w:t xml:space="preserve">2mm </w:t>
                  </w:r>
                  <w:r>
                    <w:rPr>
                      <w:rFonts w:hint="eastAsia" w:ascii="宋体" w:hAnsi="宋体" w:cs="宋体"/>
                      <w:kern w:val="0"/>
                      <w:szCs w:val="21"/>
                    </w:rPr>
                    <w:t>厚的高密度聚乙烯</w:t>
                  </w:r>
                  <w:r>
                    <w:rPr>
                      <w:kern w:val="0"/>
                      <w:szCs w:val="21"/>
                    </w:rPr>
                    <w:t>+</w:t>
                  </w:r>
                  <w:r>
                    <w:rPr>
                      <w:rFonts w:hint="eastAsia" w:ascii="宋体" w:hAnsi="宋体" w:cs="宋体"/>
                      <w:kern w:val="0"/>
                      <w:szCs w:val="21"/>
                    </w:rPr>
                    <w:t>防渗混凝土进行防渗处理，渗透系数</w:t>
                  </w:r>
                  <w:r>
                    <w:rPr>
                      <w:kern w:val="0"/>
                      <w:szCs w:val="21"/>
                    </w:rPr>
                    <w:t>≤10</w:t>
                  </w:r>
                  <w:r>
                    <w:rPr>
                      <w:szCs w:val="21"/>
                      <w:vertAlign w:val="superscript"/>
                    </w:rPr>
                    <w:t>-10</w:t>
                  </w:r>
                  <w:r>
                    <w:rPr>
                      <w:szCs w:val="21"/>
                    </w:rPr>
                    <w:t>cm/s</w:t>
                  </w:r>
                  <w:r>
                    <w:rPr>
                      <w:rFonts w:hint="eastAsia"/>
                      <w:szCs w:val="21"/>
                    </w:rPr>
                    <w:t>，</w:t>
                  </w:r>
                  <w:r>
                    <w:rPr>
                      <w:szCs w:val="21"/>
                    </w:rPr>
                    <w:t>防渗等级需满足《危险废物贮存污染控制标准》（GB18597-2001）及其修改单要求</w:t>
                  </w:r>
                </w:p>
              </w:tc>
              <w:tc>
                <w:tcPr>
                  <w:tcW w:w="633" w:type="pct"/>
                  <w:vAlign w:val="center"/>
                </w:tcPr>
                <w:p>
                  <w:pPr>
                    <w:pStyle w:val="33"/>
                    <w:rPr>
                      <w:szCs w:val="21"/>
                    </w:rPr>
                  </w:pPr>
                  <w:r>
                    <w:rPr>
                      <w:rFonts w:hint="eastAsia"/>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50" w:hRule="atLeast"/>
                <w:jc w:val="center"/>
              </w:trPr>
              <w:tc>
                <w:tcPr>
                  <w:tcW w:w="479" w:type="pct"/>
                  <w:vMerge w:val="continue"/>
                  <w:vAlign w:val="center"/>
                </w:tcPr>
                <w:p>
                  <w:pPr>
                    <w:pStyle w:val="33"/>
                    <w:rPr>
                      <w:szCs w:val="21"/>
                    </w:rPr>
                  </w:pPr>
                </w:p>
              </w:tc>
              <w:tc>
                <w:tcPr>
                  <w:tcW w:w="1086" w:type="pct"/>
                  <w:vAlign w:val="center"/>
                </w:tcPr>
                <w:p>
                  <w:pPr>
                    <w:pStyle w:val="33"/>
                    <w:rPr>
                      <w:szCs w:val="21"/>
                    </w:rPr>
                  </w:pPr>
                  <w:r>
                    <w:rPr>
                      <w:rFonts w:hint="eastAsia"/>
                      <w:szCs w:val="21"/>
                    </w:rPr>
                    <w:t>环境风险</w:t>
                  </w:r>
                </w:p>
              </w:tc>
              <w:tc>
                <w:tcPr>
                  <w:tcW w:w="2800" w:type="pct"/>
                  <w:vAlign w:val="center"/>
                </w:tcPr>
                <w:p>
                  <w:pPr>
                    <w:pStyle w:val="33"/>
                    <w:jc w:val="left"/>
                    <w:rPr>
                      <w:rFonts w:ascii="Times New Roman" w:hAnsi="Times New Roman"/>
                      <w:szCs w:val="21"/>
                    </w:rPr>
                  </w:pPr>
                  <w:r>
                    <w:rPr>
                      <w:rFonts w:hint="eastAsia" w:ascii="Times New Roman" w:hAnsi="Times New Roman"/>
                      <w:szCs w:val="21"/>
                    </w:rPr>
                    <w:t>①存放标本容器为防水、防漏的无菌密闭容器。容器外部不能有残留物。潜在感染性物质发生溅出、泄露、泼洒时立即消毒；设置标本冷藏库（温度控制在4℃），与其他非传染分析场所隔离，设置独立的排风设施，以防止空气对流传播，在排风设施出口安装等离子消毒设施；不准非工作人员接触标本，有防鼠、防蚊蝇、防蟑螂的安全措施；</w:t>
                  </w:r>
                </w:p>
                <w:p>
                  <w:pPr>
                    <w:pStyle w:val="33"/>
                    <w:jc w:val="left"/>
                    <w:rPr>
                      <w:rFonts w:ascii="Times New Roman" w:hAnsi="Times New Roman"/>
                      <w:szCs w:val="21"/>
                    </w:rPr>
                  </w:pPr>
                  <w:r>
                    <w:rPr>
                      <w:rFonts w:hint="eastAsia" w:ascii="Times New Roman" w:hAnsi="Times New Roman"/>
                      <w:szCs w:val="21"/>
                    </w:rPr>
                    <w:t>②设置高压灭菌锅，用于及时处理废弃标本；</w:t>
                  </w:r>
                </w:p>
                <w:p>
                  <w:pPr>
                    <w:pStyle w:val="33"/>
                    <w:jc w:val="left"/>
                    <w:rPr>
                      <w:rFonts w:ascii="Times New Roman" w:hAnsi="Times New Roman"/>
                      <w:szCs w:val="21"/>
                    </w:rPr>
                  </w:pPr>
                  <w:r>
                    <w:rPr>
                      <w:rFonts w:hint="eastAsia" w:ascii="Times New Roman" w:hAnsi="Times New Roman"/>
                      <w:szCs w:val="21"/>
                    </w:rPr>
                    <w:t>③公司对运送标本工作人员定期进行相关的生物安全知识培训。对相关实验室工作人员进行严格管理，实验室操作要戴口罩、工作帽、隔离服，接触标本时均应戴手套进行操作，离开实验室或到污染区以外的地方活动必须脱掉手套，实验要在生物安全柜或在通风柜内操作；使用直接接触污染物的仪器设备前，必须确认相应的安全防护装置能正常启用，实验工作完成后，必须对接触污染物的仪器设备进行相应的清洗、消毒。</w:t>
                  </w:r>
                </w:p>
              </w:tc>
              <w:tc>
                <w:tcPr>
                  <w:tcW w:w="633" w:type="pct"/>
                  <w:vAlign w:val="center"/>
                </w:tcPr>
                <w:p>
                  <w:pPr>
                    <w:pStyle w:val="33"/>
                    <w:rPr>
                      <w:szCs w:val="21"/>
                    </w:rPr>
                  </w:pPr>
                  <w:r>
                    <w:rPr>
                      <w:rFonts w:hint="eastAsia"/>
                      <w:szCs w:val="21"/>
                    </w:rPr>
                    <w:t>新建</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906" w:hRule="atLeast"/>
                <w:jc w:val="center"/>
              </w:trPr>
              <w:tc>
                <w:tcPr>
                  <w:tcW w:w="479" w:type="pct"/>
                  <w:vAlign w:val="center"/>
                </w:tcPr>
                <w:p>
                  <w:pPr>
                    <w:pStyle w:val="33"/>
                    <w:rPr>
                      <w:szCs w:val="21"/>
                    </w:rPr>
                  </w:pPr>
                  <w:r>
                    <w:rPr>
                      <w:rFonts w:hint="eastAsia"/>
                      <w:szCs w:val="21"/>
                    </w:rPr>
                    <w:t>依托工程</w:t>
                  </w:r>
                </w:p>
              </w:tc>
              <w:tc>
                <w:tcPr>
                  <w:tcW w:w="1086" w:type="pct"/>
                  <w:vAlign w:val="center"/>
                </w:tcPr>
                <w:p>
                  <w:pPr>
                    <w:pStyle w:val="33"/>
                    <w:rPr>
                      <w:szCs w:val="21"/>
                    </w:rPr>
                  </w:pPr>
                  <w:r>
                    <w:rPr>
                      <w:rFonts w:hint="eastAsia"/>
                      <w:szCs w:val="21"/>
                    </w:rPr>
                    <w:t>废水</w:t>
                  </w:r>
                </w:p>
              </w:tc>
              <w:tc>
                <w:tcPr>
                  <w:tcW w:w="2800" w:type="pct"/>
                  <w:vAlign w:val="center"/>
                </w:tcPr>
                <w:p>
                  <w:pPr>
                    <w:pStyle w:val="33"/>
                    <w:jc w:val="left"/>
                    <w:rPr>
                      <w:szCs w:val="21"/>
                    </w:rPr>
                  </w:pPr>
                  <w:r>
                    <w:rPr>
                      <w:rFonts w:ascii="Calibri" w:hAnsi="Calibri" w:cs="Calibri"/>
                      <w:szCs w:val="21"/>
                    </w:rPr>
                    <w:t>松浦污水处理厂主要负责处理松北区域的生活污水，采用CASS工艺。设计进水指标为CODs&lt;500mgL、BOD</w:t>
                  </w:r>
                  <w:r>
                    <w:rPr>
                      <w:rFonts w:ascii="Calibri" w:hAnsi="Calibri" w:cs="Calibri"/>
                      <w:szCs w:val="21"/>
                      <w:vertAlign w:val="subscript"/>
                    </w:rPr>
                    <w:t>5</w:t>
                  </w:r>
                  <w:r>
                    <w:rPr>
                      <w:rFonts w:ascii="Calibri" w:hAnsi="Calibri" w:cs="Calibri"/>
                      <w:szCs w:val="21"/>
                    </w:rPr>
                    <w:t>&lt;190mg/L、氨氮&lt;45mg/L、SS&lt;250mg/L、TN&lt;55mg/L、TP&lt;5mg/L，出水水质达到《城镇污水处理厂污染物排放标准》（GB18918-2002）一级A排放标准后排入松花江。设计处理能力为处理污水10万m</w:t>
                  </w:r>
                  <w:r>
                    <w:rPr>
                      <w:rFonts w:ascii="Calibri" w:hAnsi="Calibri" w:cs="Calibri"/>
                      <w:szCs w:val="21"/>
                      <w:vertAlign w:val="superscript"/>
                    </w:rPr>
                    <w:t>3</w:t>
                  </w:r>
                  <w:r>
                    <w:rPr>
                      <w:rFonts w:ascii="Calibri" w:hAnsi="Calibri" w:cs="Calibri"/>
                      <w:szCs w:val="21"/>
                    </w:rPr>
                    <w:t>/d，目前平均处理污水量为4万m</w:t>
                  </w:r>
                  <w:r>
                    <w:rPr>
                      <w:rFonts w:ascii="Calibri" w:hAnsi="Calibri" w:cs="Calibri"/>
                      <w:szCs w:val="21"/>
                      <w:vertAlign w:val="superscript"/>
                    </w:rPr>
                    <w:t>3</w:t>
                  </w:r>
                  <w:r>
                    <w:rPr>
                      <w:rFonts w:ascii="Calibri" w:hAnsi="Calibri" w:cs="Calibri"/>
                      <w:szCs w:val="21"/>
                    </w:rPr>
                    <w:t>/d。</w:t>
                  </w:r>
                </w:p>
              </w:tc>
              <w:tc>
                <w:tcPr>
                  <w:tcW w:w="633" w:type="pct"/>
                  <w:vAlign w:val="center"/>
                </w:tcPr>
                <w:p>
                  <w:pPr>
                    <w:pStyle w:val="33"/>
                    <w:rPr>
                      <w:szCs w:val="21"/>
                    </w:rPr>
                  </w:pPr>
                  <w:r>
                    <w:rPr>
                      <w:rFonts w:hint="eastAsia"/>
                      <w:szCs w:val="21"/>
                    </w:rPr>
                    <w:t>依托</w:t>
                  </w:r>
                </w:p>
              </w:tc>
            </w:tr>
          </w:tbl>
          <w:p>
            <w:pPr>
              <w:pStyle w:val="42"/>
              <w:ind w:firstLine="420"/>
            </w:pPr>
            <w:r>
              <w:rPr>
                <w:rFonts w:hint="eastAsia"/>
              </w:rPr>
              <w:t>2、</w:t>
            </w:r>
            <w:r>
              <w:t>设备情况和原料消耗</w:t>
            </w:r>
          </w:p>
          <w:p>
            <w:pPr>
              <w:pStyle w:val="42"/>
              <w:ind w:firstLine="420"/>
            </w:pPr>
            <w:r>
              <w:t>本项目</w:t>
            </w:r>
            <w:r>
              <w:rPr>
                <w:rFonts w:hint="eastAsia"/>
              </w:rPr>
              <w:t>设备情况</w:t>
            </w:r>
            <w:r>
              <w:t>见下表所示：</w:t>
            </w:r>
          </w:p>
          <w:p>
            <w:pPr>
              <w:pStyle w:val="32"/>
            </w:pPr>
            <w:r>
              <w:t>项目设备一览表</w:t>
            </w:r>
          </w:p>
          <w:tbl>
            <w:tblPr>
              <w:tblStyle w:val="27"/>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03"/>
              <w:gridCol w:w="2117"/>
              <w:gridCol w:w="1065"/>
              <w:gridCol w:w="1170"/>
              <w:gridCol w:w="190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1345" w:type="pct"/>
                  <w:tcBorders>
                    <w:tl2br w:val="nil"/>
                    <w:tr2bl w:val="nil"/>
                  </w:tcBorders>
                  <w:vAlign w:val="center"/>
                </w:tcPr>
                <w:p>
                  <w:pPr>
                    <w:jc w:val="center"/>
                    <w:rPr>
                      <w:bCs/>
                      <w:szCs w:val="21"/>
                    </w:rPr>
                  </w:pPr>
                  <w:r>
                    <w:rPr>
                      <w:bCs/>
                      <w:szCs w:val="21"/>
                    </w:rPr>
                    <w:t>设备名称</w:t>
                  </w:r>
                </w:p>
              </w:tc>
              <w:tc>
                <w:tcPr>
                  <w:tcW w:w="1236" w:type="pct"/>
                  <w:tcBorders>
                    <w:tl2br w:val="nil"/>
                    <w:tr2bl w:val="nil"/>
                  </w:tcBorders>
                  <w:vAlign w:val="center"/>
                </w:tcPr>
                <w:p>
                  <w:pPr>
                    <w:jc w:val="center"/>
                    <w:rPr>
                      <w:bCs/>
                      <w:szCs w:val="21"/>
                    </w:rPr>
                  </w:pPr>
                  <w:r>
                    <w:rPr>
                      <w:rFonts w:hint="eastAsia"/>
                      <w:bCs/>
                      <w:szCs w:val="21"/>
                    </w:rPr>
                    <w:t>用途</w:t>
                  </w:r>
                </w:p>
              </w:tc>
              <w:tc>
                <w:tcPr>
                  <w:tcW w:w="622" w:type="pct"/>
                  <w:tcBorders>
                    <w:tl2br w:val="nil"/>
                    <w:tr2bl w:val="nil"/>
                  </w:tcBorders>
                  <w:vAlign w:val="center"/>
                </w:tcPr>
                <w:p>
                  <w:pPr>
                    <w:jc w:val="center"/>
                    <w:rPr>
                      <w:bCs/>
                      <w:szCs w:val="21"/>
                    </w:rPr>
                  </w:pPr>
                  <w:r>
                    <w:rPr>
                      <w:rFonts w:hint="eastAsia"/>
                      <w:bCs/>
                      <w:szCs w:val="21"/>
                    </w:rPr>
                    <w:t>数量</w:t>
                  </w:r>
                </w:p>
              </w:tc>
              <w:tc>
                <w:tcPr>
                  <w:tcW w:w="683" w:type="pct"/>
                  <w:tcBorders>
                    <w:tl2br w:val="nil"/>
                    <w:tr2bl w:val="nil"/>
                  </w:tcBorders>
                  <w:vAlign w:val="center"/>
                </w:tcPr>
                <w:p>
                  <w:pPr>
                    <w:jc w:val="center"/>
                    <w:rPr>
                      <w:bCs/>
                      <w:szCs w:val="21"/>
                    </w:rPr>
                  </w:pPr>
                  <w:r>
                    <w:rPr>
                      <w:rFonts w:hint="eastAsia"/>
                      <w:bCs/>
                      <w:szCs w:val="21"/>
                    </w:rPr>
                    <w:t>品牌</w:t>
                  </w:r>
                </w:p>
              </w:tc>
              <w:tc>
                <w:tcPr>
                  <w:tcW w:w="1114" w:type="pct"/>
                  <w:tcBorders>
                    <w:tl2br w:val="nil"/>
                    <w:tr2bl w:val="nil"/>
                  </w:tcBorders>
                  <w:vAlign w:val="center"/>
                </w:tcPr>
                <w:p>
                  <w:pPr>
                    <w:jc w:val="center"/>
                    <w:rPr>
                      <w:bCs/>
                      <w:szCs w:val="21"/>
                    </w:rPr>
                  </w:pPr>
                  <w:r>
                    <w:rPr>
                      <w:bCs/>
                      <w:szCs w:val="21"/>
                    </w:rPr>
                    <w:t>型号（推荐）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szCs w:val="21"/>
                    </w:rPr>
                  </w:pPr>
                  <w:r>
                    <w:rPr>
                      <w:rFonts w:hint="eastAsia"/>
                      <w:bCs/>
                      <w:szCs w:val="21"/>
                    </w:rPr>
                    <w:t>生物安全柜（B2型）</w:t>
                  </w:r>
                  <w:r>
                    <w:rPr>
                      <w:bCs/>
                      <w:szCs w:val="21"/>
                    </w:rPr>
                    <w:t>机</w:t>
                  </w:r>
                </w:p>
              </w:tc>
              <w:tc>
                <w:tcPr>
                  <w:tcW w:w="1236" w:type="pct"/>
                  <w:vMerge w:val="restart"/>
                  <w:tcBorders>
                    <w:tl2br w:val="nil"/>
                    <w:tr2bl w:val="nil"/>
                  </w:tcBorders>
                  <w:vAlign w:val="center"/>
                </w:tcPr>
                <w:p>
                  <w:pPr>
                    <w:jc w:val="center"/>
                    <w:rPr>
                      <w:bCs/>
                      <w:szCs w:val="21"/>
                    </w:rPr>
                  </w:pPr>
                  <w:r>
                    <w:rPr>
                      <w:bCs/>
                      <w:kern w:val="0"/>
                      <w:szCs w:val="21"/>
                    </w:rPr>
                    <w:t>用于保护操作者、实验环境及实验材料避免危险生物因子所产生的气溶胶感染和侵害。</w:t>
                  </w:r>
                </w:p>
              </w:tc>
              <w:tc>
                <w:tcPr>
                  <w:tcW w:w="622" w:type="pct"/>
                  <w:tcBorders>
                    <w:tl2br w:val="nil"/>
                    <w:tr2bl w:val="nil"/>
                  </w:tcBorders>
                  <w:vAlign w:val="center"/>
                </w:tcPr>
                <w:p>
                  <w:pPr>
                    <w:jc w:val="center"/>
                    <w:rPr>
                      <w:bCs/>
                      <w:szCs w:val="21"/>
                    </w:rPr>
                  </w:pPr>
                  <w:r>
                    <w:rPr>
                      <w:rFonts w:hint="eastAsia"/>
                      <w:bCs/>
                      <w:szCs w:val="21"/>
                    </w:rPr>
                    <w:t>4台</w:t>
                  </w:r>
                </w:p>
              </w:tc>
              <w:tc>
                <w:tcPr>
                  <w:tcW w:w="683" w:type="pct"/>
                  <w:tcBorders>
                    <w:tl2br w:val="nil"/>
                    <w:tr2bl w:val="nil"/>
                  </w:tcBorders>
                  <w:vAlign w:val="center"/>
                </w:tcPr>
                <w:p>
                  <w:pPr>
                    <w:jc w:val="center"/>
                    <w:rPr>
                      <w:bCs/>
                      <w:szCs w:val="21"/>
                    </w:rPr>
                  </w:pPr>
                  <w:r>
                    <w:rPr>
                      <w:rFonts w:hint="eastAsia"/>
                      <w:bCs/>
                      <w:szCs w:val="21"/>
                    </w:rPr>
                    <w:t>ESCO</w:t>
                  </w:r>
                </w:p>
              </w:tc>
              <w:tc>
                <w:tcPr>
                  <w:tcW w:w="1114" w:type="pct"/>
                  <w:tcBorders>
                    <w:tl2br w:val="nil"/>
                    <w:tr2bl w:val="nil"/>
                  </w:tcBorders>
                  <w:vAlign w:val="center"/>
                </w:tcPr>
                <w:p>
                  <w:pPr>
                    <w:jc w:val="center"/>
                    <w:rPr>
                      <w:bCs/>
                      <w:szCs w:val="21"/>
                    </w:rPr>
                  </w:pPr>
                  <w:r>
                    <w:rPr>
                      <w:rFonts w:hint="eastAsia"/>
                      <w:bCs/>
                      <w:szCs w:val="21"/>
                    </w:rPr>
                    <w:t>AB2-6S1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szCs w:val="21"/>
                    </w:rPr>
                  </w:pPr>
                  <w:r>
                    <w:rPr>
                      <w:rFonts w:hint="eastAsia"/>
                      <w:bCs/>
                      <w:szCs w:val="21"/>
                    </w:rPr>
                    <w:t>生物安全柜（A2型）</w:t>
                  </w:r>
                </w:p>
              </w:tc>
              <w:tc>
                <w:tcPr>
                  <w:tcW w:w="1236" w:type="pct"/>
                  <w:vMerge w:val="continue"/>
                  <w:tcBorders>
                    <w:tl2br w:val="nil"/>
                    <w:tr2bl w:val="nil"/>
                  </w:tcBorders>
                  <w:vAlign w:val="center"/>
                </w:tcPr>
                <w:p>
                  <w:pPr>
                    <w:jc w:val="center"/>
                    <w:rPr>
                      <w:bCs/>
                      <w:szCs w:val="21"/>
                    </w:rPr>
                  </w:pPr>
                </w:p>
              </w:tc>
              <w:tc>
                <w:tcPr>
                  <w:tcW w:w="622" w:type="pct"/>
                  <w:tcBorders>
                    <w:tl2br w:val="nil"/>
                    <w:tr2bl w:val="nil"/>
                  </w:tcBorders>
                  <w:vAlign w:val="center"/>
                </w:tcPr>
                <w:p>
                  <w:pPr>
                    <w:jc w:val="center"/>
                    <w:rPr>
                      <w:bCs/>
                      <w:szCs w:val="21"/>
                    </w:rPr>
                  </w:pPr>
                  <w:r>
                    <w:rPr>
                      <w:rFonts w:hint="eastAsia"/>
                      <w:bCs/>
                      <w:szCs w:val="21"/>
                    </w:rPr>
                    <w:t>2台</w:t>
                  </w:r>
                </w:p>
              </w:tc>
              <w:tc>
                <w:tcPr>
                  <w:tcW w:w="683" w:type="pct"/>
                  <w:tcBorders>
                    <w:tl2br w:val="nil"/>
                    <w:tr2bl w:val="nil"/>
                  </w:tcBorders>
                  <w:vAlign w:val="center"/>
                </w:tcPr>
                <w:p>
                  <w:pPr>
                    <w:jc w:val="center"/>
                    <w:rPr>
                      <w:bCs/>
                      <w:szCs w:val="21"/>
                    </w:rPr>
                  </w:pPr>
                  <w:r>
                    <w:rPr>
                      <w:rFonts w:hint="eastAsia"/>
                      <w:bCs/>
                      <w:szCs w:val="21"/>
                    </w:rPr>
                    <w:t>ESCO</w:t>
                  </w:r>
                </w:p>
              </w:tc>
              <w:tc>
                <w:tcPr>
                  <w:tcW w:w="1114" w:type="pct"/>
                  <w:tcBorders>
                    <w:tl2br w:val="nil"/>
                    <w:tr2bl w:val="nil"/>
                  </w:tcBorders>
                  <w:vAlign w:val="center"/>
                </w:tcPr>
                <w:p>
                  <w:pPr>
                    <w:jc w:val="center"/>
                    <w:rPr>
                      <w:bCs/>
                      <w:szCs w:val="21"/>
                    </w:rPr>
                  </w:pPr>
                  <w:r>
                    <w:rPr>
                      <w:rFonts w:hint="eastAsia"/>
                      <w:bCs/>
                      <w:szCs w:val="21"/>
                    </w:rPr>
                    <w:t>AC2-6S8-CN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szCs w:val="21"/>
                    </w:rPr>
                  </w:pPr>
                  <w:r>
                    <w:rPr>
                      <w:rFonts w:hint="eastAsia"/>
                      <w:bCs/>
                      <w:szCs w:val="21"/>
                    </w:rPr>
                    <w:t>全自动分杯处理系统（开关盖</w:t>
                  </w:r>
                  <w:r>
                    <w:rPr>
                      <w:bCs/>
                      <w:szCs w:val="21"/>
                    </w:rPr>
                    <w:t>+</w:t>
                  </w:r>
                  <w:r>
                    <w:rPr>
                      <w:rFonts w:hint="eastAsia"/>
                      <w:bCs/>
                      <w:szCs w:val="21"/>
                    </w:rPr>
                    <w:t>移液）</w:t>
                  </w:r>
                </w:p>
              </w:tc>
              <w:tc>
                <w:tcPr>
                  <w:tcW w:w="1236" w:type="pct"/>
                  <w:tcBorders>
                    <w:tl2br w:val="nil"/>
                    <w:tr2bl w:val="nil"/>
                  </w:tcBorders>
                  <w:vAlign w:val="center"/>
                </w:tcPr>
                <w:p>
                  <w:pPr>
                    <w:jc w:val="center"/>
                    <w:rPr>
                      <w:bCs/>
                      <w:szCs w:val="21"/>
                    </w:rPr>
                  </w:pPr>
                  <w:r>
                    <w:rPr>
                      <w:bCs/>
                      <w:szCs w:val="21"/>
                    </w:rPr>
                    <w:t>用于标本和试剂的前处理</w:t>
                  </w:r>
                </w:p>
              </w:tc>
              <w:tc>
                <w:tcPr>
                  <w:tcW w:w="622" w:type="pct"/>
                  <w:tcBorders>
                    <w:tl2br w:val="nil"/>
                    <w:tr2bl w:val="nil"/>
                  </w:tcBorders>
                  <w:vAlign w:val="center"/>
                </w:tcPr>
                <w:p>
                  <w:pPr>
                    <w:jc w:val="center"/>
                    <w:rPr>
                      <w:bCs/>
                      <w:szCs w:val="21"/>
                    </w:rPr>
                  </w:pPr>
                  <w:r>
                    <w:rPr>
                      <w:rFonts w:hint="eastAsia"/>
                      <w:bCs/>
                      <w:szCs w:val="21"/>
                    </w:rPr>
                    <w:t>2台</w:t>
                  </w:r>
                </w:p>
              </w:tc>
              <w:tc>
                <w:tcPr>
                  <w:tcW w:w="683" w:type="pct"/>
                  <w:tcBorders>
                    <w:tl2br w:val="nil"/>
                    <w:tr2bl w:val="nil"/>
                  </w:tcBorders>
                  <w:vAlign w:val="center"/>
                </w:tcPr>
                <w:p>
                  <w:pPr>
                    <w:jc w:val="center"/>
                    <w:rPr>
                      <w:bCs/>
                      <w:szCs w:val="21"/>
                    </w:rPr>
                  </w:pPr>
                  <w:r>
                    <w:rPr>
                      <w:rFonts w:hint="eastAsia"/>
                      <w:bCs/>
                      <w:szCs w:val="21"/>
                    </w:rPr>
                    <w:t>华大</w:t>
                  </w:r>
                </w:p>
              </w:tc>
              <w:tc>
                <w:tcPr>
                  <w:tcW w:w="1114" w:type="pct"/>
                  <w:tcBorders>
                    <w:tl2br w:val="nil"/>
                    <w:tr2bl w:val="nil"/>
                  </w:tcBorders>
                  <w:vAlign w:val="center"/>
                </w:tcPr>
                <w:p>
                  <w:pPr>
                    <w:jc w:val="center"/>
                    <w:rPr>
                      <w:bCs/>
                      <w:szCs w:val="21"/>
                    </w:rPr>
                  </w:pPr>
                  <w:r>
                    <w:rPr>
                      <w:rFonts w:hint="eastAsia"/>
                      <w:bCs/>
                      <w:szCs w:val="21"/>
                    </w:rPr>
                    <w:t>MGISTP-7000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szCs w:val="21"/>
                    </w:rPr>
                  </w:pPr>
                  <w:r>
                    <w:rPr>
                      <w:rFonts w:hint="eastAsia"/>
                      <w:bCs/>
                      <w:szCs w:val="21"/>
                    </w:rPr>
                    <w:t>核酸自动提取仪（96T)</w:t>
                  </w:r>
                </w:p>
              </w:tc>
              <w:tc>
                <w:tcPr>
                  <w:tcW w:w="1236" w:type="pct"/>
                  <w:tcBorders>
                    <w:tl2br w:val="nil"/>
                    <w:tr2bl w:val="nil"/>
                  </w:tcBorders>
                  <w:vAlign w:val="center"/>
                </w:tcPr>
                <w:p>
                  <w:pPr>
                    <w:jc w:val="center"/>
                    <w:rPr>
                      <w:bCs/>
                      <w:szCs w:val="21"/>
                    </w:rPr>
                  </w:pPr>
                  <w:r>
                    <w:rPr>
                      <w:bCs/>
                      <w:szCs w:val="21"/>
                    </w:rPr>
                    <w:t>用于核酸的提取</w:t>
                  </w:r>
                </w:p>
              </w:tc>
              <w:tc>
                <w:tcPr>
                  <w:tcW w:w="622" w:type="pct"/>
                  <w:tcBorders>
                    <w:tl2br w:val="nil"/>
                    <w:tr2bl w:val="nil"/>
                  </w:tcBorders>
                  <w:vAlign w:val="center"/>
                </w:tcPr>
                <w:p>
                  <w:pPr>
                    <w:jc w:val="center"/>
                    <w:rPr>
                      <w:bCs/>
                      <w:szCs w:val="21"/>
                    </w:rPr>
                  </w:pPr>
                  <w:r>
                    <w:rPr>
                      <w:rFonts w:hint="eastAsia"/>
                      <w:bCs/>
                      <w:szCs w:val="21"/>
                    </w:rPr>
                    <w:t>8台</w:t>
                  </w:r>
                </w:p>
              </w:tc>
              <w:tc>
                <w:tcPr>
                  <w:tcW w:w="683" w:type="pct"/>
                  <w:tcBorders>
                    <w:tl2br w:val="nil"/>
                    <w:tr2bl w:val="nil"/>
                  </w:tcBorders>
                  <w:vAlign w:val="center"/>
                </w:tcPr>
                <w:p>
                  <w:pPr>
                    <w:jc w:val="center"/>
                    <w:rPr>
                      <w:bCs/>
                      <w:szCs w:val="21"/>
                    </w:rPr>
                  </w:pPr>
                  <w:r>
                    <w:rPr>
                      <w:rFonts w:hint="eastAsia"/>
                      <w:bCs/>
                      <w:szCs w:val="21"/>
                    </w:rPr>
                    <w:t xml:space="preserve">硕世 </w:t>
                  </w:r>
                </w:p>
              </w:tc>
              <w:tc>
                <w:tcPr>
                  <w:tcW w:w="1114" w:type="pct"/>
                  <w:tcBorders>
                    <w:tl2br w:val="nil"/>
                    <w:tr2bl w:val="nil"/>
                  </w:tcBorders>
                  <w:vAlign w:val="center"/>
                </w:tcPr>
                <w:p>
                  <w:pPr>
                    <w:jc w:val="center"/>
                    <w:rPr>
                      <w:bCs/>
                      <w:szCs w:val="21"/>
                    </w:rPr>
                  </w:pPr>
                  <w:r>
                    <w:rPr>
                      <w:rFonts w:hint="eastAsia"/>
                      <w:bCs/>
                      <w:szCs w:val="21"/>
                    </w:rPr>
                    <w:t xml:space="preserve">SSNP-9600A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szCs w:val="21"/>
                    </w:rPr>
                  </w:pPr>
                  <w:r>
                    <w:rPr>
                      <w:rFonts w:hint="eastAsia"/>
                      <w:bCs/>
                      <w:szCs w:val="21"/>
                    </w:rPr>
                    <w:t>高通量实时荧光定量PCR仪(96与384 双模块)</w:t>
                  </w:r>
                </w:p>
              </w:tc>
              <w:tc>
                <w:tcPr>
                  <w:tcW w:w="1236" w:type="pct"/>
                  <w:tcBorders>
                    <w:tl2br w:val="nil"/>
                    <w:tr2bl w:val="nil"/>
                  </w:tcBorders>
                  <w:vAlign w:val="center"/>
                </w:tcPr>
                <w:p>
                  <w:pPr>
                    <w:jc w:val="center"/>
                    <w:rPr>
                      <w:bCs/>
                      <w:szCs w:val="21"/>
                    </w:rPr>
                  </w:pPr>
                  <w:r>
                    <w:rPr>
                      <w:bCs/>
                      <w:szCs w:val="21"/>
                    </w:rPr>
                    <w:t>用于核酸的</w:t>
                  </w:r>
                  <w:r>
                    <w:rPr>
                      <w:rFonts w:hint="eastAsia"/>
                      <w:bCs/>
                      <w:szCs w:val="21"/>
                    </w:rPr>
                    <w:t>检测</w:t>
                  </w:r>
                </w:p>
              </w:tc>
              <w:tc>
                <w:tcPr>
                  <w:tcW w:w="622" w:type="pct"/>
                  <w:tcBorders>
                    <w:tl2br w:val="nil"/>
                    <w:tr2bl w:val="nil"/>
                  </w:tcBorders>
                  <w:vAlign w:val="center"/>
                </w:tcPr>
                <w:p>
                  <w:pPr>
                    <w:jc w:val="center"/>
                    <w:rPr>
                      <w:bCs/>
                      <w:szCs w:val="21"/>
                    </w:rPr>
                  </w:pPr>
                  <w:r>
                    <w:rPr>
                      <w:rFonts w:hint="eastAsia"/>
                      <w:bCs/>
                      <w:szCs w:val="21"/>
                    </w:rPr>
                    <w:t xml:space="preserve">4 台 </w:t>
                  </w:r>
                </w:p>
              </w:tc>
              <w:tc>
                <w:tcPr>
                  <w:tcW w:w="683" w:type="pct"/>
                  <w:tcBorders>
                    <w:tl2br w:val="nil"/>
                    <w:tr2bl w:val="nil"/>
                  </w:tcBorders>
                  <w:vAlign w:val="center"/>
                </w:tcPr>
                <w:p>
                  <w:pPr>
                    <w:jc w:val="center"/>
                    <w:rPr>
                      <w:bCs/>
                      <w:szCs w:val="21"/>
                    </w:rPr>
                  </w:pPr>
                  <w:r>
                    <w:rPr>
                      <w:rFonts w:hint="eastAsia"/>
                      <w:bCs/>
                      <w:szCs w:val="21"/>
                    </w:rPr>
                    <w:t>ABI</w:t>
                  </w:r>
                </w:p>
              </w:tc>
              <w:tc>
                <w:tcPr>
                  <w:tcW w:w="1114" w:type="pct"/>
                  <w:tcBorders>
                    <w:tl2br w:val="nil"/>
                    <w:tr2bl w:val="nil"/>
                  </w:tcBorders>
                  <w:vAlign w:val="center"/>
                </w:tcPr>
                <w:p>
                  <w:pPr>
                    <w:jc w:val="center"/>
                    <w:rPr>
                      <w:bCs/>
                      <w:szCs w:val="21"/>
                    </w:rPr>
                  </w:pPr>
                  <w:r>
                    <w:rPr>
                      <w:rFonts w:hint="eastAsia"/>
                      <w:bCs/>
                      <w:szCs w:val="21"/>
                    </w:rPr>
                    <w:t>QuantStudio7FLEX</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szCs w:val="21"/>
                    </w:rPr>
                  </w:pPr>
                  <w:r>
                    <w:rPr>
                      <w:rFonts w:hint="eastAsia"/>
                      <w:bCs/>
                      <w:szCs w:val="21"/>
                    </w:rPr>
                    <w:t>自动化移液工作站</w:t>
                  </w:r>
                </w:p>
              </w:tc>
              <w:tc>
                <w:tcPr>
                  <w:tcW w:w="1236" w:type="pct"/>
                  <w:tcBorders>
                    <w:tl2br w:val="nil"/>
                    <w:tr2bl w:val="nil"/>
                  </w:tcBorders>
                  <w:vAlign w:val="center"/>
                </w:tcPr>
                <w:p>
                  <w:pPr>
                    <w:jc w:val="center"/>
                    <w:rPr>
                      <w:bCs/>
                      <w:szCs w:val="21"/>
                    </w:rPr>
                  </w:pPr>
                  <w:r>
                    <w:rPr>
                      <w:bCs/>
                      <w:szCs w:val="21"/>
                    </w:rPr>
                    <w:t>用于试剂和样品的加样</w:t>
                  </w:r>
                </w:p>
              </w:tc>
              <w:tc>
                <w:tcPr>
                  <w:tcW w:w="622" w:type="pct"/>
                  <w:tcBorders>
                    <w:tl2br w:val="nil"/>
                    <w:tr2bl w:val="nil"/>
                  </w:tcBorders>
                  <w:vAlign w:val="center"/>
                </w:tcPr>
                <w:p>
                  <w:pPr>
                    <w:jc w:val="center"/>
                    <w:rPr>
                      <w:bCs/>
                      <w:szCs w:val="21"/>
                    </w:rPr>
                  </w:pPr>
                  <w:r>
                    <w:rPr>
                      <w:rFonts w:hint="eastAsia"/>
                      <w:bCs/>
                      <w:szCs w:val="21"/>
                    </w:rPr>
                    <w:t>2 台</w:t>
                  </w:r>
                </w:p>
              </w:tc>
              <w:tc>
                <w:tcPr>
                  <w:tcW w:w="683" w:type="pct"/>
                  <w:tcBorders>
                    <w:tl2br w:val="nil"/>
                    <w:tr2bl w:val="nil"/>
                  </w:tcBorders>
                  <w:vAlign w:val="center"/>
                </w:tcPr>
                <w:p>
                  <w:pPr>
                    <w:jc w:val="center"/>
                    <w:rPr>
                      <w:bCs/>
                      <w:szCs w:val="21"/>
                    </w:rPr>
                  </w:pPr>
                  <w:r>
                    <w:rPr>
                      <w:rFonts w:hint="eastAsia"/>
                      <w:bCs/>
                      <w:szCs w:val="21"/>
                    </w:rPr>
                    <w:t>Hamilton</w:t>
                  </w:r>
                </w:p>
              </w:tc>
              <w:tc>
                <w:tcPr>
                  <w:tcW w:w="1114" w:type="pct"/>
                  <w:tcBorders>
                    <w:tl2br w:val="nil"/>
                    <w:tr2bl w:val="nil"/>
                  </w:tcBorders>
                  <w:vAlign w:val="center"/>
                </w:tcPr>
                <w:p>
                  <w:pPr>
                    <w:jc w:val="center"/>
                    <w:rPr>
                      <w:bCs/>
                      <w:szCs w:val="21"/>
                    </w:rPr>
                  </w:pPr>
                  <w:r>
                    <w:rPr>
                      <w:rFonts w:hint="eastAsia"/>
                      <w:bCs/>
                      <w:szCs w:val="21"/>
                    </w:rPr>
                    <w:t>Microlab Prep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szCs w:val="21"/>
                    </w:rPr>
                  </w:pPr>
                  <w:r>
                    <w:rPr>
                      <w:rFonts w:hint="eastAsia"/>
                      <w:bCs/>
                      <w:szCs w:val="21"/>
                    </w:rPr>
                    <w:t>移动式干雾灭菌器</w:t>
                  </w:r>
                </w:p>
              </w:tc>
              <w:tc>
                <w:tcPr>
                  <w:tcW w:w="1236" w:type="pct"/>
                  <w:tcBorders>
                    <w:tl2br w:val="nil"/>
                    <w:tr2bl w:val="nil"/>
                  </w:tcBorders>
                  <w:vAlign w:val="center"/>
                </w:tcPr>
                <w:p>
                  <w:pPr>
                    <w:jc w:val="center"/>
                    <w:rPr>
                      <w:bCs/>
                      <w:szCs w:val="21"/>
                    </w:rPr>
                  </w:pPr>
                  <w:r>
                    <w:rPr>
                      <w:bCs/>
                      <w:szCs w:val="21"/>
                    </w:rPr>
                    <w:t>用于空气消毒</w:t>
                  </w:r>
                </w:p>
              </w:tc>
              <w:tc>
                <w:tcPr>
                  <w:tcW w:w="622" w:type="pct"/>
                  <w:tcBorders>
                    <w:tl2br w:val="nil"/>
                    <w:tr2bl w:val="nil"/>
                  </w:tcBorders>
                  <w:vAlign w:val="center"/>
                </w:tcPr>
                <w:p>
                  <w:pPr>
                    <w:jc w:val="center"/>
                    <w:rPr>
                      <w:bCs/>
                      <w:szCs w:val="21"/>
                    </w:rPr>
                  </w:pPr>
                  <w:r>
                    <w:rPr>
                      <w:rFonts w:hint="eastAsia"/>
                      <w:bCs/>
                      <w:szCs w:val="21"/>
                    </w:rPr>
                    <w:t>2 台</w:t>
                  </w:r>
                </w:p>
              </w:tc>
              <w:tc>
                <w:tcPr>
                  <w:tcW w:w="683" w:type="pct"/>
                  <w:tcBorders>
                    <w:tl2br w:val="nil"/>
                    <w:tr2bl w:val="nil"/>
                  </w:tcBorders>
                  <w:vAlign w:val="center"/>
                </w:tcPr>
                <w:p>
                  <w:pPr>
                    <w:jc w:val="center"/>
                    <w:rPr>
                      <w:bCs/>
                      <w:szCs w:val="21"/>
                    </w:rPr>
                  </w:pPr>
                  <w:r>
                    <w:rPr>
                      <w:rFonts w:hint="eastAsia"/>
                      <w:bCs/>
                      <w:szCs w:val="21"/>
                    </w:rPr>
                    <w:t>欧菲姆</w:t>
                  </w:r>
                </w:p>
              </w:tc>
              <w:tc>
                <w:tcPr>
                  <w:tcW w:w="1114" w:type="pct"/>
                  <w:tcBorders>
                    <w:tl2br w:val="nil"/>
                    <w:tr2bl w:val="nil"/>
                  </w:tcBorders>
                  <w:vAlign w:val="center"/>
                </w:tcPr>
                <w:p>
                  <w:pPr>
                    <w:jc w:val="center"/>
                    <w:rPr>
                      <w:bCs/>
                      <w:szCs w:val="21"/>
                    </w:rPr>
                  </w:pPr>
                  <w:r>
                    <w:rPr>
                      <w:rFonts w:hint="eastAsia"/>
                      <w:bCs/>
                      <w:szCs w:val="21"/>
                    </w:rPr>
                    <w:t xml:space="preserve">nocospray2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szCs w:val="21"/>
                    </w:rPr>
                  </w:pPr>
                  <w:r>
                    <w:rPr>
                      <w:rFonts w:hint="eastAsia"/>
                      <w:bCs/>
                      <w:szCs w:val="21"/>
                    </w:rPr>
                    <w:t>移动紫外灯</w:t>
                  </w:r>
                </w:p>
              </w:tc>
              <w:tc>
                <w:tcPr>
                  <w:tcW w:w="1236" w:type="pct"/>
                  <w:tcBorders>
                    <w:tl2br w:val="nil"/>
                    <w:tr2bl w:val="nil"/>
                  </w:tcBorders>
                  <w:vAlign w:val="center"/>
                </w:tcPr>
                <w:p>
                  <w:pPr>
                    <w:jc w:val="center"/>
                    <w:rPr>
                      <w:bCs/>
                      <w:szCs w:val="21"/>
                    </w:rPr>
                  </w:pPr>
                  <w:r>
                    <w:rPr>
                      <w:bCs/>
                      <w:szCs w:val="21"/>
                    </w:rPr>
                    <w:t>用于空气消毒</w:t>
                  </w:r>
                </w:p>
              </w:tc>
              <w:tc>
                <w:tcPr>
                  <w:tcW w:w="622" w:type="pct"/>
                  <w:tcBorders>
                    <w:tl2br w:val="nil"/>
                    <w:tr2bl w:val="nil"/>
                  </w:tcBorders>
                  <w:vAlign w:val="center"/>
                </w:tcPr>
                <w:p>
                  <w:pPr>
                    <w:jc w:val="center"/>
                    <w:rPr>
                      <w:bCs/>
                      <w:szCs w:val="21"/>
                    </w:rPr>
                  </w:pPr>
                  <w:r>
                    <w:rPr>
                      <w:rFonts w:hint="eastAsia"/>
                      <w:bCs/>
                      <w:szCs w:val="21"/>
                    </w:rPr>
                    <w:t xml:space="preserve">6 台 </w:t>
                  </w:r>
                </w:p>
              </w:tc>
              <w:tc>
                <w:tcPr>
                  <w:tcW w:w="683" w:type="pct"/>
                  <w:tcBorders>
                    <w:tl2br w:val="nil"/>
                    <w:tr2bl w:val="nil"/>
                  </w:tcBorders>
                  <w:vAlign w:val="center"/>
                </w:tcPr>
                <w:p>
                  <w:pPr>
                    <w:jc w:val="center"/>
                    <w:rPr>
                      <w:bCs/>
                      <w:szCs w:val="21"/>
                    </w:rPr>
                  </w:pPr>
                  <w:r>
                    <w:rPr>
                      <w:rFonts w:hint="eastAsia"/>
                      <w:bCs/>
                      <w:szCs w:val="21"/>
                    </w:rPr>
                    <w:t>远燕</w:t>
                  </w:r>
                </w:p>
              </w:tc>
              <w:tc>
                <w:tcPr>
                  <w:tcW w:w="1114" w:type="pct"/>
                  <w:tcBorders>
                    <w:tl2br w:val="nil"/>
                    <w:tr2bl w:val="nil"/>
                  </w:tcBorders>
                  <w:vAlign w:val="center"/>
                </w:tcPr>
                <w:p>
                  <w:pPr>
                    <w:jc w:val="center"/>
                    <w:rPr>
                      <w:bCs/>
                      <w:szCs w:val="21"/>
                    </w:rPr>
                  </w:pPr>
                  <w:r>
                    <w:rPr>
                      <w:rFonts w:hint="eastAsia"/>
                      <w:bCs/>
                      <w:szCs w:val="21"/>
                    </w:rPr>
                    <w:t xml:space="preserve">YZSC-II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szCs w:val="21"/>
                    </w:rPr>
                  </w:pPr>
                  <w:r>
                    <w:rPr>
                      <w:rFonts w:hint="eastAsia"/>
                      <w:bCs/>
                      <w:szCs w:val="21"/>
                    </w:rPr>
                    <w:t>离心机（生物安全型）</w:t>
                  </w:r>
                </w:p>
              </w:tc>
              <w:tc>
                <w:tcPr>
                  <w:tcW w:w="1236" w:type="pct"/>
                  <w:tcBorders>
                    <w:tl2br w:val="nil"/>
                    <w:tr2bl w:val="nil"/>
                  </w:tcBorders>
                  <w:vAlign w:val="center"/>
                </w:tcPr>
                <w:p>
                  <w:pPr>
                    <w:jc w:val="center"/>
                    <w:rPr>
                      <w:bCs/>
                      <w:szCs w:val="21"/>
                    </w:rPr>
                  </w:pPr>
                  <w:r>
                    <w:rPr>
                      <w:bCs/>
                      <w:szCs w:val="21"/>
                    </w:rPr>
                    <w:t>用于标本和试剂的前处理</w:t>
                  </w:r>
                </w:p>
              </w:tc>
              <w:tc>
                <w:tcPr>
                  <w:tcW w:w="622" w:type="pct"/>
                  <w:tcBorders>
                    <w:tl2br w:val="nil"/>
                    <w:tr2bl w:val="nil"/>
                  </w:tcBorders>
                  <w:vAlign w:val="center"/>
                </w:tcPr>
                <w:p>
                  <w:pPr>
                    <w:jc w:val="center"/>
                    <w:rPr>
                      <w:bCs/>
                      <w:szCs w:val="21"/>
                    </w:rPr>
                  </w:pPr>
                  <w:r>
                    <w:rPr>
                      <w:rFonts w:hint="eastAsia"/>
                      <w:bCs/>
                      <w:szCs w:val="21"/>
                    </w:rPr>
                    <w:t>2台</w:t>
                  </w:r>
                </w:p>
              </w:tc>
              <w:tc>
                <w:tcPr>
                  <w:tcW w:w="683" w:type="pct"/>
                  <w:tcBorders>
                    <w:tl2br w:val="nil"/>
                    <w:tr2bl w:val="nil"/>
                  </w:tcBorders>
                  <w:vAlign w:val="center"/>
                </w:tcPr>
                <w:p>
                  <w:pPr>
                    <w:jc w:val="center"/>
                    <w:rPr>
                      <w:bCs/>
                      <w:szCs w:val="21"/>
                    </w:rPr>
                  </w:pPr>
                  <w:r>
                    <w:rPr>
                      <w:rFonts w:hint="eastAsia"/>
                      <w:bCs/>
                      <w:szCs w:val="21"/>
                    </w:rPr>
                    <w:t>湘仪</w:t>
                  </w:r>
                </w:p>
              </w:tc>
              <w:tc>
                <w:tcPr>
                  <w:tcW w:w="1114" w:type="pct"/>
                  <w:tcBorders>
                    <w:tl2br w:val="nil"/>
                    <w:tr2bl w:val="nil"/>
                  </w:tcBorders>
                  <w:vAlign w:val="center"/>
                </w:tcPr>
                <w:p>
                  <w:pPr>
                    <w:jc w:val="center"/>
                    <w:rPr>
                      <w:bCs/>
                      <w:szCs w:val="21"/>
                    </w:rPr>
                  </w:pPr>
                  <w:r>
                    <w:rPr>
                      <w:rFonts w:hint="eastAsia"/>
                      <w:bCs/>
                      <w:szCs w:val="21"/>
                    </w:rPr>
                    <w:t>CLT40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szCs w:val="21"/>
                    </w:rPr>
                  </w:pPr>
                  <w:r>
                    <w:rPr>
                      <w:rFonts w:hint="eastAsia"/>
                      <w:bCs/>
                      <w:szCs w:val="21"/>
                    </w:rPr>
                    <w:t>台式微量离心机（普通保存管转子）</w:t>
                  </w:r>
                </w:p>
              </w:tc>
              <w:tc>
                <w:tcPr>
                  <w:tcW w:w="1236" w:type="pct"/>
                  <w:tcBorders>
                    <w:tl2br w:val="nil"/>
                    <w:tr2bl w:val="nil"/>
                  </w:tcBorders>
                  <w:vAlign w:val="center"/>
                </w:tcPr>
                <w:p>
                  <w:pPr>
                    <w:jc w:val="center"/>
                    <w:rPr>
                      <w:bCs/>
                      <w:szCs w:val="21"/>
                    </w:rPr>
                  </w:pPr>
                  <w:r>
                    <w:rPr>
                      <w:bCs/>
                      <w:szCs w:val="21"/>
                    </w:rPr>
                    <w:t>用于标本和试剂的前处理</w:t>
                  </w:r>
                </w:p>
              </w:tc>
              <w:tc>
                <w:tcPr>
                  <w:tcW w:w="622" w:type="pct"/>
                  <w:tcBorders>
                    <w:tl2br w:val="nil"/>
                    <w:tr2bl w:val="nil"/>
                  </w:tcBorders>
                  <w:vAlign w:val="center"/>
                </w:tcPr>
                <w:p>
                  <w:pPr>
                    <w:jc w:val="center"/>
                    <w:rPr>
                      <w:bCs/>
                      <w:szCs w:val="21"/>
                    </w:rPr>
                  </w:pPr>
                  <w:r>
                    <w:rPr>
                      <w:rFonts w:hint="eastAsia"/>
                      <w:bCs/>
                      <w:szCs w:val="21"/>
                    </w:rPr>
                    <w:t xml:space="preserve">4台 </w:t>
                  </w:r>
                </w:p>
              </w:tc>
              <w:tc>
                <w:tcPr>
                  <w:tcW w:w="683" w:type="pct"/>
                  <w:tcBorders>
                    <w:tl2br w:val="nil"/>
                    <w:tr2bl w:val="nil"/>
                  </w:tcBorders>
                  <w:vAlign w:val="center"/>
                </w:tcPr>
                <w:p>
                  <w:pPr>
                    <w:jc w:val="center"/>
                    <w:rPr>
                      <w:bCs/>
                      <w:szCs w:val="21"/>
                    </w:rPr>
                  </w:pPr>
                  <w:r>
                    <w:rPr>
                      <w:rFonts w:hint="eastAsia"/>
                      <w:bCs/>
                      <w:szCs w:val="21"/>
                    </w:rPr>
                    <w:t xml:space="preserve">湘仪 </w:t>
                  </w:r>
                </w:p>
              </w:tc>
              <w:tc>
                <w:tcPr>
                  <w:tcW w:w="1114" w:type="pct"/>
                  <w:tcBorders>
                    <w:tl2br w:val="nil"/>
                    <w:tr2bl w:val="nil"/>
                  </w:tcBorders>
                  <w:vAlign w:val="center"/>
                </w:tcPr>
                <w:p>
                  <w:pPr>
                    <w:jc w:val="center"/>
                    <w:rPr>
                      <w:bCs/>
                      <w:szCs w:val="21"/>
                    </w:rPr>
                  </w:pPr>
                  <w:r>
                    <w:rPr>
                      <w:rFonts w:hint="eastAsia"/>
                      <w:bCs/>
                      <w:szCs w:val="21"/>
                    </w:rPr>
                    <w:t>H1650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szCs w:val="21"/>
                    </w:rPr>
                  </w:pPr>
                  <w:r>
                    <w:rPr>
                      <w:rFonts w:hint="eastAsia"/>
                      <w:bCs/>
                      <w:szCs w:val="21"/>
                    </w:rPr>
                    <w:t>台式微量离心机机（八联管转子）</w:t>
                  </w:r>
                </w:p>
              </w:tc>
              <w:tc>
                <w:tcPr>
                  <w:tcW w:w="1236" w:type="pct"/>
                  <w:tcBorders>
                    <w:tl2br w:val="nil"/>
                    <w:tr2bl w:val="nil"/>
                  </w:tcBorders>
                  <w:vAlign w:val="center"/>
                </w:tcPr>
                <w:p>
                  <w:pPr>
                    <w:jc w:val="center"/>
                    <w:rPr>
                      <w:bCs/>
                      <w:szCs w:val="21"/>
                    </w:rPr>
                  </w:pPr>
                  <w:r>
                    <w:rPr>
                      <w:bCs/>
                      <w:szCs w:val="21"/>
                    </w:rPr>
                    <w:t>用于标本和试剂的前处理</w:t>
                  </w:r>
                </w:p>
              </w:tc>
              <w:tc>
                <w:tcPr>
                  <w:tcW w:w="622" w:type="pct"/>
                  <w:tcBorders>
                    <w:tl2br w:val="nil"/>
                    <w:tr2bl w:val="nil"/>
                  </w:tcBorders>
                  <w:vAlign w:val="center"/>
                </w:tcPr>
                <w:p>
                  <w:pPr>
                    <w:jc w:val="center"/>
                    <w:rPr>
                      <w:bCs/>
                      <w:szCs w:val="21"/>
                    </w:rPr>
                  </w:pPr>
                  <w:r>
                    <w:rPr>
                      <w:rFonts w:hint="eastAsia"/>
                      <w:bCs/>
                      <w:szCs w:val="21"/>
                    </w:rPr>
                    <w:t>2台</w:t>
                  </w:r>
                </w:p>
              </w:tc>
              <w:tc>
                <w:tcPr>
                  <w:tcW w:w="683" w:type="pct"/>
                  <w:tcBorders>
                    <w:tl2br w:val="nil"/>
                    <w:tr2bl w:val="nil"/>
                  </w:tcBorders>
                  <w:vAlign w:val="center"/>
                </w:tcPr>
                <w:p>
                  <w:pPr>
                    <w:jc w:val="center"/>
                    <w:rPr>
                      <w:bCs/>
                      <w:szCs w:val="21"/>
                    </w:rPr>
                  </w:pPr>
                  <w:r>
                    <w:rPr>
                      <w:rFonts w:hint="eastAsia"/>
                      <w:bCs/>
                      <w:szCs w:val="21"/>
                    </w:rPr>
                    <w:t>湘仪</w:t>
                  </w:r>
                </w:p>
                <w:p>
                  <w:pPr>
                    <w:jc w:val="center"/>
                    <w:rPr>
                      <w:bCs/>
                      <w:szCs w:val="21"/>
                    </w:rPr>
                  </w:pPr>
                </w:p>
              </w:tc>
              <w:tc>
                <w:tcPr>
                  <w:tcW w:w="1114" w:type="pct"/>
                  <w:tcBorders>
                    <w:tl2br w:val="nil"/>
                    <w:tr2bl w:val="nil"/>
                  </w:tcBorders>
                  <w:vAlign w:val="center"/>
                </w:tcPr>
                <w:p>
                  <w:pPr>
                    <w:jc w:val="center"/>
                    <w:rPr>
                      <w:bCs/>
                      <w:szCs w:val="21"/>
                    </w:rPr>
                  </w:pPr>
                  <w:r>
                    <w:rPr>
                      <w:rFonts w:hint="eastAsia"/>
                      <w:bCs/>
                      <w:szCs w:val="21"/>
                    </w:rPr>
                    <w:t xml:space="preserve">H1650-W </w:t>
                  </w:r>
                </w:p>
                <w:p>
                  <w:pPr>
                    <w:jc w:val="center"/>
                    <w:rPr>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szCs w:val="21"/>
                    </w:rPr>
                  </w:pPr>
                  <w:r>
                    <w:rPr>
                      <w:rFonts w:hint="eastAsia"/>
                      <w:bCs/>
                      <w:szCs w:val="21"/>
                    </w:rPr>
                    <w:t>涡旋振荡器</w:t>
                  </w:r>
                </w:p>
              </w:tc>
              <w:tc>
                <w:tcPr>
                  <w:tcW w:w="1236" w:type="pct"/>
                  <w:tcBorders>
                    <w:tl2br w:val="nil"/>
                    <w:tr2bl w:val="nil"/>
                  </w:tcBorders>
                  <w:vAlign w:val="center"/>
                </w:tcPr>
                <w:p>
                  <w:pPr>
                    <w:jc w:val="center"/>
                    <w:rPr>
                      <w:bCs/>
                      <w:szCs w:val="21"/>
                    </w:rPr>
                  </w:pPr>
                  <w:r>
                    <w:rPr>
                      <w:bCs/>
                      <w:szCs w:val="21"/>
                    </w:rPr>
                    <w:t>用于标本和试剂的前处理</w:t>
                  </w:r>
                </w:p>
              </w:tc>
              <w:tc>
                <w:tcPr>
                  <w:tcW w:w="622" w:type="pct"/>
                  <w:tcBorders>
                    <w:tl2br w:val="nil"/>
                    <w:tr2bl w:val="nil"/>
                  </w:tcBorders>
                  <w:vAlign w:val="center"/>
                </w:tcPr>
                <w:p>
                  <w:pPr>
                    <w:jc w:val="center"/>
                    <w:rPr>
                      <w:bCs/>
                      <w:szCs w:val="21"/>
                    </w:rPr>
                  </w:pPr>
                  <w:r>
                    <w:rPr>
                      <w:rFonts w:hint="eastAsia"/>
                      <w:bCs/>
                      <w:szCs w:val="21"/>
                    </w:rPr>
                    <w:t>4台</w:t>
                  </w:r>
                </w:p>
              </w:tc>
              <w:tc>
                <w:tcPr>
                  <w:tcW w:w="683" w:type="pct"/>
                  <w:tcBorders>
                    <w:tl2br w:val="nil"/>
                    <w:tr2bl w:val="nil"/>
                  </w:tcBorders>
                  <w:vAlign w:val="center"/>
                </w:tcPr>
                <w:p>
                  <w:pPr>
                    <w:jc w:val="center"/>
                    <w:rPr>
                      <w:bCs/>
                      <w:szCs w:val="21"/>
                    </w:rPr>
                  </w:pPr>
                  <w:r>
                    <w:rPr>
                      <w:rFonts w:hint="eastAsia"/>
                      <w:bCs/>
                      <w:szCs w:val="21"/>
                    </w:rPr>
                    <w:t>大龙</w:t>
                  </w:r>
                </w:p>
              </w:tc>
              <w:tc>
                <w:tcPr>
                  <w:tcW w:w="1114" w:type="pct"/>
                  <w:tcBorders>
                    <w:tl2br w:val="nil"/>
                    <w:tr2bl w:val="nil"/>
                  </w:tcBorders>
                  <w:vAlign w:val="center"/>
                </w:tcPr>
                <w:p>
                  <w:pPr>
                    <w:jc w:val="center"/>
                    <w:rPr>
                      <w:bCs/>
                      <w:szCs w:val="21"/>
                    </w:rPr>
                  </w:pPr>
                  <w:r>
                    <w:rPr>
                      <w:rFonts w:hint="eastAsia"/>
                      <w:bCs/>
                      <w:szCs w:val="21"/>
                    </w:rPr>
                    <w:t xml:space="preserve">MX-S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szCs w:val="21"/>
                    </w:rPr>
                  </w:pPr>
                  <w:r>
                    <w:rPr>
                      <w:rFonts w:hint="eastAsia"/>
                      <w:bCs/>
                      <w:szCs w:val="21"/>
                    </w:rPr>
                    <w:t>微量振荡器</w:t>
                  </w:r>
                </w:p>
              </w:tc>
              <w:tc>
                <w:tcPr>
                  <w:tcW w:w="1236" w:type="pct"/>
                  <w:tcBorders>
                    <w:tl2br w:val="nil"/>
                    <w:tr2bl w:val="nil"/>
                  </w:tcBorders>
                  <w:vAlign w:val="center"/>
                </w:tcPr>
                <w:p>
                  <w:pPr>
                    <w:jc w:val="center"/>
                    <w:rPr>
                      <w:bCs/>
                      <w:szCs w:val="21"/>
                    </w:rPr>
                  </w:pPr>
                  <w:r>
                    <w:rPr>
                      <w:bCs/>
                      <w:szCs w:val="21"/>
                    </w:rPr>
                    <w:t>用于标本和试剂的前处理</w:t>
                  </w:r>
                </w:p>
              </w:tc>
              <w:tc>
                <w:tcPr>
                  <w:tcW w:w="622" w:type="pct"/>
                  <w:tcBorders>
                    <w:tl2br w:val="nil"/>
                    <w:tr2bl w:val="nil"/>
                  </w:tcBorders>
                  <w:vAlign w:val="center"/>
                </w:tcPr>
                <w:p>
                  <w:pPr>
                    <w:jc w:val="center"/>
                    <w:rPr>
                      <w:bCs/>
                      <w:szCs w:val="21"/>
                    </w:rPr>
                  </w:pPr>
                  <w:r>
                    <w:rPr>
                      <w:rFonts w:hint="eastAsia"/>
                      <w:bCs/>
                      <w:szCs w:val="21"/>
                    </w:rPr>
                    <w:t>4台</w:t>
                  </w:r>
                </w:p>
              </w:tc>
              <w:tc>
                <w:tcPr>
                  <w:tcW w:w="683" w:type="pct"/>
                  <w:tcBorders>
                    <w:tl2br w:val="nil"/>
                    <w:tr2bl w:val="nil"/>
                  </w:tcBorders>
                  <w:vAlign w:val="center"/>
                </w:tcPr>
                <w:p>
                  <w:pPr>
                    <w:jc w:val="center"/>
                    <w:rPr>
                      <w:bCs/>
                      <w:szCs w:val="21"/>
                    </w:rPr>
                  </w:pPr>
                  <w:r>
                    <w:rPr>
                      <w:rFonts w:hint="eastAsia"/>
                      <w:bCs/>
                      <w:szCs w:val="21"/>
                    </w:rPr>
                    <w:t>大龙</w:t>
                  </w:r>
                </w:p>
              </w:tc>
              <w:tc>
                <w:tcPr>
                  <w:tcW w:w="1114" w:type="pct"/>
                  <w:tcBorders>
                    <w:tl2br w:val="nil"/>
                    <w:tr2bl w:val="nil"/>
                  </w:tcBorders>
                  <w:vAlign w:val="center"/>
                </w:tcPr>
                <w:p>
                  <w:pPr>
                    <w:jc w:val="center"/>
                    <w:rPr>
                      <w:bCs/>
                      <w:szCs w:val="21"/>
                    </w:rPr>
                  </w:pPr>
                  <w:r>
                    <w:rPr>
                      <w:rFonts w:hint="eastAsia"/>
                      <w:bCs/>
                      <w:szCs w:val="21"/>
                    </w:rPr>
                    <w:t xml:space="preserve">MX-M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szCs w:val="21"/>
                    </w:rPr>
                  </w:pPr>
                  <w:r>
                    <w:rPr>
                      <w:rFonts w:hint="eastAsia"/>
                      <w:bCs/>
                      <w:szCs w:val="21"/>
                    </w:rPr>
                    <w:t xml:space="preserve">恒温水浴锅 </w:t>
                  </w:r>
                </w:p>
              </w:tc>
              <w:tc>
                <w:tcPr>
                  <w:tcW w:w="1236" w:type="pct"/>
                  <w:tcBorders>
                    <w:tl2br w:val="nil"/>
                    <w:tr2bl w:val="nil"/>
                  </w:tcBorders>
                  <w:vAlign w:val="center"/>
                </w:tcPr>
                <w:p>
                  <w:pPr>
                    <w:jc w:val="center"/>
                    <w:rPr>
                      <w:bCs/>
                      <w:szCs w:val="21"/>
                    </w:rPr>
                  </w:pPr>
                  <w:r>
                    <w:rPr>
                      <w:bCs/>
                      <w:szCs w:val="21"/>
                    </w:rPr>
                    <w:t>用于标本和试剂的前处理</w:t>
                  </w:r>
                </w:p>
              </w:tc>
              <w:tc>
                <w:tcPr>
                  <w:tcW w:w="622" w:type="pct"/>
                  <w:tcBorders>
                    <w:tl2br w:val="nil"/>
                    <w:tr2bl w:val="nil"/>
                  </w:tcBorders>
                  <w:vAlign w:val="center"/>
                </w:tcPr>
                <w:p>
                  <w:pPr>
                    <w:jc w:val="center"/>
                    <w:rPr>
                      <w:bCs/>
                      <w:szCs w:val="21"/>
                    </w:rPr>
                  </w:pPr>
                  <w:r>
                    <w:rPr>
                      <w:rFonts w:hint="eastAsia"/>
                      <w:bCs/>
                      <w:szCs w:val="21"/>
                    </w:rPr>
                    <w:t>2台</w:t>
                  </w:r>
                </w:p>
              </w:tc>
              <w:tc>
                <w:tcPr>
                  <w:tcW w:w="683" w:type="pct"/>
                  <w:tcBorders>
                    <w:tl2br w:val="nil"/>
                    <w:tr2bl w:val="nil"/>
                  </w:tcBorders>
                  <w:vAlign w:val="center"/>
                </w:tcPr>
                <w:p>
                  <w:pPr>
                    <w:jc w:val="center"/>
                    <w:rPr>
                      <w:bCs/>
                      <w:szCs w:val="21"/>
                    </w:rPr>
                  </w:pPr>
                  <w:r>
                    <w:rPr>
                      <w:rFonts w:hint="eastAsia"/>
                      <w:bCs/>
                      <w:szCs w:val="21"/>
                    </w:rPr>
                    <w:t xml:space="preserve">一恒 </w:t>
                  </w:r>
                </w:p>
              </w:tc>
              <w:tc>
                <w:tcPr>
                  <w:tcW w:w="1114" w:type="pct"/>
                  <w:tcBorders>
                    <w:tl2br w:val="nil"/>
                    <w:tr2bl w:val="nil"/>
                  </w:tcBorders>
                  <w:vAlign w:val="center"/>
                </w:tcPr>
                <w:p>
                  <w:pPr>
                    <w:jc w:val="center"/>
                    <w:rPr>
                      <w:bCs/>
                      <w:szCs w:val="21"/>
                    </w:rPr>
                  </w:pPr>
                  <w:r>
                    <w:rPr>
                      <w:rFonts w:hint="eastAsia"/>
                      <w:bCs/>
                      <w:szCs w:val="21"/>
                    </w:rPr>
                    <w:t xml:space="preserve">BWS-0510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szCs w:val="21"/>
                    </w:rPr>
                  </w:pPr>
                  <w:r>
                    <w:rPr>
                      <w:rFonts w:hint="eastAsia"/>
                      <w:bCs/>
                      <w:szCs w:val="21"/>
                    </w:rPr>
                    <w:t>4/-20℃冰箱</w:t>
                  </w:r>
                </w:p>
              </w:tc>
              <w:tc>
                <w:tcPr>
                  <w:tcW w:w="1236" w:type="pct"/>
                  <w:tcBorders>
                    <w:tl2br w:val="nil"/>
                    <w:tr2bl w:val="nil"/>
                  </w:tcBorders>
                  <w:vAlign w:val="center"/>
                </w:tcPr>
                <w:p>
                  <w:pPr>
                    <w:jc w:val="center"/>
                    <w:rPr>
                      <w:bCs/>
                      <w:szCs w:val="21"/>
                    </w:rPr>
                  </w:pPr>
                  <w:r>
                    <w:rPr>
                      <w:bCs/>
                      <w:szCs w:val="21"/>
                    </w:rPr>
                    <w:t>用于试剂和样本的储存</w:t>
                  </w:r>
                </w:p>
              </w:tc>
              <w:tc>
                <w:tcPr>
                  <w:tcW w:w="622" w:type="pct"/>
                  <w:tcBorders>
                    <w:tl2br w:val="nil"/>
                    <w:tr2bl w:val="nil"/>
                  </w:tcBorders>
                  <w:vAlign w:val="center"/>
                </w:tcPr>
                <w:p>
                  <w:pPr>
                    <w:jc w:val="center"/>
                    <w:rPr>
                      <w:bCs/>
                      <w:szCs w:val="21"/>
                    </w:rPr>
                  </w:pPr>
                  <w:r>
                    <w:rPr>
                      <w:rFonts w:hint="eastAsia"/>
                      <w:bCs/>
                      <w:szCs w:val="21"/>
                    </w:rPr>
                    <w:t>4台</w:t>
                  </w:r>
                </w:p>
              </w:tc>
              <w:tc>
                <w:tcPr>
                  <w:tcW w:w="683" w:type="pct"/>
                  <w:tcBorders>
                    <w:tl2br w:val="nil"/>
                    <w:tr2bl w:val="nil"/>
                  </w:tcBorders>
                  <w:vAlign w:val="center"/>
                </w:tcPr>
                <w:p>
                  <w:pPr>
                    <w:jc w:val="center"/>
                    <w:rPr>
                      <w:bCs/>
                      <w:szCs w:val="21"/>
                    </w:rPr>
                  </w:pPr>
                </w:p>
              </w:tc>
              <w:tc>
                <w:tcPr>
                  <w:tcW w:w="1114" w:type="pct"/>
                  <w:tcBorders>
                    <w:tl2br w:val="nil"/>
                    <w:tr2bl w:val="nil"/>
                  </w:tcBorders>
                  <w:vAlign w:val="center"/>
                </w:tcPr>
                <w:p>
                  <w:pPr>
                    <w:jc w:val="center"/>
                    <w:rPr>
                      <w:bCs/>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szCs w:val="21"/>
                    </w:rPr>
                  </w:pPr>
                  <w:r>
                    <w:rPr>
                      <w:rFonts w:hint="eastAsia"/>
                      <w:bCs/>
                      <w:szCs w:val="21"/>
                    </w:rPr>
                    <w:t>移液器（10微升、20微升、100微升、200微升、1000微升）</w:t>
                  </w:r>
                </w:p>
              </w:tc>
              <w:tc>
                <w:tcPr>
                  <w:tcW w:w="1236" w:type="pct"/>
                  <w:tcBorders>
                    <w:tl2br w:val="nil"/>
                    <w:tr2bl w:val="nil"/>
                  </w:tcBorders>
                  <w:vAlign w:val="center"/>
                </w:tcPr>
                <w:p>
                  <w:pPr>
                    <w:jc w:val="center"/>
                    <w:rPr>
                      <w:bCs/>
                      <w:szCs w:val="21"/>
                    </w:rPr>
                  </w:pPr>
                  <w:r>
                    <w:rPr>
                      <w:bCs/>
                      <w:szCs w:val="21"/>
                    </w:rPr>
                    <w:t>用于试剂和样品的加样</w:t>
                  </w:r>
                </w:p>
              </w:tc>
              <w:tc>
                <w:tcPr>
                  <w:tcW w:w="622" w:type="pct"/>
                  <w:tcBorders>
                    <w:tl2br w:val="nil"/>
                    <w:tr2bl w:val="nil"/>
                  </w:tcBorders>
                  <w:vAlign w:val="center"/>
                </w:tcPr>
                <w:p>
                  <w:pPr>
                    <w:jc w:val="center"/>
                    <w:rPr>
                      <w:bCs/>
                      <w:szCs w:val="21"/>
                    </w:rPr>
                  </w:pPr>
                  <w:r>
                    <w:rPr>
                      <w:rFonts w:hint="eastAsia"/>
                      <w:bCs/>
                      <w:szCs w:val="21"/>
                    </w:rPr>
                    <w:t>8套</w:t>
                  </w:r>
                </w:p>
              </w:tc>
              <w:tc>
                <w:tcPr>
                  <w:tcW w:w="683" w:type="pct"/>
                  <w:tcBorders>
                    <w:tl2br w:val="nil"/>
                    <w:tr2bl w:val="nil"/>
                  </w:tcBorders>
                  <w:vAlign w:val="center"/>
                </w:tcPr>
                <w:p>
                  <w:pPr>
                    <w:jc w:val="center"/>
                    <w:rPr>
                      <w:bCs/>
                      <w:szCs w:val="21"/>
                    </w:rPr>
                  </w:pPr>
                  <w:r>
                    <w:rPr>
                      <w:rFonts w:hint="eastAsia"/>
                      <w:bCs/>
                      <w:szCs w:val="21"/>
                    </w:rPr>
                    <w:t>艾本德</w:t>
                  </w:r>
                </w:p>
              </w:tc>
              <w:tc>
                <w:tcPr>
                  <w:tcW w:w="1114" w:type="pct"/>
                  <w:tcBorders>
                    <w:tl2br w:val="nil"/>
                    <w:tr2bl w:val="nil"/>
                  </w:tcBorders>
                  <w:vAlign w:val="center"/>
                </w:tcPr>
                <w:p>
                  <w:pPr>
                    <w:jc w:val="center"/>
                    <w:rPr>
                      <w:bCs/>
                      <w:szCs w:val="21"/>
                    </w:rPr>
                  </w:pPr>
                  <w:r>
                    <w:rPr>
                      <w:rFonts w:hint="eastAsia"/>
                      <w:bCs/>
                      <w:szCs w:val="21"/>
                    </w:rPr>
                    <w:t>MicroPette Plus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szCs w:val="21"/>
                    </w:rPr>
                  </w:pPr>
                  <w:r>
                    <w:rPr>
                      <w:rFonts w:hint="eastAsia"/>
                      <w:bCs/>
                      <w:szCs w:val="21"/>
                    </w:rPr>
                    <w:t>高通量全自动核酸提取工作站（提取+体系配置）</w:t>
                  </w:r>
                </w:p>
              </w:tc>
              <w:tc>
                <w:tcPr>
                  <w:tcW w:w="1236" w:type="pct"/>
                  <w:tcBorders>
                    <w:tl2br w:val="nil"/>
                    <w:tr2bl w:val="nil"/>
                  </w:tcBorders>
                  <w:vAlign w:val="center"/>
                </w:tcPr>
                <w:p>
                  <w:pPr>
                    <w:jc w:val="center"/>
                    <w:rPr>
                      <w:bCs/>
                      <w:szCs w:val="21"/>
                    </w:rPr>
                  </w:pPr>
                  <w:r>
                    <w:rPr>
                      <w:bCs/>
                      <w:szCs w:val="21"/>
                    </w:rPr>
                    <w:t>用于核酸的提取</w:t>
                  </w:r>
                </w:p>
              </w:tc>
              <w:tc>
                <w:tcPr>
                  <w:tcW w:w="622" w:type="pct"/>
                  <w:tcBorders>
                    <w:tl2br w:val="nil"/>
                    <w:tr2bl w:val="nil"/>
                  </w:tcBorders>
                  <w:vAlign w:val="center"/>
                </w:tcPr>
                <w:p>
                  <w:pPr>
                    <w:jc w:val="center"/>
                    <w:rPr>
                      <w:bCs/>
                      <w:szCs w:val="21"/>
                    </w:rPr>
                  </w:pPr>
                  <w:r>
                    <w:rPr>
                      <w:rFonts w:hint="eastAsia"/>
                      <w:bCs/>
                      <w:szCs w:val="21"/>
                    </w:rPr>
                    <w:t xml:space="preserve">1台 </w:t>
                  </w:r>
                </w:p>
              </w:tc>
              <w:tc>
                <w:tcPr>
                  <w:tcW w:w="683" w:type="pct"/>
                  <w:tcBorders>
                    <w:tl2br w:val="nil"/>
                    <w:tr2bl w:val="nil"/>
                  </w:tcBorders>
                  <w:vAlign w:val="center"/>
                </w:tcPr>
                <w:p>
                  <w:pPr>
                    <w:jc w:val="center"/>
                    <w:rPr>
                      <w:bCs/>
                      <w:szCs w:val="21"/>
                    </w:rPr>
                  </w:pPr>
                  <w:r>
                    <w:rPr>
                      <w:rFonts w:hint="eastAsia"/>
                      <w:bCs/>
                      <w:szCs w:val="21"/>
                    </w:rPr>
                    <w:t>PE</w:t>
                  </w:r>
                </w:p>
              </w:tc>
              <w:tc>
                <w:tcPr>
                  <w:tcW w:w="1114" w:type="pct"/>
                  <w:tcBorders>
                    <w:tl2br w:val="nil"/>
                    <w:tr2bl w:val="nil"/>
                  </w:tcBorders>
                  <w:vAlign w:val="center"/>
                </w:tcPr>
                <w:p>
                  <w:pPr>
                    <w:jc w:val="center"/>
                    <w:rPr>
                      <w:bCs/>
                      <w:szCs w:val="21"/>
                    </w:rPr>
                  </w:pPr>
                  <w:r>
                    <w:rPr>
                      <w:rFonts w:hint="eastAsia"/>
                      <w:bCs/>
                      <w:szCs w:val="21"/>
                    </w:rPr>
                    <w:t xml:space="preserve">Chemagic Prime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color w:val="auto"/>
                      <w:szCs w:val="21"/>
                    </w:rPr>
                  </w:pPr>
                  <w:r>
                    <w:rPr>
                      <w:rFonts w:hint="eastAsia"/>
                      <w:color w:val="auto"/>
                    </w:rPr>
                    <w:t>液相色谱串联质谱仪</w:t>
                  </w:r>
                </w:p>
              </w:tc>
              <w:tc>
                <w:tcPr>
                  <w:tcW w:w="1236" w:type="pct"/>
                  <w:tcBorders>
                    <w:tl2br w:val="nil"/>
                    <w:tr2bl w:val="nil"/>
                  </w:tcBorders>
                  <w:vAlign w:val="center"/>
                </w:tcPr>
                <w:p>
                  <w:pPr>
                    <w:jc w:val="center"/>
                    <w:rPr>
                      <w:bCs/>
                      <w:color w:val="auto"/>
                      <w:szCs w:val="21"/>
                    </w:rPr>
                  </w:pPr>
                  <w:r>
                    <w:rPr>
                      <w:rFonts w:hint="eastAsia"/>
                      <w:bCs/>
                      <w:color w:val="auto"/>
                      <w:szCs w:val="21"/>
                    </w:rPr>
                    <w:t>用于小分子代谢物的检测</w:t>
                  </w:r>
                </w:p>
              </w:tc>
              <w:tc>
                <w:tcPr>
                  <w:tcW w:w="622" w:type="pct"/>
                  <w:tcBorders>
                    <w:tl2br w:val="nil"/>
                    <w:tr2bl w:val="nil"/>
                  </w:tcBorders>
                  <w:vAlign w:val="center"/>
                </w:tcPr>
                <w:p>
                  <w:pPr>
                    <w:jc w:val="center"/>
                    <w:rPr>
                      <w:bCs/>
                      <w:color w:val="auto"/>
                      <w:szCs w:val="21"/>
                    </w:rPr>
                  </w:pPr>
                  <w:r>
                    <w:rPr>
                      <w:rFonts w:hint="eastAsia"/>
                      <w:color w:val="auto"/>
                    </w:rPr>
                    <w:t>1台</w:t>
                  </w:r>
                </w:p>
              </w:tc>
              <w:tc>
                <w:tcPr>
                  <w:tcW w:w="683" w:type="pct"/>
                  <w:tcBorders>
                    <w:tl2br w:val="nil"/>
                    <w:tr2bl w:val="nil"/>
                  </w:tcBorders>
                  <w:vAlign w:val="center"/>
                </w:tcPr>
                <w:p>
                  <w:pPr>
                    <w:jc w:val="center"/>
                    <w:rPr>
                      <w:bCs/>
                      <w:color w:val="auto"/>
                      <w:szCs w:val="21"/>
                    </w:rPr>
                  </w:pPr>
                  <w:r>
                    <w:rPr>
                      <w:rFonts w:hint="eastAsia"/>
                      <w:bCs/>
                      <w:color w:val="auto"/>
                      <w:szCs w:val="21"/>
                    </w:rPr>
                    <w:t>杭州谱聚</w:t>
                  </w:r>
                </w:p>
              </w:tc>
              <w:tc>
                <w:tcPr>
                  <w:tcW w:w="1114" w:type="pct"/>
                  <w:tcBorders>
                    <w:tl2br w:val="nil"/>
                    <w:tr2bl w:val="nil"/>
                  </w:tcBorders>
                  <w:vAlign w:val="center"/>
                </w:tcPr>
                <w:p>
                  <w:pPr>
                    <w:jc w:val="center"/>
                    <w:rPr>
                      <w:bCs/>
                      <w:color w:val="auto"/>
                      <w:szCs w:val="21"/>
                    </w:rPr>
                  </w:pPr>
                  <w:r>
                    <w:rPr>
                      <w:bCs/>
                      <w:color w:val="auto"/>
                      <w:szCs w:val="21"/>
                    </w:rPr>
                    <w:t>PreMed 5200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color w:val="auto"/>
                      <w:szCs w:val="21"/>
                    </w:rPr>
                  </w:pPr>
                  <w:r>
                    <w:rPr>
                      <w:rFonts w:hint="eastAsia"/>
                      <w:color w:val="auto"/>
                    </w:rPr>
                    <w:t>化学发光分析仪</w:t>
                  </w:r>
                </w:p>
              </w:tc>
              <w:tc>
                <w:tcPr>
                  <w:tcW w:w="1236" w:type="pct"/>
                  <w:tcBorders>
                    <w:tl2br w:val="nil"/>
                    <w:tr2bl w:val="nil"/>
                  </w:tcBorders>
                  <w:vAlign w:val="center"/>
                </w:tcPr>
                <w:p>
                  <w:pPr>
                    <w:jc w:val="center"/>
                    <w:rPr>
                      <w:bCs/>
                      <w:color w:val="auto"/>
                      <w:szCs w:val="21"/>
                    </w:rPr>
                  </w:pPr>
                  <w:r>
                    <w:rPr>
                      <w:rFonts w:hint="eastAsia"/>
                      <w:bCs/>
                      <w:color w:val="auto"/>
                      <w:szCs w:val="21"/>
                    </w:rPr>
                    <w:t>用于抗原抗体蛋白质的检测</w:t>
                  </w:r>
                </w:p>
              </w:tc>
              <w:tc>
                <w:tcPr>
                  <w:tcW w:w="622" w:type="pct"/>
                  <w:tcBorders>
                    <w:tl2br w:val="nil"/>
                    <w:tr2bl w:val="nil"/>
                  </w:tcBorders>
                  <w:vAlign w:val="center"/>
                </w:tcPr>
                <w:p>
                  <w:pPr>
                    <w:jc w:val="center"/>
                    <w:rPr>
                      <w:bCs/>
                      <w:color w:val="auto"/>
                      <w:szCs w:val="21"/>
                    </w:rPr>
                  </w:pPr>
                  <w:r>
                    <w:rPr>
                      <w:rFonts w:hint="eastAsia"/>
                      <w:color w:val="auto"/>
                    </w:rPr>
                    <w:t>1台</w:t>
                  </w:r>
                </w:p>
              </w:tc>
              <w:tc>
                <w:tcPr>
                  <w:tcW w:w="683" w:type="pct"/>
                  <w:tcBorders>
                    <w:tl2br w:val="nil"/>
                    <w:tr2bl w:val="nil"/>
                  </w:tcBorders>
                  <w:vAlign w:val="center"/>
                </w:tcPr>
                <w:p>
                  <w:pPr>
                    <w:jc w:val="center"/>
                    <w:rPr>
                      <w:bCs/>
                      <w:color w:val="auto"/>
                      <w:szCs w:val="21"/>
                    </w:rPr>
                  </w:pPr>
                  <w:r>
                    <w:rPr>
                      <w:rFonts w:hint="eastAsia"/>
                      <w:bCs/>
                      <w:color w:val="auto"/>
                      <w:szCs w:val="21"/>
                    </w:rPr>
                    <w:t>宁波奥丞</w:t>
                  </w:r>
                </w:p>
              </w:tc>
              <w:tc>
                <w:tcPr>
                  <w:tcW w:w="1114" w:type="pct"/>
                  <w:tcBorders>
                    <w:tl2br w:val="nil"/>
                    <w:tr2bl w:val="nil"/>
                  </w:tcBorders>
                  <w:vAlign w:val="center"/>
                </w:tcPr>
                <w:p>
                  <w:pPr>
                    <w:jc w:val="center"/>
                    <w:rPr>
                      <w:bCs/>
                      <w:color w:val="auto"/>
                      <w:szCs w:val="21"/>
                    </w:rPr>
                  </w:pPr>
                  <w:r>
                    <w:rPr>
                      <w:bCs/>
                      <w:color w:val="auto"/>
                      <w:szCs w:val="21"/>
                    </w:rPr>
                    <w:t>iMAGIN1800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color w:val="auto"/>
                      <w:szCs w:val="21"/>
                      <w:highlight w:val="none"/>
                    </w:rPr>
                  </w:pPr>
                  <w:r>
                    <w:rPr>
                      <w:rFonts w:hint="eastAsia"/>
                      <w:color w:val="auto"/>
                      <w:highlight w:val="none"/>
                    </w:rPr>
                    <w:t>通风橱</w:t>
                  </w:r>
                </w:p>
              </w:tc>
              <w:tc>
                <w:tcPr>
                  <w:tcW w:w="1236" w:type="pct"/>
                  <w:tcBorders>
                    <w:tl2br w:val="nil"/>
                    <w:tr2bl w:val="nil"/>
                  </w:tcBorders>
                  <w:vAlign w:val="center"/>
                </w:tcPr>
                <w:p>
                  <w:pPr>
                    <w:jc w:val="center"/>
                    <w:rPr>
                      <w:bCs/>
                      <w:color w:val="auto"/>
                      <w:szCs w:val="21"/>
                      <w:highlight w:val="none"/>
                    </w:rPr>
                  </w:pPr>
                  <w:r>
                    <w:rPr>
                      <w:rFonts w:hint="eastAsia"/>
                      <w:bCs/>
                      <w:color w:val="auto"/>
                      <w:szCs w:val="21"/>
                      <w:highlight w:val="none"/>
                    </w:rPr>
                    <w:t>用于质谱检测样本前处理</w:t>
                  </w:r>
                </w:p>
              </w:tc>
              <w:tc>
                <w:tcPr>
                  <w:tcW w:w="622" w:type="pct"/>
                  <w:tcBorders>
                    <w:tl2br w:val="nil"/>
                    <w:tr2bl w:val="nil"/>
                  </w:tcBorders>
                  <w:vAlign w:val="center"/>
                </w:tcPr>
                <w:p>
                  <w:pPr>
                    <w:jc w:val="center"/>
                    <w:rPr>
                      <w:bCs/>
                      <w:color w:val="auto"/>
                      <w:szCs w:val="21"/>
                      <w:highlight w:val="none"/>
                    </w:rPr>
                  </w:pPr>
                  <w:r>
                    <w:rPr>
                      <w:rFonts w:hint="eastAsia"/>
                      <w:color w:val="auto"/>
                      <w:highlight w:val="none"/>
                    </w:rPr>
                    <w:t>1个</w:t>
                  </w:r>
                </w:p>
              </w:tc>
              <w:tc>
                <w:tcPr>
                  <w:tcW w:w="683" w:type="pct"/>
                  <w:tcBorders>
                    <w:tl2br w:val="nil"/>
                    <w:tr2bl w:val="nil"/>
                  </w:tcBorders>
                  <w:vAlign w:val="center"/>
                </w:tcPr>
                <w:p>
                  <w:pPr>
                    <w:jc w:val="center"/>
                    <w:rPr>
                      <w:bCs/>
                      <w:color w:val="auto"/>
                      <w:szCs w:val="21"/>
                      <w:highlight w:val="none"/>
                    </w:rPr>
                  </w:pPr>
                  <w:r>
                    <w:rPr>
                      <w:rFonts w:hint="eastAsia"/>
                      <w:bCs/>
                      <w:color w:val="auto"/>
                      <w:szCs w:val="21"/>
                      <w:highlight w:val="none"/>
                    </w:rPr>
                    <w:t>/</w:t>
                  </w:r>
                </w:p>
              </w:tc>
              <w:tc>
                <w:tcPr>
                  <w:tcW w:w="1114" w:type="pct"/>
                  <w:tcBorders>
                    <w:tl2br w:val="nil"/>
                    <w:tr2bl w:val="nil"/>
                  </w:tcBorders>
                  <w:vAlign w:val="center"/>
                </w:tcPr>
                <w:p>
                  <w:pPr>
                    <w:jc w:val="center"/>
                    <w:rPr>
                      <w:bCs/>
                      <w:color w:val="auto"/>
                      <w:szCs w:val="21"/>
                      <w:highlight w:val="none"/>
                    </w:rPr>
                  </w:pPr>
                  <w:r>
                    <w:rPr>
                      <w:rFonts w:hint="eastAsia"/>
                      <w:bCs/>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color w:val="auto"/>
                      <w:szCs w:val="21"/>
                      <w:highlight w:val="none"/>
                    </w:rPr>
                  </w:pPr>
                  <w:r>
                    <w:rPr>
                      <w:rFonts w:hint="eastAsia"/>
                      <w:color w:val="auto"/>
                      <w:highlight w:val="none"/>
                    </w:rPr>
                    <w:t>医用冰箱</w:t>
                  </w:r>
                </w:p>
              </w:tc>
              <w:tc>
                <w:tcPr>
                  <w:tcW w:w="1236" w:type="pct"/>
                  <w:tcBorders>
                    <w:tl2br w:val="nil"/>
                    <w:tr2bl w:val="nil"/>
                  </w:tcBorders>
                  <w:vAlign w:val="center"/>
                </w:tcPr>
                <w:p>
                  <w:pPr>
                    <w:jc w:val="center"/>
                    <w:rPr>
                      <w:bCs/>
                      <w:color w:val="auto"/>
                      <w:szCs w:val="21"/>
                      <w:highlight w:val="none"/>
                    </w:rPr>
                  </w:pPr>
                  <w:r>
                    <w:rPr>
                      <w:rFonts w:hint="eastAsia"/>
                      <w:bCs/>
                      <w:color w:val="auto"/>
                      <w:szCs w:val="21"/>
                      <w:highlight w:val="none"/>
                    </w:rPr>
                    <w:t>用于试剂和样品的存放</w:t>
                  </w:r>
                </w:p>
              </w:tc>
              <w:tc>
                <w:tcPr>
                  <w:tcW w:w="622" w:type="pct"/>
                  <w:tcBorders>
                    <w:tl2br w:val="nil"/>
                    <w:tr2bl w:val="nil"/>
                  </w:tcBorders>
                  <w:vAlign w:val="center"/>
                </w:tcPr>
                <w:p>
                  <w:pPr>
                    <w:jc w:val="center"/>
                    <w:rPr>
                      <w:bCs/>
                      <w:color w:val="auto"/>
                      <w:szCs w:val="21"/>
                      <w:highlight w:val="none"/>
                    </w:rPr>
                  </w:pPr>
                  <w:r>
                    <w:rPr>
                      <w:rFonts w:hint="eastAsia"/>
                      <w:color w:val="auto"/>
                      <w:highlight w:val="none"/>
                    </w:rPr>
                    <w:t>3台</w:t>
                  </w:r>
                </w:p>
              </w:tc>
              <w:tc>
                <w:tcPr>
                  <w:tcW w:w="683" w:type="pct"/>
                  <w:tcBorders>
                    <w:tl2br w:val="nil"/>
                    <w:tr2bl w:val="nil"/>
                  </w:tcBorders>
                  <w:vAlign w:val="center"/>
                </w:tcPr>
                <w:p>
                  <w:pPr>
                    <w:jc w:val="center"/>
                    <w:rPr>
                      <w:bCs/>
                      <w:color w:val="auto"/>
                      <w:szCs w:val="21"/>
                      <w:highlight w:val="none"/>
                    </w:rPr>
                  </w:pPr>
                  <w:r>
                    <w:rPr>
                      <w:rFonts w:hint="eastAsia"/>
                      <w:bCs/>
                      <w:color w:val="auto"/>
                      <w:szCs w:val="21"/>
                      <w:highlight w:val="none"/>
                    </w:rPr>
                    <w:t>/</w:t>
                  </w:r>
                </w:p>
              </w:tc>
              <w:tc>
                <w:tcPr>
                  <w:tcW w:w="1114" w:type="pct"/>
                  <w:tcBorders>
                    <w:tl2br w:val="nil"/>
                    <w:tr2bl w:val="nil"/>
                  </w:tcBorders>
                  <w:vAlign w:val="center"/>
                </w:tcPr>
                <w:p>
                  <w:pPr>
                    <w:jc w:val="center"/>
                    <w:rPr>
                      <w:bCs/>
                      <w:color w:val="auto"/>
                      <w:szCs w:val="21"/>
                      <w:highlight w:val="none"/>
                    </w:rPr>
                  </w:pPr>
                  <w:r>
                    <w:rPr>
                      <w:rFonts w:hint="eastAsia"/>
                      <w:bCs/>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color w:val="auto"/>
                      <w:szCs w:val="21"/>
                    </w:rPr>
                  </w:pPr>
                  <w:r>
                    <w:rPr>
                      <w:rFonts w:hint="eastAsia"/>
                      <w:color w:val="auto"/>
                    </w:rPr>
                    <w:t>微量元素分析仪</w:t>
                  </w:r>
                </w:p>
              </w:tc>
              <w:tc>
                <w:tcPr>
                  <w:tcW w:w="1236" w:type="pct"/>
                  <w:tcBorders>
                    <w:tl2br w:val="nil"/>
                    <w:tr2bl w:val="nil"/>
                  </w:tcBorders>
                  <w:vAlign w:val="center"/>
                </w:tcPr>
                <w:p>
                  <w:pPr>
                    <w:jc w:val="center"/>
                    <w:rPr>
                      <w:bCs/>
                      <w:color w:val="auto"/>
                      <w:szCs w:val="21"/>
                    </w:rPr>
                  </w:pPr>
                  <w:r>
                    <w:rPr>
                      <w:rFonts w:hint="eastAsia"/>
                      <w:bCs/>
                      <w:color w:val="auto"/>
                      <w:szCs w:val="21"/>
                    </w:rPr>
                    <w:t>用于微量元素的检测</w:t>
                  </w:r>
                </w:p>
              </w:tc>
              <w:tc>
                <w:tcPr>
                  <w:tcW w:w="622" w:type="pct"/>
                  <w:tcBorders>
                    <w:tl2br w:val="nil"/>
                    <w:tr2bl w:val="nil"/>
                  </w:tcBorders>
                  <w:vAlign w:val="center"/>
                </w:tcPr>
                <w:p>
                  <w:pPr>
                    <w:jc w:val="center"/>
                    <w:rPr>
                      <w:bCs/>
                      <w:color w:val="auto"/>
                      <w:szCs w:val="21"/>
                    </w:rPr>
                  </w:pPr>
                  <w:r>
                    <w:rPr>
                      <w:rFonts w:hint="eastAsia"/>
                      <w:color w:val="auto"/>
                    </w:rPr>
                    <w:t>1台</w:t>
                  </w:r>
                </w:p>
              </w:tc>
              <w:tc>
                <w:tcPr>
                  <w:tcW w:w="683" w:type="pct"/>
                  <w:tcBorders>
                    <w:tl2br w:val="nil"/>
                    <w:tr2bl w:val="nil"/>
                  </w:tcBorders>
                  <w:vAlign w:val="center"/>
                </w:tcPr>
                <w:p>
                  <w:pPr>
                    <w:jc w:val="center"/>
                    <w:rPr>
                      <w:bCs/>
                      <w:color w:val="auto"/>
                      <w:szCs w:val="21"/>
                    </w:rPr>
                  </w:pPr>
                  <w:r>
                    <w:rPr>
                      <w:rFonts w:hint="eastAsia"/>
                      <w:bCs/>
                      <w:color w:val="auto"/>
                      <w:szCs w:val="21"/>
                    </w:rPr>
                    <w:t>九陆生物</w:t>
                  </w:r>
                </w:p>
              </w:tc>
              <w:tc>
                <w:tcPr>
                  <w:tcW w:w="1114" w:type="pct"/>
                  <w:tcBorders>
                    <w:tl2br w:val="nil"/>
                    <w:tr2bl w:val="nil"/>
                  </w:tcBorders>
                  <w:vAlign w:val="center"/>
                </w:tcPr>
                <w:p>
                  <w:pPr>
                    <w:jc w:val="center"/>
                    <w:rPr>
                      <w:bCs/>
                      <w:color w:val="auto"/>
                      <w:szCs w:val="21"/>
                    </w:rPr>
                  </w:pPr>
                  <w:r>
                    <w:rPr>
                      <w:bCs/>
                      <w:color w:val="auto"/>
                      <w:szCs w:val="21"/>
                    </w:rPr>
                    <w:t>WJ-9600B</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color w:val="auto"/>
                      <w:szCs w:val="21"/>
                      <w:highlight w:val="none"/>
                    </w:rPr>
                  </w:pPr>
                  <w:r>
                    <w:rPr>
                      <w:rFonts w:hint="eastAsia"/>
                      <w:color w:val="auto"/>
                      <w:highlight w:val="none"/>
                    </w:rPr>
                    <w:t>立式压力蒸汽灭菌器</w:t>
                  </w:r>
                </w:p>
              </w:tc>
              <w:tc>
                <w:tcPr>
                  <w:tcW w:w="1236" w:type="pct"/>
                  <w:tcBorders>
                    <w:tl2br w:val="nil"/>
                    <w:tr2bl w:val="nil"/>
                  </w:tcBorders>
                  <w:vAlign w:val="center"/>
                </w:tcPr>
                <w:p>
                  <w:pPr>
                    <w:jc w:val="center"/>
                    <w:rPr>
                      <w:bCs/>
                      <w:color w:val="auto"/>
                      <w:szCs w:val="21"/>
                      <w:highlight w:val="none"/>
                    </w:rPr>
                  </w:pPr>
                  <w:r>
                    <w:rPr>
                      <w:rFonts w:hint="eastAsia"/>
                      <w:bCs/>
                      <w:color w:val="auto"/>
                      <w:szCs w:val="21"/>
                      <w:highlight w:val="none"/>
                    </w:rPr>
                    <w:t>用于医疗废弃物的消毒灭菌</w:t>
                  </w:r>
                </w:p>
              </w:tc>
              <w:tc>
                <w:tcPr>
                  <w:tcW w:w="622" w:type="pct"/>
                  <w:tcBorders>
                    <w:tl2br w:val="nil"/>
                    <w:tr2bl w:val="nil"/>
                  </w:tcBorders>
                  <w:vAlign w:val="center"/>
                </w:tcPr>
                <w:p>
                  <w:pPr>
                    <w:jc w:val="center"/>
                    <w:rPr>
                      <w:bCs/>
                      <w:color w:val="auto"/>
                      <w:szCs w:val="21"/>
                      <w:highlight w:val="none"/>
                    </w:rPr>
                  </w:pPr>
                  <w:r>
                    <w:rPr>
                      <w:rFonts w:hint="eastAsia"/>
                      <w:color w:val="auto"/>
                      <w:highlight w:val="none"/>
                    </w:rPr>
                    <w:t>1台</w:t>
                  </w:r>
                </w:p>
              </w:tc>
              <w:tc>
                <w:tcPr>
                  <w:tcW w:w="683" w:type="pct"/>
                  <w:tcBorders>
                    <w:tl2br w:val="nil"/>
                    <w:tr2bl w:val="nil"/>
                  </w:tcBorders>
                  <w:vAlign w:val="center"/>
                </w:tcPr>
                <w:p>
                  <w:pPr>
                    <w:jc w:val="center"/>
                    <w:rPr>
                      <w:bCs/>
                      <w:color w:val="auto"/>
                      <w:szCs w:val="21"/>
                      <w:highlight w:val="none"/>
                    </w:rPr>
                  </w:pPr>
                  <w:r>
                    <w:rPr>
                      <w:rFonts w:hint="eastAsia"/>
                      <w:bCs/>
                      <w:color w:val="auto"/>
                      <w:szCs w:val="21"/>
                      <w:highlight w:val="none"/>
                    </w:rPr>
                    <w:t>/</w:t>
                  </w:r>
                </w:p>
              </w:tc>
              <w:tc>
                <w:tcPr>
                  <w:tcW w:w="1114" w:type="pct"/>
                  <w:tcBorders>
                    <w:tl2br w:val="nil"/>
                    <w:tr2bl w:val="nil"/>
                  </w:tcBorders>
                  <w:vAlign w:val="center"/>
                </w:tcPr>
                <w:p>
                  <w:pPr>
                    <w:jc w:val="center"/>
                    <w:rPr>
                      <w:bCs/>
                      <w:color w:val="auto"/>
                      <w:szCs w:val="21"/>
                      <w:highlight w:val="none"/>
                    </w:rPr>
                  </w:pPr>
                  <w:r>
                    <w:rPr>
                      <w:rFonts w:hint="eastAsia"/>
                      <w:bCs/>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color w:val="auto"/>
                      <w:szCs w:val="21"/>
                    </w:rPr>
                  </w:pPr>
                  <w:r>
                    <w:rPr>
                      <w:rFonts w:hint="eastAsia"/>
                      <w:color w:val="auto"/>
                    </w:rPr>
                    <w:t>台式高速离心机</w:t>
                  </w:r>
                </w:p>
              </w:tc>
              <w:tc>
                <w:tcPr>
                  <w:tcW w:w="1236" w:type="pct"/>
                  <w:tcBorders>
                    <w:tl2br w:val="nil"/>
                    <w:tr2bl w:val="nil"/>
                  </w:tcBorders>
                  <w:vAlign w:val="center"/>
                </w:tcPr>
                <w:p>
                  <w:pPr>
                    <w:jc w:val="center"/>
                    <w:rPr>
                      <w:bCs/>
                      <w:color w:val="auto"/>
                      <w:szCs w:val="21"/>
                    </w:rPr>
                  </w:pPr>
                  <w:r>
                    <w:rPr>
                      <w:rFonts w:hint="eastAsia"/>
                      <w:bCs/>
                      <w:color w:val="auto"/>
                      <w:szCs w:val="21"/>
                    </w:rPr>
                    <w:t>用于标本的前处理</w:t>
                  </w:r>
                </w:p>
              </w:tc>
              <w:tc>
                <w:tcPr>
                  <w:tcW w:w="622" w:type="pct"/>
                  <w:tcBorders>
                    <w:tl2br w:val="nil"/>
                    <w:tr2bl w:val="nil"/>
                  </w:tcBorders>
                  <w:vAlign w:val="center"/>
                </w:tcPr>
                <w:p>
                  <w:pPr>
                    <w:jc w:val="center"/>
                    <w:rPr>
                      <w:bCs/>
                      <w:color w:val="auto"/>
                      <w:szCs w:val="21"/>
                    </w:rPr>
                  </w:pPr>
                  <w:r>
                    <w:rPr>
                      <w:rFonts w:hint="eastAsia"/>
                      <w:bCs/>
                      <w:color w:val="auto"/>
                      <w:szCs w:val="21"/>
                    </w:rPr>
                    <w:t>1台</w:t>
                  </w:r>
                </w:p>
              </w:tc>
              <w:tc>
                <w:tcPr>
                  <w:tcW w:w="683" w:type="pct"/>
                  <w:tcBorders>
                    <w:tl2br w:val="nil"/>
                    <w:tr2bl w:val="nil"/>
                  </w:tcBorders>
                  <w:vAlign w:val="center"/>
                </w:tcPr>
                <w:p>
                  <w:pPr>
                    <w:jc w:val="center"/>
                    <w:rPr>
                      <w:bCs/>
                      <w:color w:val="auto"/>
                      <w:szCs w:val="21"/>
                    </w:rPr>
                  </w:pPr>
                  <w:r>
                    <w:rPr>
                      <w:rFonts w:hint="eastAsia"/>
                      <w:bCs/>
                      <w:color w:val="auto"/>
                      <w:szCs w:val="21"/>
                    </w:rPr>
                    <w:t>泰坦</w:t>
                  </w:r>
                </w:p>
              </w:tc>
              <w:tc>
                <w:tcPr>
                  <w:tcW w:w="1114" w:type="pct"/>
                  <w:tcBorders>
                    <w:tl2br w:val="nil"/>
                    <w:tr2bl w:val="nil"/>
                  </w:tcBorders>
                  <w:vAlign w:val="center"/>
                </w:tcPr>
                <w:p>
                  <w:pPr>
                    <w:jc w:val="center"/>
                    <w:rPr>
                      <w:bCs/>
                      <w:color w:val="auto"/>
                      <w:szCs w:val="21"/>
                    </w:rPr>
                  </w:pPr>
                  <w:r>
                    <w:rPr>
                      <w:bCs/>
                      <w:color w:val="auto"/>
                      <w:szCs w:val="21"/>
                    </w:rPr>
                    <w:t>HDC-18K Plus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rFonts w:hint="eastAsia"/>
                      <w:bCs/>
                      <w:color w:val="auto"/>
                      <w:szCs w:val="21"/>
                    </w:rPr>
                  </w:pPr>
                  <w:r>
                    <w:rPr>
                      <w:rFonts w:hint="eastAsia"/>
                      <w:bCs/>
                      <w:color w:val="auto"/>
                      <w:szCs w:val="21"/>
                    </w:rPr>
                    <w:t>高速台式冷冻离心机</w:t>
                  </w:r>
                </w:p>
              </w:tc>
              <w:tc>
                <w:tcPr>
                  <w:tcW w:w="1236" w:type="pct"/>
                  <w:tcBorders>
                    <w:tl2br w:val="nil"/>
                    <w:tr2bl w:val="nil"/>
                  </w:tcBorders>
                  <w:vAlign w:val="center"/>
                </w:tcPr>
                <w:p>
                  <w:pPr>
                    <w:jc w:val="center"/>
                    <w:rPr>
                      <w:rFonts w:hint="eastAsia"/>
                      <w:bCs/>
                      <w:color w:val="auto"/>
                      <w:szCs w:val="21"/>
                    </w:rPr>
                  </w:pPr>
                  <w:r>
                    <w:rPr>
                      <w:rFonts w:hint="eastAsia"/>
                      <w:bCs/>
                      <w:color w:val="auto"/>
                      <w:szCs w:val="21"/>
                    </w:rPr>
                    <w:t>用于试剂和样品的加样</w:t>
                  </w:r>
                </w:p>
              </w:tc>
              <w:tc>
                <w:tcPr>
                  <w:tcW w:w="622" w:type="pct"/>
                  <w:tcBorders>
                    <w:tl2br w:val="nil"/>
                    <w:tr2bl w:val="nil"/>
                  </w:tcBorders>
                  <w:vAlign w:val="center"/>
                </w:tcPr>
                <w:p>
                  <w:pPr>
                    <w:jc w:val="center"/>
                    <w:rPr>
                      <w:rFonts w:hint="eastAsia"/>
                      <w:bCs/>
                      <w:color w:val="auto"/>
                      <w:szCs w:val="21"/>
                    </w:rPr>
                  </w:pPr>
                  <w:r>
                    <w:rPr>
                      <w:rFonts w:hint="eastAsia"/>
                      <w:bCs/>
                      <w:color w:val="auto"/>
                      <w:szCs w:val="21"/>
                    </w:rPr>
                    <w:t>1台</w:t>
                  </w:r>
                </w:p>
              </w:tc>
              <w:tc>
                <w:tcPr>
                  <w:tcW w:w="683" w:type="pct"/>
                  <w:tcBorders>
                    <w:tl2br w:val="nil"/>
                    <w:tr2bl w:val="nil"/>
                  </w:tcBorders>
                  <w:vAlign w:val="center"/>
                </w:tcPr>
                <w:p>
                  <w:pPr>
                    <w:jc w:val="center"/>
                    <w:rPr>
                      <w:rFonts w:hint="eastAsia"/>
                      <w:bCs/>
                      <w:color w:val="auto"/>
                      <w:szCs w:val="21"/>
                    </w:rPr>
                  </w:pPr>
                  <w:r>
                    <w:rPr>
                      <w:rFonts w:hint="eastAsia"/>
                      <w:bCs/>
                      <w:color w:val="auto"/>
                      <w:szCs w:val="21"/>
                    </w:rPr>
                    <w:t>湘仪</w:t>
                  </w:r>
                </w:p>
              </w:tc>
              <w:tc>
                <w:tcPr>
                  <w:tcW w:w="1114" w:type="pct"/>
                  <w:tcBorders>
                    <w:tl2br w:val="nil"/>
                    <w:tr2bl w:val="nil"/>
                  </w:tcBorders>
                  <w:vAlign w:val="center"/>
                </w:tcPr>
                <w:p>
                  <w:pPr>
                    <w:jc w:val="center"/>
                    <w:rPr>
                      <w:rFonts w:hint="eastAsia"/>
                      <w:bCs/>
                      <w:color w:val="auto"/>
                      <w:szCs w:val="21"/>
                    </w:rPr>
                  </w:pPr>
                  <w:r>
                    <w:rPr>
                      <w:bCs/>
                      <w:color w:val="auto"/>
                      <w:szCs w:val="21"/>
                    </w:rPr>
                    <w:t>TGL-16|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rFonts w:hint="eastAsia"/>
                      <w:bCs/>
                      <w:color w:val="auto"/>
                      <w:szCs w:val="21"/>
                    </w:rPr>
                  </w:pPr>
                  <w:r>
                    <w:rPr>
                      <w:rFonts w:hint="eastAsia"/>
                      <w:bCs/>
                      <w:color w:val="auto"/>
                      <w:szCs w:val="21"/>
                    </w:rPr>
                    <w:t>低速多管架自动平衡离心机</w:t>
                  </w:r>
                </w:p>
              </w:tc>
              <w:tc>
                <w:tcPr>
                  <w:tcW w:w="1236" w:type="pct"/>
                  <w:tcBorders>
                    <w:tl2br w:val="nil"/>
                    <w:tr2bl w:val="nil"/>
                  </w:tcBorders>
                  <w:vAlign w:val="center"/>
                </w:tcPr>
                <w:p>
                  <w:pPr>
                    <w:jc w:val="center"/>
                    <w:rPr>
                      <w:rFonts w:hint="eastAsia"/>
                      <w:bCs/>
                      <w:color w:val="auto"/>
                      <w:szCs w:val="21"/>
                    </w:rPr>
                  </w:pPr>
                  <w:r>
                    <w:rPr>
                      <w:rFonts w:hint="eastAsia"/>
                      <w:bCs/>
                      <w:color w:val="auto"/>
                      <w:szCs w:val="21"/>
                    </w:rPr>
                    <w:t>用于试剂和样品的加样</w:t>
                  </w:r>
                </w:p>
              </w:tc>
              <w:tc>
                <w:tcPr>
                  <w:tcW w:w="622" w:type="pct"/>
                  <w:tcBorders>
                    <w:tl2br w:val="nil"/>
                    <w:tr2bl w:val="nil"/>
                  </w:tcBorders>
                  <w:vAlign w:val="center"/>
                </w:tcPr>
                <w:p>
                  <w:pPr>
                    <w:jc w:val="center"/>
                    <w:rPr>
                      <w:rFonts w:hint="eastAsia"/>
                      <w:bCs/>
                      <w:color w:val="auto"/>
                      <w:szCs w:val="21"/>
                    </w:rPr>
                  </w:pPr>
                  <w:r>
                    <w:rPr>
                      <w:rFonts w:hint="eastAsia"/>
                      <w:bCs/>
                      <w:color w:val="auto"/>
                      <w:szCs w:val="21"/>
                    </w:rPr>
                    <w:t>1台</w:t>
                  </w:r>
                </w:p>
              </w:tc>
              <w:tc>
                <w:tcPr>
                  <w:tcW w:w="683" w:type="pct"/>
                  <w:tcBorders>
                    <w:tl2br w:val="nil"/>
                    <w:tr2bl w:val="nil"/>
                  </w:tcBorders>
                  <w:vAlign w:val="center"/>
                </w:tcPr>
                <w:p>
                  <w:pPr>
                    <w:jc w:val="center"/>
                    <w:rPr>
                      <w:rFonts w:hint="eastAsia"/>
                      <w:bCs/>
                      <w:color w:val="auto"/>
                      <w:szCs w:val="21"/>
                    </w:rPr>
                  </w:pPr>
                  <w:r>
                    <w:rPr>
                      <w:rFonts w:hint="eastAsia"/>
                      <w:bCs/>
                      <w:color w:val="auto"/>
                      <w:szCs w:val="21"/>
                    </w:rPr>
                    <w:t>湘仪</w:t>
                  </w:r>
                </w:p>
              </w:tc>
              <w:tc>
                <w:tcPr>
                  <w:tcW w:w="1114" w:type="pct"/>
                  <w:tcBorders>
                    <w:tl2br w:val="nil"/>
                    <w:tr2bl w:val="nil"/>
                  </w:tcBorders>
                  <w:vAlign w:val="center"/>
                </w:tcPr>
                <w:p>
                  <w:pPr>
                    <w:jc w:val="center"/>
                    <w:rPr>
                      <w:bCs/>
                      <w:color w:val="auto"/>
                      <w:szCs w:val="21"/>
                    </w:rPr>
                  </w:pPr>
                  <w:r>
                    <w:rPr>
                      <w:bCs/>
                      <w:color w:val="auto"/>
                      <w:szCs w:val="21"/>
                    </w:rPr>
                    <w:t>TDZ5-WS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rFonts w:hint="eastAsia"/>
                      <w:bCs/>
                      <w:color w:val="auto"/>
                      <w:szCs w:val="21"/>
                    </w:rPr>
                  </w:pPr>
                  <w:r>
                    <w:rPr>
                      <w:rFonts w:hint="eastAsia"/>
                      <w:bCs/>
                      <w:color w:val="auto"/>
                      <w:szCs w:val="21"/>
                    </w:rPr>
                    <w:t>旋钮式加热超声波清洗器</w:t>
                  </w:r>
                </w:p>
              </w:tc>
              <w:tc>
                <w:tcPr>
                  <w:tcW w:w="1236" w:type="pct"/>
                  <w:tcBorders>
                    <w:tl2br w:val="nil"/>
                    <w:tr2bl w:val="nil"/>
                  </w:tcBorders>
                  <w:vAlign w:val="center"/>
                </w:tcPr>
                <w:p>
                  <w:pPr>
                    <w:jc w:val="center"/>
                    <w:rPr>
                      <w:rFonts w:hint="eastAsia"/>
                      <w:bCs/>
                      <w:color w:val="auto"/>
                      <w:szCs w:val="21"/>
                    </w:rPr>
                  </w:pPr>
                  <w:r>
                    <w:rPr>
                      <w:rFonts w:hint="eastAsia"/>
                      <w:bCs/>
                      <w:color w:val="auto"/>
                      <w:szCs w:val="21"/>
                    </w:rPr>
                    <w:t>用于玻璃器皿和物品的清洗</w:t>
                  </w:r>
                </w:p>
              </w:tc>
              <w:tc>
                <w:tcPr>
                  <w:tcW w:w="622" w:type="pct"/>
                  <w:tcBorders>
                    <w:tl2br w:val="nil"/>
                    <w:tr2bl w:val="nil"/>
                  </w:tcBorders>
                  <w:vAlign w:val="center"/>
                </w:tcPr>
                <w:p>
                  <w:pPr>
                    <w:jc w:val="center"/>
                    <w:rPr>
                      <w:rFonts w:hint="eastAsia"/>
                      <w:bCs/>
                      <w:color w:val="auto"/>
                      <w:szCs w:val="21"/>
                    </w:rPr>
                  </w:pPr>
                  <w:r>
                    <w:rPr>
                      <w:rFonts w:hint="eastAsia"/>
                      <w:bCs/>
                      <w:color w:val="auto"/>
                      <w:szCs w:val="21"/>
                    </w:rPr>
                    <w:t>1台</w:t>
                  </w:r>
                </w:p>
              </w:tc>
              <w:tc>
                <w:tcPr>
                  <w:tcW w:w="683" w:type="pct"/>
                  <w:tcBorders>
                    <w:tl2br w:val="nil"/>
                    <w:tr2bl w:val="nil"/>
                  </w:tcBorders>
                  <w:vAlign w:val="center"/>
                </w:tcPr>
                <w:p>
                  <w:pPr>
                    <w:jc w:val="center"/>
                    <w:rPr>
                      <w:rFonts w:hint="eastAsia"/>
                      <w:bCs/>
                      <w:color w:val="auto"/>
                      <w:szCs w:val="21"/>
                    </w:rPr>
                  </w:pPr>
                  <w:r>
                    <w:rPr>
                      <w:rFonts w:hint="eastAsia"/>
                      <w:bCs/>
                      <w:color w:val="auto"/>
                      <w:szCs w:val="21"/>
                    </w:rPr>
                    <w:t>舒美</w:t>
                  </w:r>
                </w:p>
              </w:tc>
              <w:tc>
                <w:tcPr>
                  <w:tcW w:w="1114" w:type="pct"/>
                  <w:tcBorders>
                    <w:tl2br w:val="nil"/>
                    <w:tr2bl w:val="nil"/>
                  </w:tcBorders>
                  <w:vAlign w:val="center"/>
                </w:tcPr>
                <w:p>
                  <w:pPr>
                    <w:jc w:val="center"/>
                    <w:rPr>
                      <w:bCs/>
                      <w:color w:val="auto"/>
                      <w:szCs w:val="21"/>
                    </w:rPr>
                  </w:pPr>
                  <w:r>
                    <w:rPr>
                      <w:bCs/>
                      <w:color w:val="auto"/>
                      <w:szCs w:val="21"/>
                    </w:rPr>
                    <w:t>KQ5200E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rFonts w:hint="eastAsia"/>
                      <w:bCs/>
                      <w:color w:val="auto"/>
                      <w:szCs w:val="21"/>
                    </w:rPr>
                  </w:pPr>
                  <w:r>
                    <w:rPr>
                      <w:rFonts w:hint="eastAsia"/>
                      <w:bCs/>
                      <w:color w:val="auto"/>
                      <w:szCs w:val="21"/>
                    </w:rPr>
                    <w:t>圆周振荡器</w:t>
                  </w:r>
                </w:p>
              </w:tc>
              <w:tc>
                <w:tcPr>
                  <w:tcW w:w="1236" w:type="pct"/>
                  <w:tcBorders>
                    <w:tl2br w:val="nil"/>
                    <w:tr2bl w:val="nil"/>
                  </w:tcBorders>
                  <w:vAlign w:val="center"/>
                </w:tcPr>
                <w:p>
                  <w:pPr>
                    <w:jc w:val="center"/>
                    <w:rPr>
                      <w:rFonts w:hint="eastAsia"/>
                      <w:bCs/>
                      <w:color w:val="auto"/>
                      <w:szCs w:val="21"/>
                    </w:rPr>
                  </w:pPr>
                  <w:r>
                    <w:rPr>
                      <w:rFonts w:hint="eastAsia"/>
                      <w:bCs/>
                      <w:color w:val="auto"/>
                      <w:szCs w:val="21"/>
                    </w:rPr>
                    <w:t>用于标本和试剂的前处理</w:t>
                  </w:r>
                </w:p>
              </w:tc>
              <w:tc>
                <w:tcPr>
                  <w:tcW w:w="622" w:type="pct"/>
                  <w:tcBorders>
                    <w:tl2br w:val="nil"/>
                    <w:tr2bl w:val="nil"/>
                  </w:tcBorders>
                  <w:vAlign w:val="center"/>
                </w:tcPr>
                <w:p>
                  <w:pPr>
                    <w:jc w:val="center"/>
                    <w:rPr>
                      <w:rFonts w:hint="eastAsia"/>
                      <w:bCs/>
                      <w:color w:val="auto"/>
                      <w:szCs w:val="21"/>
                    </w:rPr>
                  </w:pPr>
                  <w:r>
                    <w:rPr>
                      <w:rFonts w:hint="eastAsia"/>
                      <w:bCs/>
                      <w:color w:val="auto"/>
                      <w:szCs w:val="21"/>
                    </w:rPr>
                    <w:t>1台</w:t>
                  </w:r>
                </w:p>
              </w:tc>
              <w:tc>
                <w:tcPr>
                  <w:tcW w:w="683" w:type="pct"/>
                  <w:tcBorders>
                    <w:tl2br w:val="nil"/>
                    <w:tr2bl w:val="nil"/>
                  </w:tcBorders>
                  <w:vAlign w:val="center"/>
                </w:tcPr>
                <w:p>
                  <w:pPr>
                    <w:jc w:val="center"/>
                    <w:rPr>
                      <w:rFonts w:hint="eastAsia"/>
                      <w:bCs/>
                      <w:color w:val="auto"/>
                      <w:szCs w:val="21"/>
                    </w:rPr>
                  </w:pPr>
                  <w:r>
                    <w:rPr>
                      <w:rFonts w:hint="eastAsia"/>
                      <w:bCs/>
                      <w:color w:val="auto"/>
                      <w:szCs w:val="21"/>
                    </w:rPr>
                    <w:t>艾卡</w:t>
                  </w:r>
                </w:p>
              </w:tc>
              <w:tc>
                <w:tcPr>
                  <w:tcW w:w="1114" w:type="pct"/>
                  <w:tcBorders>
                    <w:tl2br w:val="nil"/>
                    <w:tr2bl w:val="nil"/>
                  </w:tcBorders>
                  <w:vAlign w:val="center"/>
                </w:tcPr>
                <w:p>
                  <w:pPr>
                    <w:jc w:val="center"/>
                    <w:rPr>
                      <w:bCs/>
                      <w:color w:val="auto"/>
                      <w:szCs w:val="21"/>
                    </w:rPr>
                  </w:pPr>
                  <w:r>
                    <w:rPr>
                      <w:bCs/>
                      <w:color w:val="auto"/>
                      <w:szCs w:val="21"/>
                    </w:rPr>
                    <w:t>MS3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color w:val="auto"/>
                      <w:szCs w:val="21"/>
                    </w:rPr>
                  </w:pPr>
                  <w:r>
                    <w:rPr>
                      <w:rFonts w:hint="eastAsia"/>
                      <w:color w:val="auto"/>
                    </w:rPr>
                    <w:t>不间断电源UPS</w:t>
                  </w:r>
                </w:p>
              </w:tc>
              <w:tc>
                <w:tcPr>
                  <w:tcW w:w="1236" w:type="pct"/>
                  <w:tcBorders>
                    <w:tl2br w:val="nil"/>
                    <w:tr2bl w:val="nil"/>
                  </w:tcBorders>
                  <w:vAlign w:val="center"/>
                </w:tcPr>
                <w:p>
                  <w:pPr>
                    <w:jc w:val="center"/>
                    <w:rPr>
                      <w:bCs/>
                      <w:color w:val="auto"/>
                      <w:szCs w:val="21"/>
                    </w:rPr>
                  </w:pPr>
                  <w:r>
                    <w:rPr>
                      <w:rFonts w:hint="eastAsia"/>
                      <w:bCs/>
                      <w:color w:val="auto"/>
                      <w:szCs w:val="21"/>
                    </w:rPr>
                    <w:t>用于质谱仪器的应急供电</w:t>
                  </w:r>
                </w:p>
              </w:tc>
              <w:tc>
                <w:tcPr>
                  <w:tcW w:w="622" w:type="pct"/>
                  <w:tcBorders>
                    <w:tl2br w:val="nil"/>
                    <w:tr2bl w:val="nil"/>
                  </w:tcBorders>
                  <w:vAlign w:val="center"/>
                </w:tcPr>
                <w:p>
                  <w:pPr>
                    <w:jc w:val="center"/>
                    <w:rPr>
                      <w:bCs/>
                      <w:color w:val="auto"/>
                      <w:szCs w:val="21"/>
                    </w:rPr>
                  </w:pPr>
                  <w:r>
                    <w:rPr>
                      <w:rFonts w:hint="eastAsia"/>
                      <w:bCs/>
                      <w:color w:val="auto"/>
                      <w:szCs w:val="21"/>
                    </w:rPr>
                    <w:t>1台</w:t>
                  </w:r>
                </w:p>
              </w:tc>
              <w:tc>
                <w:tcPr>
                  <w:tcW w:w="683" w:type="pct"/>
                  <w:tcBorders>
                    <w:tl2br w:val="nil"/>
                    <w:tr2bl w:val="nil"/>
                  </w:tcBorders>
                  <w:vAlign w:val="center"/>
                </w:tcPr>
                <w:p>
                  <w:pPr>
                    <w:jc w:val="center"/>
                    <w:rPr>
                      <w:rFonts w:hint="eastAsia"/>
                      <w:bCs/>
                      <w:color w:val="auto"/>
                      <w:szCs w:val="21"/>
                    </w:rPr>
                  </w:pPr>
                  <w:r>
                    <w:rPr>
                      <w:rFonts w:hint="eastAsia"/>
                      <w:bCs/>
                      <w:color w:val="auto"/>
                      <w:szCs w:val="21"/>
                    </w:rPr>
                    <w:t>山特</w:t>
                  </w:r>
                </w:p>
              </w:tc>
              <w:tc>
                <w:tcPr>
                  <w:tcW w:w="1114" w:type="pct"/>
                  <w:tcBorders>
                    <w:tl2br w:val="nil"/>
                    <w:tr2bl w:val="nil"/>
                  </w:tcBorders>
                  <w:vAlign w:val="center"/>
                </w:tcPr>
                <w:p>
                  <w:pPr>
                    <w:jc w:val="center"/>
                    <w:rPr>
                      <w:bCs/>
                      <w:color w:val="auto"/>
                      <w:szCs w:val="21"/>
                    </w:rPr>
                  </w:pPr>
                  <w:r>
                    <w:rPr>
                      <w:bCs/>
                      <w:color w:val="auto"/>
                      <w:szCs w:val="21"/>
                    </w:rPr>
                    <w:t>C10KS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color w:val="auto"/>
                      <w:szCs w:val="21"/>
                    </w:rPr>
                  </w:pPr>
                  <w:r>
                    <w:rPr>
                      <w:rFonts w:hint="eastAsia"/>
                      <w:color w:val="auto"/>
                    </w:rPr>
                    <w:t>移液器（1</w:t>
                  </w:r>
                  <w:r>
                    <w:rPr>
                      <w:color w:val="auto"/>
                    </w:rPr>
                    <w:t>00</w:t>
                  </w:r>
                  <w:r>
                    <w:rPr>
                      <w:rFonts w:hint="eastAsia"/>
                      <w:color w:val="auto"/>
                    </w:rPr>
                    <w:t>微升、2</w:t>
                  </w:r>
                  <w:r>
                    <w:rPr>
                      <w:color w:val="auto"/>
                    </w:rPr>
                    <w:t>00</w:t>
                  </w:r>
                  <w:r>
                    <w:rPr>
                      <w:rFonts w:hint="eastAsia"/>
                      <w:color w:val="auto"/>
                    </w:rPr>
                    <w:t>微升、1</w:t>
                  </w:r>
                  <w:r>
                    <w:rPr>
                      <w:color w:val="auto"/>
                    </w:rPr>
                    <w:t>000</w:t>
                  </w:r>
                  <w:r>
                    <w:rPr>
                      <w:rFonts w:hint="eastAsia"/>
                      <w:color w:val="auto"/>
                    </w:rPr>
                    <w:t>微升）</w:t>
                  </w:r>
                </w:p>
              </w:tc>
              <w:tc>
                <w:tcPr>
                  <w:tcW w:w="1236" w:type="pct"/>
                  <w:tcBorders>
                    <w:tl2br w:val="nil"/>
                    <w:tr2bl w:val="nil"/>
                  </w:tcBorders>
                  <w:vAlign w:val="center"/>
                </w:tcPr>
                <w:p>
                  <w:pPr>
                    <w:jc w:val="center"/>
                    <w:rPr>
                      <w:bCs/>
                      <w:color w:val="auto"/>
                      <w:szCs w:val="21"/>
                    </w:rPr>
                  </w:pPr>
                  <w:r>
                    <w:rPr>
                      <w:rFonts w:hint="eastAsia"/>
                      <w:bCs/>
                      <w:color w:val="auto"/>
                      <w:szCs w:val="21"/>
                    </w:rPr>
                    <w:t>用于试剂和样本的加样</w:t>
                  </w:r>
                </w:p>
              </w:tc>
              <w:tc>
                <w:tcPr>
                  <w:tcW w:w="622" w:type="pct"/>
                  <w:tcBorders>
                    <w:tl2br w:val="nil"/>
                    <w:tr2bl w:val="nil"/>
                  </w:tcBorders>
                  <w:vAlign w:val="center"/>
                </w:tcPr>
                <w:p>
                  <w:pPr>
                    <w:jc w:val="center"/>
                    <w:rPr>
                      <w:bCs/>
                      <w:color w:val="auto"/>
                      <w:szCs w:val="21"/>
                    </w:rPr>
                  </w:pPr>
                  <w:r>
                    <w:rPr>
                      <w:rFonts w:hint="eastAsia"/>
                      <w:bCs/>
                      <w:color w:val="auto"/>
                      <w:szCs w:val="21"/>
                    </w:rPr>
                    <w:t>4套</w:t>
                  </w:r>
                </w:p>
              </w:tc>
              <w:tc>
                <w:tcPr>
                  <w:tcW w:w="683" w:type="pct"/>
                  <w:tcBorders>
                    <w:tl2br w:val="nil"/>
                    <w:tr2bl w:val="nil"/>
                  </w:tcBorders>
                  <w:vAlign w:val="center"/>
                </w:tcPr>
                <w:p>
                  <w:pPr>
                    <w:jc w:val="center"/>
                    <w:rPr>
                      <w:bCs/>
                      <w:color w:val="auto"/>
                      <w:szCs w:val="21"/>
                    </w:rPr>
                  </w:pPr>
                  <w:r>
                    <w:rPr>
                      <w:rFonts w:hint="eastAsia"/>
                      <w:bCs/>
                      <w:color w:val="auto"/>
                      <w:szCs w:val="21"/>
                    </w:rPr>
                    <w:t>大龙</w:t>
                  </w:r>
                </w:p>
              </w:tc>
              <w:tc>
                <w:tcPr>
                  <w:tcW w:w="1114" w:type="pct"/>
                  <w:tcBorders>
                    <w:tl2br w:val="nil"/>
                    <w:tr2bl w:val="nil"/>
                  </w:tcBorders>
                  <w:vAlign w:val="center"/>
                </w:tcPr>
                <w:p>
                  <w:pPr>
                    <w:jc w:val="center"/>
                    <w:rPr>
                      <w:bCs/>
                      <w:color w:val="auto"/>
                      <w:szCs w:val="21"/>
                    </w:rPr>
                  </w:pPr>
                  <w:r>
                    <w:rPr>
                      <w:bCs/>
                      <w:color w:val="auto"/>
                      <w:szCs w:val="21"/>
                    </w:rPr>
                    <w:t>TopPette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rFonts w:hint="eastAsia"/>
                      <w:color w:val="auto"/>
                    </w:rPr>
                  </w:pPr>
                  <w:r>
                    <w:rPr>
                      <w:rFonts w:hint="eastAsia"/>
                      <w:color w:val="auto"/>
                    </w:rPr>
                    <w:t>移液器（1</w:t>
                  </w:r>
                  <w:r>
                    <w:rPr>
                      <w:color w:val="auto"/>
                    </w:rPr>
                    <w:t>2</w:t>
                  </w:r>
                  <w:r>
                    <w:rPr>
                      <w:rFonts w:hint="eastAsia"/>
                      <w:color w:val="auto"/>
                    </w:rPr>
                    <w:t>道，3</w:t>
                  </w:r>
                  <w:r>
                    <w:rPr>
                      <w:color w:val="auto"/>
                    </w:rPr>
                    <w:t>00</w:t>
                  </w:r>
                  <w:r>
                    <w:rPr>
                      <w:rFonts w:hint="eastAsia"/>
                      <w:color w:val="auto"/>
                    </w:rPr>
                    <w:t>微升）</w:t>
                  </w:r>
                </w:p>
              </w:tc>
              <w:tc>
                <w:tcPr>
                  <w:tcW w:w="1236" w:type="pct"/>
                  <w:tcBorders>
                    <w:tl2br w:val="nil"/>
                    <w:tr2bl w:val="nil"/>
                  </w:tcBorders>
                  <w:vAlign w:val="center"/>
                </w:tcPr>
                <w:p>
                  <w:pPr>
                    <w:jc w:val="center"/>
                    <w:rPr>
                      <w:rFonts w:hint="eastAsia"/>
                      <w:bCs/>
                      <w:color w:val="auto"/>
                      <w:szCs w:val="21"/>
                    </w:rPr>
                  </w:pPr>
                  <w:r>
                    <w:rPr>
                      <w:rFonts w:hint="eastAsia"/>
                      <w:bCs/>
                      <w:color w:val="auto"/>
                      <w:szCs w:val="21"/>
                    </w:rPr>
                    <w:t>用于试剂和样本的加样</w:t>
                  </w:r>
                </w:p>
              </w:tc>
              <w:tc>
                <w:tcPr>
                  <w:tcW w:w="622" w:type="pct"/>
                  <w:tcBorders>
                    <w:tl2br w:val="nil"/>
                    <w:tr2bl w:val="nil"/>
                  </w:tcBorders>
                  <w:vAlign w:val="center"/>
                </w:tcPr>
                <w:p>
                  <w:pPr>
                    <w:jc w:val="center"/>
                    <w:rPr>
                      <w:rFonts w:hint="eastAsia"/>
                      <w:bCs/>
                      <w:color w:val="auto"/>
                      <w:szCs w:val="21"/>
                    </w:rPr>
                  </w:pPr>
                  <w:r>
                    <w:rPr>
                      <w:rFonts w:hint="eastAsia"/>
                      <w:bCs/>
                      <w:color w:val="auto"/>
                      <w:szCs w:val="21"/>
                    </w:rPr>
                    <w:t>1支</w:t>
                  </w:r>
                </w:p>
              </w:tc>
              <w:tc>
                <w:tcPr>
                  <w:tcW w:w="683" w:type="pct"/>
                  <w:tcBorders>
                    <w:tl2br w:val="nil"/>
                    <w:tr2bl w:val="nil"/>
                  </w:tcBorders>
                  <w:vAlign w:val="center"/>
                </w:tcPr>
                <w:p>
                  <w:pPr>
                    <w:jc w:val="center"/>
                    <w:rPr>
                      <w:rFonts w:hint="eastAsia"/>
                      <w:bCs/>
                      <w:color w:val="auto"/>
                      <w:szCs w:val="21"/>
                    </w:rPr>
                  </w:pPr>
                  <w:r>
                    <w:rPr>
                      <w:rFonts w:hint="eastAsia"/>
                      <w:bCs/>
                      <w:color w:val="auto"/>
                      <w:szCs w:val="21"/>
                    </w:rPr>
                    <w:t>大龙</w:t>
                  </w:r>
                </w:p>
              </w:tc>
              <w:tc>
                <w:tcPr>
                  <w:tcW w:w="1114" w:type="pct"/>
                  <w:tcBorders>
                    <w:tl2br w:val="nil"/>
                    <w:tr2bl w:val="nil"/>
                  </w:tcBorders>
                  <w:vAlign w:val="center"/>
                </w:tcPr>
                <w:p>
                  <w:pPr>
                    <w:jc w:val="center"/>
                    <w:rPr>
                      <w:bCs/>
                      <w:color w:val="auto"/>
                      <w:szCs w:val="21"/>
                    </w:rPr>
                  </w:pPr>
                  <w:r>
                    <w:rPr>
                      <w:bCs/>
                      <w:color w:val="auto"/>
                      <w:szCs w:val="21"/>
                    </w:rPr>
                    <w:t>TopPette</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color w:val="auto"/>
                      <w:szCs w:val="21"/>
                    </w:rPr>
                  </w:pPr>
                  <w:r>
                    <w:rPr>
                      <w:rFonts w:hint="eastAsia"/>
                      <w:color w:val="auto"/>
                    </w:rPr>
                    <w:t>氮气发生器</w:t>
                  </w:r>
                </w:p>
              </w:tc>
              <w:tc>
                <w:tcPr>
                  <w:tcW w:w="1236" w:type="pct"/>
                  <w:tcBorders>
                    <w:tl2br w:val="nil"/>
                    <w:tr2bl w:val="nil"/>
                  </w:tcBorders>
                  <w:vAlign w:val="center"/>
                </w:tcPr>
                <w:p>
                  <w:pPr>
                    <w:jc w:val="center"/>
                    <w:rPr>
                      <w:bCs/>
                      <w:color w:val="auto"/>
                      <w:szCs w:val="21"/>
                    </w:rPr>
                  </w:pPr>
                  <w:r>
                    <w:rPr>
                      <w:rFonts w:hint="eastAsia"/>
                      <w:bCs/>
                      <w:color w:val="auto"/>
                      <w:szCs w:val="21"/>
                    </w:rPr>
                    <w:t>用于质谱仪器的供氮</w:t>
                  </w:r>
                </w:p>
              </w:tc>
              <w:tc>
                <w:tcPr>
                  <w:tcW w:w="622" w:type="pct"/>
                  <w:tcBorders>
                    <w:tl2br w:val="nil"/>
                    <w:tr2bl w:val="nil"/>
                  </w:tcBorders>
                  <w:vAlign w:val="center"/>
                </w:tcPr>
                <w:p>
                  <w:pPr>
                    <w:jc w:val="center"/>
                    <w:rPr>
                      <w:bCs/>
                      <w:color w:val="auto"/>
                      <w:szCs w:val="21"/>
                    </w:rPr>
                  </w:pPr>
                  <w:r>
                    <w:rPr>
                      <w:rFonts w:hint="eastAsia"/>
                      <w:bCs/>
                      <w:color w:val="auto"/>
                      <w:szCs w:val="21"/>
                    </w:rPr>
                    <w:t>1台</w:t>
                  </w:r>
                </w:p>
              </w:tc>
              <w:tc>
                <w:tcPr>
                  <w:tcW w:w="683" w:type="pct"/>
                  <w:tcBorders>
                    <w:tl2br w:val="nil"/>
                    <w:tr2bl w:val="nil"/>
                  </w:tcBorders>
                  <w:vAlign w:val="center"/>
                </w:tcPr>
                <w:p>
                  <w:pPr>
                    <w:jc w:val="center"/>
                    <w:rPr>
                      <w:bCs/>
                      <w:color w:val="auto"/>
                      <w:szCs w:val="21"/>
                    </w:rPr>
                  </w:pPr>
                  <w:r>
                    <w:rPr>
                      <w:rFonts w:hint="eastAsia"/>
                      <w:bCs/>
                      <w:color w:val="auto"/>
                      <w:szCs w:val="21"/>
                    </w:rPr>
                    <w:t>杭州谱聚</w:t>
                  </w:r>
                </w:p>
              </w:tc>
              <w:tc>
                <w:tcPr>
                  <w:tcW w:w="1114" w:type="pct"/>
                  <w:tcBorders>
                    <w:tl2br w:val="nil"/>
                    <w:tr2bl w:val="nil"/>
                  </w:tcBorders>
                  <w:vAlign w:val="center"/>
                </w:tcPr>
                <w:p>
                  <w:pPr>
                    <w:jc w:val="center"/>
                    <w:rPr>
                      <w:bCs/>
                      <w:color w:val="auto"/>
                      <w:szCs w:val="21"/>
                    </w:rPr>
                  </w:pPr>
                  <w:r>
                    <w:rPr>
                      <w:bCs/>
                      <w:color w:val="auto"/>
                      <w:szCs w:val="21"/>
                    </w:rPr>
                    <w:t>NG-200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345" w:type="pct"/>
                  <w:tcBorders>
                    <w:tl2br w:val="nil"/>
                    <w:tr2bl w:val="nil"/>
                  </w:tcBorders>
                  <w:vAlign w:val="center"/>
                </w:tcPr>
                <w:p>
                  <w:pPr>
                    <w:jc w:val="center"/>
                    <w:rPr>
                      <w:bCs/>
                      <w:color w:val="auto"/>
                      <w:szCs w:val="21"/>
                    </w:rPr>
                  </w:pPr>
                  <w:r>
                    <w:rPr>
                      <w:rFonts w:hint="eastAsia"/>
                      <w:color w:val="auto"/>
                    </w:rPr>
                    <w:t>氮吹仪</w:t>
                  </w:r>
                </w:p>
              </w:tc>
              <w:tc>
                <w:tcPr>
                  <w:tcW w:w="1236" w:type="pct"/>
                  <w:tcBorders>
                    <w:tl2br w:val="nil"/>
                    <w:tr2bl w:val="nil"/>
                  </w:tcBorders>
                  <w:vAlign w:val="center"/>
                </w:tcPr>
                <w:p>
                  <w:pPr>
                    <w:jc w:val="center"/>
                    <w:rPr>
                      <w:bCs/>
                      <w:color w:val="auto"/>
                      <w:szCs w:val="21"/>
                    </w:rPr>
                  </w:pPr>
                  <w:r>
                    <w:rPr>
                      <w:rFonts w:hint="eastAsia"/>
                      <w:bCs/>
                      <w:color w:val="auto"/>
                      <w:szCs w:val="21"/>
                    </w:rPr>
                    <w:t>用于试剂和样本的前处理</w:t>
                  </w:r>
                </w:p>
              </w:tc>
              <w:tc>
                <w:tcPr>
                  <w:tcW w:w="622" w:type="pct"/>
                  <w:tcBorders>
                    <w:tl2br w:val="nil"/>
                    <w:tr2bl w:val="nil"/>
                  </w:tcBorders>
                  <w:vAlign w:val="center"/>
                </w:tcPr>
                <w:p>
                  <w:pPr>
                    <w:jc w:val="center"/>
                    <w:rPr>
                      <w:bCs/>
                      <w:color w:val="auto"/>
                      <w:szCs w:val="21"/>
                    </w:rPr>
                  </w:pPr>
                  <w:r>
                    <w:rPr>
                      <w:rFonts w:hint="eastAsia"/>
                      <w:bCs/>
                      <w:color w:val="auto"/>
                      <w:szCs w:val="21"/>
                    </w:rPr>
                    <w:t>1台</w:t>
                  </w:r>
                </w:p>
              </w:tc>
              <w:tc>
                <w:tcPr>
                  <w:tcW w:w="683" w:type="pct"/>
                  <w:tcBorders>
                    <w:tl2br w:val="nil"/>
                    <w:tr2bl w:val="nil"/>
                  </w:tcBorders>
                  <w:vAlign w:val="center"/>
                </w:tcPr>
                <w:p>
                  <w:pPr>
                    <w:jc w:val="center"/>
                    <w:rPr>
                      <w:bCs/>
                      <w:color w:val="auto"/>
                      <w:szCs w:val="21"/>
                    </w:rPr>
                  </w:pPr>
                  <w:r>
                    <w:rPr>
                      <w:rFonts w:hint="eastAsia"/>
                      <w:bCs/>
                      <w:color w:val="auto"/>
                      <w:szCs w:val="21"/>
                    </w:rPr>
                    <w:t>析维</w:t>
                  </w:r>
                </w:p>
              </w:tc>
              <w:tc>
                <w:tcPr>
                  <w:tcW w:w="1114" w:type="pct"/>
                  <w:tcBorders>
                    <w:tl2br w:val="nil"/>
                    <w:tr2bl w:val="nil"/>
                  </w:tcBorders>
                  <w:vAlign w:val="center"/>
                </w:tcPr>
                <w:p>
                  <w:pPr>
                    <w:jc w:val="center"/>
                    <w:rPr>
                      <w:bCs/>
                      <w:color w:val="auto"/>
                      <w:szCs w:val="21"/>
                    </w:rPr>
                  </w:pPr>
                  <w:r>
                    <w:rPr>
                      <w:bCs/>
                      <w:color w:val="auto"/>
                      <w:szCs w:val="21"/>
                    </w:rPr>
                    <w:t>Arica v96</w:t>
                  </w:r>
                </w:p>
              </w:tc>
            </w:tr>
          </w:tbl>
          <w:p>
            <w:pPr>
              <w:pStyle w:val="32"/>
            </w:pPr>
            <w:r>
              <w:t>项目原</w:t>
            </w:r>
            <w:r>
              <w:rPr>
                <w:rFonts w:hint="eastAsia"/>
              </w:rPr>
              <w:t>、</w:t>
            </w:r>
            <w:r>
              <w:t>辅材料</w:t>
            </w:r>
            <w:r>
              <w:rPr>
                <w:rFonts w:hint="eastAsia"/>
              </w:rPr>
              <w:t>一览表</w:t>
            </w:r>
          </w:p>
          <w:tbl>
            <w:tblPr>
              <w:tblStyle w:val="26"/>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6"/>
              <w:gridCol w:w="3831"/>
              <w:gridCol w:w="1841"/>
              <w:gridCol w:w="20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tcBorders>
                    <w:top w:val="single" w:color="auto" w:sz="12" w:space="0"/>
                  </w:tcBorders>
                  <w:vAlign w:val="center"/>
                </w:tcPr>
                <w:p>
                  <w:pPr>
                    <w:snapToGrid w:val="0"/>
                    <w:spacing w:line="240" w:lineRule="atLeast"/>
                    <w:jc w:val="center"/>
                    <w:rPr>
                      <w:bCs/>
                    </w:rPr>
                  </w:pPr>
                  <w:r>
                    <w:rPr>
                      <w:bCs/>
                    </w:rPr>
                    <w:t>序号</w:t>
                  </w:r>
                </w:p>
              </w:tc>
              <w:tc>
                <w:tcPr>
                  <w:tcW w:w="2237" w:type="pct"/>
                  <w:tcBorders>
                    <w:top w:val="single" w:color="auto" w:sz="12" w:space="0"/>
                  </w:tcBorders>
                  <w:vAlign w:val="center"/>
                </w:tcPr>
                <w:p>
                  <w:pPr>
                    <w:snapToGrid w:val="0"/>
                    <w:spacing w:line="240" w:lineRule="atLeast"/>
                    <w:jc w:val="center"/>
                    <w:rPr>
                      <w:bCs/>
                    </w:rPr>
                  </w:pPr>
                  <w:r>
                    <w:rPr>
                      <w:bCs/>
                    </w:rPr>
                    <w:t>原材料名称</w:t>
                  </w:r>
                </w:p>
              </w:tc>
              <w:tc>
                <w:tcPr>
                  <w:tcW w:w="1075" w:type="pct"/>
                  <w:tcBorders>
                    <w:top w:val="single" w:color="auto" w:sz="12" w:space="0"/>
                  </w:tcBorders>
                  <w:vAlign w:val="center"/>
                </w:tcPr>
                <w:p>
                  <w:pPr>
                    <w:snapToGrid w:val="0"/>
                    <w:spacing w:line="240" w:lineRule="atLeast"/>
                    <w:ind w:left="420" w:hanging="420"/>
                    <w:jc w:val="center"/>
                    <w:rPr>
                      <w:bCs/>
                    </w:rPr>
                  </w:pPr>
                  <w:r>
                    <w:rPr>
                      <w:bCs/>
                    </w:rPr>
                    <w:t>年耗量</w:t>
                  </w:r>
                </w:p>
              </w:tc>
              <w:tc>
                <w:tcPr>
                  <w:tcW w:w="1223" w:type="pct"/>
                  <w:tcBorders>
                    <w:top w:val="single" w:color="auto" w:sz="12" w:space="0"/>
                  </w:tcBorders>
                  <w:vAlign w:val="center"/>
                </w:tcPr>
                <w:p>
                  <w:pPr>
                    <w:snapToGrid w:val="0"/>
                    <w:spacing w:line="240" w:lineRule="atLeast"/>
                    <w:jc w:val="center"/>
                    <w:rPr>
                      <w:bCs/>
                    </w:rPr>
                  </w:pPr>
                  <w:r>
                    <w:rPr>
                      <w:rFonts w:hint="eastAsia"/>
                      <w:bCs/>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Merge w:val="restart"/>
                  <w:vAlign w:val="center"/>
                </w:tcPr>
                <w:p>
                  <w:pPr>
                    <w:snapToGrid w:val="0"/>
                    <w:spacing w:line="240" w:lineRule="atLeast"/>
                    <w:jc w:val="center"/>
                    <w:rPr>
                      <w:szCs w:val="21"/>
                    </w:rPr>
                  </w:pPr>
                  <w:r>
                    <w:rPr>
                      <w:rFonts w:hint="eastAsia"/>
                      <w:szCs w:val="21"/>
                    </w:rPr>
                    <w:t>1</w:t>
                  </w:r>
                </w:p>
              </w:tc>
              <w:tc>
                <w:tcPr>
                  <w:tcW w:w="2237" w:type="pct"/>
                  <w:vAlign w:val="center"/>
                </w:tcPr>
                <w:p>
                  <w:pPr>
                    <w:widowControl/>
                    <w:spacing w:line="240" w:lineRule="atLeast"/>
                    <w:jc w:val="center"/>
                    <w:rPr>
                      <w:szCs w:val="21"/>
                    </w:rPr>
                  </w:pPr>
                  <w:r>
                    <w:rPr>
                      <w:b/>
                      <w:bCs/>
                      <w:szCs w:val="21"/>
                    </w:rPr>
                    <w:t>核酸提取试剂盒</w:t>
                  </w:r>
                </w:p>
              </w:tc>
              <w:tc>
                <w:tcPr>
                  <w:tcW w:w="1075" w:type="pct"/>
                  <w:vAlign w:val="center"/>
                </w:tcPr>
                <w:p>
                  <w:pPr>
                    <w:widowControl/>
                    <w:spacing w:line="240" w:lineRule="atLeast"/>
                    <w:jc w:val="center"/>
                    <w:rPr>
                      <w:rFonts w:hint="default" w:eastAsia="宋体"/>
                      <w:szCs w:val="21"/>
                      <w:lang w:val="en-US" w:eastAsia="zh-CN"/>
                    </w:rPr>
                  </w:pPr>
                  <w:r>
                    <w:rPr>
                      <w:rFonts w:hint="eastAsia"/>
                      <w:szCs w:val="21"/>
                      <w:lang w:val="en-US" w:eastAsia="zh-CN"/>
                    </w:rPr>
                    <w:t>10000</w:t>
                  </w:r>
                </w:p>
              </w:tc>
              <w:tc>
                <w:tcPr>
                  <w:tcW w:w="1223" w:type="pct"/>
                  <w:vAlign w:val="center"/>
                </w:tcPr>
                <w:p>
                  <w:pPr>
                    <w:widowControl/>
                    <w:spacing w:line="240" w:lineRule="atLeast"/>
                    <w:jc w:val="center"/>
                    <w:rPr>
                      <w:rFonts w:hint="eastAsia" w:eastAsia="宋体"/>
                      <w:szCs w:val="21"/>
                      <w:lang w:val="en-US" w:eastAsia="zh-CN"/>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Merge w:val="continue"/>
                  <w:vAlign w:val="center"/>
                </w:tcPr>
                <w:p>
                  <w:pPr>
                    <w:snapToGrid w:val="0"/>
                    <w:spacing w:line="240" w:lineRule="atLeast"/>
                    <w:jc w:val="center"/>
                    <w:rPr>
                      <w:szCs w:val="21"/>
                    </w:rPr>
                  </w:pPr>
                </w:p>
              </w:tc>
              <w:tc>
                <w:tcPr>
                  <w:tcW w:w="2237" w:type="pct"/>
                  <w:vAlign w:val="center"/>
                </w:tcPr>
                <w:p>
                  <w:pPr>
                    <w:ind w:left="1260" w:hanging="1260" w:hangingChars="600"/>
                    <w:jc w:val="center"/>
                    <w:rPr>
                      <w:szCs w:val="21"/>
                    </w:rPr>
                  </w:pPr>
                  <w:r>
                    <w:rPr>
                      <w:szCs w:val="21"/>
                    </w:rPr>
                    <w:t>提取试剂Ⅰ：</w:t>
                  </w:r>
                </w:p>
                <w:p>
                  <w:pPr>
                    <w:ind w:left="1260" w:hanging="1260" w:hangingChars="600"/>
                    <w:jc w:val="center"/>
                    <w:rPr>
                      <w:szCs w:val="21"/>
                    </w:rPr>
                  </w:pPr>
                  <w:r>
                    <w:rPr>
                      <w:szCs w:val="21"/>
                    </w:rPr>
                    <w:t>&lt;50%异硫氰酸胍</w:t>
                  </w:r>
                </w:p>
                <w:p>
                  <w:pPr>
                    <w:ind w:left="1260" w:hanging="1260" w:hangingChars="600"/>
                    <w:jc w:val="center"/>
                    <w:rPr>
                      <w:szCs w:val="21"/>
                    </w:rPr>
                  </w:pPr>
                  <w:r>
                    <w:rPr>
                      <w:szCs w:val="21"/>
                    </w:rPr>
                    <w:t>&lt;10%Tris缓冲液</w:t>
                  </w:r>
                </w:p>
                <w:p>
                  <w:pPr>
                    <w:jc w:val="center"/>
                    <w:rPr>
                      <w:szCs w:val="21"/>
                    </w:rPr>
                  </w:pPr>
                  <w:r>
                    <w:rPr>
                      <w:szCs w:val="21"/>
                    </w:rPr>
                    <w:t>&lt;50%异丙醇</w:t>
                  </w:r>
                </w:p>
              </w:tc>
              <w:tc>
                <w:tcPr>
                  <w:tcW w:w="1075" w:type="pct"/>
                  <w:vAlign w:val="center"/>
                </w:tcPr>
                <w:p>
                  <w:pPr>
                    <w:jc w:val="center"/>
                    <w:rPr>
                      <w:szCs w:val="21"/>
                    </w:rPr>
                  </w:pPr>
                  <w:r>
                    <w:rPr>
                      <w:szCs w:val="21"/>
                    </w:rPr>
                    <w:t>16</w:t>
                  </w:r>
                  <w:r>
                    <w:rPr>
                      <w:rFonts w:hint="eastAsia"/>
                      <w:szCs w:val="21"/>
                    </w:rPr>
                    <w:t>00</w:t>
                  </w:r>
                  <w:r>
                    <w:rPr>
                      <w:szCs w:val="21"/>
                    </w:rPr>
                    <w:t>L</w:t>
                  </w:r>
                </w:p>
              </w:tc>
              <w:tc>
                <w:tcPr>
                  <w:tcW w:w="1223" w:type="pct"/>
                  <w:vAlign w:val="center"/>
                </w:tcPr>
                <w:p>
                  <w:pPr>
                    <w:widowControl/>
                    <w:spacing w:line="240" w:lineRule="atLeast"/>
                    <w:jc w:val="center"/>
                    <w:rPr>
                      <w:szCs w:val="21"/>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Merge w:val="continue"/>
                  <w:vAlign w:val="center"/>
                </w:tcPr>
                <w:p>
                  <w:pPr>
                    <w:snapToGrid w:val="0"/>
                    <w:spacing w:line="240" w:lineRule="atLeast"/>
                    <w:jc w:val="center"/>
                    <w:rPr>
                      <w:szCs w:val="21"/>
                    </w:rPr>
                  </w:pPr>
                </w:p>
              </w:tc>
              <w:tc>
                <w:tcPr>
                  <w:tcW w:w="2237" w:type="pct"/>
                  <w:vAlign w:val="center"/>
                </w:tcPr>
                <w:p>
                  <w:pPr>
                    <w:jc w:val="center"/>
                    <w:rPr>
                      <w:szCs w:val="21"/>
                    </w:rPr>
                  </w:pPr>
                  <w:r>
                    <w:rPr>
                      <w:szCs w:val="21"/>
                    </w:rPr>
                    <w:t>提取试剂Ⅱ：</w:t>
                  </w:r>
                </w:p>
                <w:p>
                  <w:pPr>
                    <w:jc w:val="center"/>
                    <w:rPr>
                      <w:szCs w:val="21"/>
                    </w:rPr>
                  </w:pPr>
                  <w:r>
                    <w:rPr>
                      <w:szCs w:val="21"/>
                    </w:rPr>
                    <w:t>&lt;10%Tris缓冲液</w:t>
                  </w:r>
                </w:p>
                <w:p>
                  <w:pPr>
                    <w:jc w:val="center"/>
                    <w:rPr>
                      <w:szCs w:val="21"/>
                    </w:rPr>
                  </w:pPr>
                  <w:r>
                    <w:rPr>
                      <w:szCs w:val="21"/>
                    </w:rPr>
                    <w:t>&lt;10%NaCl</w:t>
                  </w:r>
                </w:p>
              </w:tc>
              <w:tc>
                <w:tcPr>
                  <w:tcW w:w="1075" w:type="pct"/>
                  <w:vAlign w:val="center"/>
                </w:tcPr>
                <w:p>
                  <w:pPr>
                    <w:jc w:val="center"/>
                    <w:rPr>
                      <w:szCs w:val="21"/>
                    </w:rPr>
                  </w:pPr>
                  <w:r>
                    <w:rPr>
                      <w:szCs w:val="21"/>
                    </w:rPr>
                    <w:t>192</w:t>
                  </w:r>
                  <w:r>
                    <w:rPr>
                      <w:rFonts w:hint="eastAsia"/>
                      <w:szCs w:val="21"/>
                    </w:rPr>
                    <w:t>0</w:t>
                  </w:r>
                  <w:r>
                    <w:rPr>
                      <w:szCs w:val="21"/>
                    </w:rPr>
                    <w:t>L</w:t>
                  </w:r>
                </w:p>
              </w:tc>
              <w:tc>
                <w:tcPr>
                  <w:tcW w:w="1223" w:type="pct"/>
                  <w:vAlign w:val="center"/>
                </w:tcPr>
                <w:p>
                  <w:pPr>
                    <w:widowControl/>
                    <w:spacing w:line="240" w:lineRule="atLeast"/>
                    <w:jc w:val="center"/>
                    <w:rPr>
                      <w:szCs w:val="21"/>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Merge w:val="continue"/>
                  <w:vAlign w:val="center"/>
                </w:tcPr>
                <w:p>
                  <w:pPr>
                    <w:snapToGrid w:val="0"/>
                    <w:spacing w:line="240" w:lineRule="atLeast"/>
                    <w:jc w:val="center"/>
                    <w:rPr>
                      <w:szCs w:val="21"/>
                    </w:rPr>
                  </w:pPr>
                </w:p>
              </w:tc>
              <w:tc>
                <w:tcPr>
                  <w:tcW w:w="2237" w:type="pct"/>
                  <w:vAlign w:val="center"/>
                </w:tcPr>
                <w:p>
                  <w:pPr>
                    <w:jc w:val="center"/>
                    <w:rPr>
                      <w:szCs w:val="21"/>
                    </w:rPr>
                  </w:pPr>
                  <w:r>
                    <w:rPr>
                      <w:szCs w:val="21"/>
                    </w:rPr>
                    <w:t>洗脱液：</w:t>
                  </w:r>
                </w:p>
                <w:p>
                  <w:pPr>
                    <w:jc w:val="center"/>
                    <w:rPr>
                      <w:szCs w:val="21"/>
                    </w:rPr>
                  </w:pPr>
                  <w:r>
                    <w:rPr>
                      <w:szCs w:val="21"/>
                    </w:rPr>
                    <w:t>纯化水</w:t>
                  </w:r>
                </w:p>
              </w:tc>
              <w:tc>
                <w:tcPr>
                  <w:tcW w:w="1075" w:type="pct"/>
                  <w:vAlign w:val="center"/>
                </w:tcPr>
                <w:p>
                  <w:pPr>
                    <w:jc w:val="center"/>
                    <w:rPr>
                      <w:szCs w:val="21"/>
                    </w:rPr>
                  </w:pPr>
                  <w:r>
                    <w:rPr>
                      <w:szCs w:val="21"/>
                    </w:rPr>
                    <w:t>64</w:t>
                  </w:r>
                  <w:r>
                    <w:rPr>
                      <w:rFonts w:hint="eastAsia"/>
                      <w:szCs w:val="21"/>
                    </w:rPr>
                    <w:t>0</w:t>
                  </w:r>
                  <w:r>
                    <w:rPr>
                      <w:szCs w:val="21"/>
                    </w:rPr>
                    <w:t>L</w:t>
                  </w:r>
                </w:p>
              </w:tc>
              <w:tc>
                <w:tcPr>
                  <w:tcW w:w="1223" w:type="pct"/>
                  <w:vAlign w:val="center"/>
                </w:tcPr>
                <w:p>
                  <w:pPr>
                    <w:widowControl/>
                    <w:spacing w:line="240" w:lineRule="atLeast"/>
                    <w:jc w:val="center"/>
                    <w:rPr>
                      <w:szCs w:val="21"/>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Merge w:val="continue"/>
                  <w:vAlign w:val="center"/>
                </w:tcPr>
                <w:p>
                  <w:pPr>
                    <w:snapToGrid w:val="0"/>
                    <w:spacing w:line="240" w:lineRule="atLeast"/>
                    <w:jc w:val="center"/>
                    <w:rPr>
                      <w:szCs w:val="21"/>
                    </w:rPr>
                  </w:pPr>
                </w:p>
              </w:tc>
              <w:tc>
                <w:tcPr>
                  <w:tcW w:w="2237" w:type="pct"/>
                  <w:vAlign w:val="center"/>
                </w:tcPr>
                <w:p>
                  <w:pPr>
                    <w:jc w:val="center"/>
                    <w:rPr>
                      <w:szCs w:val="21"/>
                    </w:rPr>
                  </w:pPr>
                  <w:r>
                    <w:rPr>
                      <w:szCs w:val="21"/>
                    </w:rPr>
                    <w:t>磁珠溶液：</w:t>
                  </w:r>
                </w:p>
                <w:p>
                  <w:pPr>
                    <w:jc w:val="center"/>
                    <w:rPr>
                      <w:szCs w:val="21"/>
                    </w:rPr>
                  </w:pPr>
                  <w:r>
                    <w:rPr>
                      <w:szCs w:val="21"/>
                    </w:rPr>
                    <w:t>&lt;50%磁性颗粒</w:t>
                  </w:r>
                </w:p>
              </w:tc>
              <w:tc>
                <w:tcPr>
                  <w:tcW w:w="1075" w:type="pct"/>
                  <w:vAlign w:val="center"/>
                </w:tcPr>
                <w:p>
                  <w:pPr>
                    <w:jc w:val="center"/>
                    <w:rPr>
                      <w:szCs w:val="21"/>
                    </w:rPr>
                  </w:pPr>
                  <w:r>
                    <w:rPr>
                      <w:szCs w:val="21"/>
                    </w:rPr>
                    <w:t>13L</w:t>
                  </w:r>
                </w:p>
              </w:tc>
              <w:tc>
                <w:tcPr>
                  <w:tcW w:w="1223" w:type="pct"/>
                  <w:vAlign w:val="center"/>
                </w:tcPr>
                <w:p>
                  <w:pPr>
                    <w:widowControl/>
                    <w:spacing w:line="240" w:lineRule="atLeast"/>
                    <w:jc w:val="center"/>
                    <w:rPr>
                      <w:szCs w:val="21"/>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Merge w:val="continue"/>
                  <w:vAlign w:val="center"/>
                </w:tcPr>
                <w:p>
                  <w:pPr>
                    <w:snapToGrid w:val="0"/>
                    <w:spacing w:line="240" w:lineRule="atLeast"/>
                    <w:jc w:val="center"/>
                    <w:rPr>
                      <w:szCs w:val="21"/>
                    </w:rPr>
                  </w:pPr>
                </w:p>
              </w:tc>
              <w:tc>
                <w:tcPr>
                  <w:tcW w:w="2237" w:type="pct"/>
                  <w:vAlign w:val="center"/>
                </w:tcPr>
                <w:p>
                  <w:pPr>
                    <w:jc w:val="center"/>
                    <w:rPr>
                      <w:szCs w:val="21"/>
                    </w:rPr>
                  </w:pPr>
                  <w:r>
                    <w:rPr>
                      <w:szCs w:val="21"/>
                    </w:rPr>
                    <w:t>蛋白酶K：</w:t>
                  </w:r>
                </w:p>
                <w:p>
                  <w:pPr>
                    <w:jc w:val="center"/>
                    <w:rPr>
                      <w:szCs w:val="21"/>
                    </w:rPr>
                  </w:pPr>
                  <w:r>
                    <w:rPr>
                      <w:szCs w:val="21"/>
                    </w:rPr>
                    <w:t>&lt;5%蛋白酶K</w:t>
                  </w:r>
                </w:p>
              </w:tc>
              <w:tc>
                <w:tcPr>
                  <w:tcW w:w="1075" w:type="pct"/>
                  <w:vAlign w:val="center"/>
                </w:tcPr>
                <w:p>
                  <w:pPr>
                    <w:jc w:val="center"/>
                    <w:rPr>
                      <w:szCs w:val="21"/>
                    </w:rPr>
                  </w:pPr>
                  <w:r>
                    <w:rPr>
                      <w:szCs w:val="21"/>
                    </w:rPr>
                    <w:t>48L</w:t>
                  </w:r>
                </w:p>
              </w:tc>
              <w:tc>
                <w:tcPr>
                  <w:tcW w:w="1223" w:type="pct"/>
                  <w:vAlign w:val="center"/>
                </w:tcPr>
                <w:p>
                  <w:pPr>
                    <w:widowControl/>
                    <w:spacing w:line="240" w:lineRule="atLeast"/>
                    <w:jc w:val="center"/>
                    <w:rPr>
                      <w:szCs w:val="21"/>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Merge w:val="restart"/>
                  <w:vAlign w:val="center"/>
                </w:tcPr>
                <w:p>
                  <w:pPr>
                    <w:snapToGrid w:val="0"/>
                    <w:spacing w:line="240" w:lineRule="atLeast"/>
                    <w:jc w:val="center"/>
                    <w:rPr>
                      <w:szCs w:val="21"/>
                    </w:rPr>
                  </w:pPr>
                  <w:r>
                    <w:rPr>
                      <w:rFonts w:hint="eastAsia"/>
                      <w:szCs w:val="21"/>
                    </w:rPr>
                    <w:t>2</w:t>
                  </w:r>
                </w:p>
              </w:tc>
              <w:tc>
                <w:tcPr>
                  <w:tcW w:w="2237" w:type="pct"/>
                  <w:vAlign w:val="center"/>
                </w:tcPr>
                <w:p>
                  <w:pPr>
                    <w:jc w:val="center"/>
                    <w:rPr>
                      <w:b/>
                      <w:bCs/>
                      <w:szCs w:val="21"/>
                    </w:rPr>
                  </w:pPr>
                  <w:r>
                    <w:rPr>
                      <w:b/>
                      <w:bCs/>
                      <w:szCs w:val="21"/>
                    </w:rPr>
                    <w:t>核酸检测试剂盒</w:t>
                  </w:r>
                </w:p>
              </w:tc>
              <w:tc>
                <w:tcPr>
                  <w:tcW w:w="1075" w:type="pct"/>
                  <w:vAlign w:val="center"/>
                </w:tcPr>
                <w:p>
                  <w:pPr>
                    <w:jc w:val="center"/>
                    <w:rPr>
                      <w:rFonts w:hint="default" w:eastAsia="宋体"/>
                      <w:szCs w:val="21"/>
                      <w:lang w:val="en-US" w:eastAsia="zh-CN"/>
                    </w:rPr>
                  </w:pPr>
                  <w:r>
                    <w:rPr>
                      <w:rFonts w:hint="eastAsia"/>
                      <w:szCs w:val="21"/>
                      <w:lang w:val="en-US" w:eastAsia="zh-CN"/>
                    </w:rPr>
                    <w:t>10000</w:t>
                  </w:r>
                </w:p>
              </w:tc>
              <w:tc>
                <w:tcPr>
                  <w:tcW w:w="1223" w:type="pct"/>
                  <w:vAlign w:val="center"/>
                </w:tcPr>
                <w:p>
                  <w:pPr>
                    <w:widowControl/>
                    <w:spacing w:line="240" w:lineRule="atLeast"/>
                    <w:jc w:val="center"/>
                    <w:rPr>
                      <w:szCs w:val="21"/>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Merge w:val="continue"/>
                  <w:vAlign w:val="center"/>
                </w:tcPr>
                <w:p>
                  <w:pPr>
                    <w:snapToGrid w:val="0"/>
                    <w:spacing w:line="240" w:lineRule="atLeast"/>
                    <w:jc w:val="center"/>
                    <w:rPr>
                      <w:szCs w:val="21"/>
                    </w:rPr>
                  </w:pPr>
                </w:p>
              </w:tc>
              <w:tc>
                <w:tcPr>
                  <w:tcW w:w="2237" w:type="pct"/>
                  <w:vAlign w:val="center"/>
                </w:tcPr>
                <w:p>
                  <w:pPr>
                    <w:jc w:val="center"/>
                    <w:rPr>
                      <w:szCs w:val="21"/>
                    </w:rPr>
                  </w:pPr>
                  <w:r>
                    <w:rPr>
                      <w:szCs w:val="21"/>
                    </w:rPr>
                    <w:t>2019-nCoV反应液：</w:t>
                  </w:r>
                </w:p>
                <w:p>
                  <w:pPr>
                    <w:jc w:val="center"/>
                    <w:rPr>
                      <w:szCs w:val="21"/>
                    </w:rPr>
                  </w:pPr>
                  <w:r>
                    <w:rPr>
                      <w:szCs w:val="21"/>
                    </w:rPr>
                    <w:t>N基因引物/探针</w:t>
                  </w:r>
                </w:p>
                <w:p>
                  <w:pPr>
                    <w:jc w:val="center"/>
                    <w:rPr>
                      <w:szCs w:val="21"/>
                    </w:rPr>
                  </w:pPr>
                  <w:r>
                    <w:rPr>
                      <w:szCs w:val="21"/>
                    </w:rPr>
                    <w:t>ORF1ab引物/探针</w:t>
                  </w:r>
                </w:p>
                <w:p>
                  <w:pPr>
                    <w:jc w:val="center"/>
                    <w:rPr>
                      <w:szCs w:val="21"/>
                    </w:rPr>
                  </w:pPr>
                  <w:r>
                    <w:rPr>
                      <w:szCs w:val="21"/>
                    </w:rPr>
                    <w:t>内标引物/探针</w:t>
                  </w:r>
                </w:p>
                <w:p>
                  <w:pPr>
                    <w:jc w:val="center"/>
                    <w:rPr>
                      <w:szCs w:val="21"/>
                    </w:rPr>
                  </w:pPr>
                  <w:r>
                    <w:rPr>
                      <w:szCs w:val="21"/>
                    </w:rPr>
                    <w:t>DNA聚合酶</w:t>
                  </w:r>
                </w:p>
                <w:p>
                  <w:pPr>
                    <w:jc w:val="center"/>
                    <w:rPr>
                      <w:szCs w:val="21"/>
                    </w:rPr>
                  </w:pPr>
                  <w:r>
                    <w:rPr>
                      <w:szCs w:val="21"/>
                    </w:rPr>
                    <w:t>逆转录酶</w:t>
                  </w:r>
                </w:p>
                <w:p>
                  <w:pPr>
                    <w:jc w:val="center"/>
                    <w:rPr>
                      <w:szCs w:val="21"/>
                    </w:rPr>
                  </w:pPr>
                  <w:r>
                    <w:rPr>
                      <w:szCs w:val="21"/>
                    </w:rPr>
                    <w:t>UNG酶</w:t>
                  </w:r>
                </w:p>
                <w:p>
                  <w:pPr>
                    <w:jc w:val="center"/>
                    <w:rPr>
                      <w:szCs w:val="21"/>
                    </w:rPr>
                  </w:pPr>
                  <w:r>
                    <w:rPr>
                      <w:szCs w:val="21"/>
                    </w:rPr>
                    <w:t>RNase抑制剂</w:t>
                  </w:r>
                </w:p>
                <w:p>
                  <w:pPr>
                    <w:jc w:val="center"/>
                    <w:rPr>
                      <w:szCs w:val="21"/>
                    </w:rPr>
                  </w:pPr>
                  <w:r>
                    <w:rPr>
                      <w:szCs w:val="21"/>
                    </w:rPr>
                    <w:t>dNTP</w:t>
                  </w:r>
                </w:p>
              </w:tc>
              <w:tc>
                <w:tcPr>
                  <w:tcW w:w="1075" w:type="pct"/>
                  <w:vAlign w:val="center"/>
                </w:tcPr>
                <w:p>
                  <w:pPr>
                    <w:jc w:val="center"/>
                    <w:rPr>
                      <w:szCs w:val="21"/>
                    </w:rPr>
                  </w:pPr>
                  <w:r>
                    <w:rPr>
                      <w:rFonts w:hint="eastAsia"/>
                      <w:szCs w:val="21"/>
                    </w:rPr>
                    <w:t>100</w:t>
                  </w:r>
                  <w:r>
                    <w:rPr>
                      <w:szCs w:val="21"/>
                    </w:rPr>
                    <w:t>L</w:t>
                  </w:r>
                </w:p>
              </w:tc>
              <w:tc>
                <w:tcPr>
                  <w:tcW w:w="1223" w:type="pct"/>
                  <w:vAlign w:val="center"/>
                </w:tcPr>
                <w:p>
                  <w:pPr>
                    <w:widowControl/>
                    <w:spacing w:line="240" w:lineRule="atLeast"/>
                    <w:jc w:val="center"/>
                    <w:rPr>
                      <w:szCs w:val="21"/>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Merge w:val="continue"/>
                  <w:vAlign w:val="center"/>
                </w:tcPr>
                <w:p>
                  <w:pPr>
                    <w:snapToGrid w:val="0"/>
                    <w:spacing w:line="240" w:lineRule="atLeast"/>
                    <w:jc w:val="center"/>
                    <w:rPr>
                      <w:szCs w:val="21"/>
                    </w:rPr>
                  </w:pPr>
                </w:p>
              </w:tc>
              <w:tc>
                <w:tcPr>
                  <w:tcW w:w="2237" w:type="pct"/>
                  <w:vAlign w:val="center"/>
                </w:tcPr>
                <w:p>
                  <w:pPr>
                    <w:jc w:val="center"/>
                    <w:rPr>
                      <w:szCs w:val="21"/>
                    </w:rPr>
                  </w:pPr>
                  <w:r>
                    <w:rPr>
                      <w:szCs w:val="21"/>
                    </w:rPr>
                    <w:t>2019-nCoV阳性质控品：</w:t>
                  </w:r>
                </w:p>
                <w:p>
                  <w:pPr>
                    <w:jc w:val="center"/>
                    <w:rPr>
                      <w:szCs w:val="21"/>
                    </w:rPr>
                  </w:pPr>
                  <w:r>
                    <w:rPr>
                      <w:szCs w:val="21"/>
                    </w:rPr>
                    <w:t>N基因与ORF1ab基因片段的体外转录RNA</w:t>
                  </w:r>
                </w:p>
                <w:p>
                  <w:pPr>
                    <w:jc w:val="center"/>
                    <w:rPr>
                      <w:szCs w:val="21"/>
                    </w:rPr>
                  </w:pPr>
                  <w:r>
                    <w:rPr>
                      <w:szCs w:val="21"/>
                    </w:rPr>
                    <w:t>人基因组DNA</w:t>
                  </w:r>
                </w:p>
              </w:tc>
              <w:tc>
                <w:tcPr>
                  <w:tcW w:w="1075" w:type="pct"/>
                  <w:vAlign w:val="center"/>
                </w:tcPr>
                <w:p>
                  <w:pPr>
                    <w:jc w:val="center"/>
                    <w:rPr>
                      <w:szCs w:val="21"/>
                    </w:rPr>
                  </w:pPr>
                  <w:r>
                    <w:rPr>
                      <w:rFonts w:hint="eastAsia"/>
                      <w:szCs w:val="21"/>
                    </w:rPr>
                    <w:t>10</w:t>
                  </w:r>
                  <w:r>
                    <w:rPr>
                      <w:szCs w:val="21"/>
                    </w:rPr>
                    <w:t>L</w:t>
                  </w:r>
                </w:p>
              </w:tc>
              <w:tc>
                <w:tcPr>
                  <w:tcW w:w="1223" w:type="pct"/>
                  <w:vAlign w:val="center"/>
                </w:tcPr>
                <w:p>
                  <w:pPr>
                    <w:widowControl/>
                    <w:spacing w:line="240" w:lineRule="atLeast"/>
                    <w:jc w:val="center"/>
                    <w:rPr>
                      <w:szCs w:val="21"/>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Merge w:val="continue"/>
                  <w:vAlign w:val="center"/>
                </w:tcPr>
                <w:p>
                  <w:pPr>
                    <w:snapToGrid w:val="0"/>
                    <w:spacing w:line="240" w:lineRule="atLeast"/>
                    <w:jc w:val="center"/>
                    <w:rPr>
                      <w:szCs w:val="21"/>
                    </w:rPr>
                  </w:pPr>
                </w:p>
              </w:tc>
              <w:tc>
                <w:tcPr>
                  <w:tcW w:w="2237" w:type="pct"/>
                  <w:vAlign w:val="center"/>
                </w:tcPr>
                <w:p>
                  <w:pPr>
                    <w:jc w:val="center"/>
                    <w:rPr>
                      <w:szCs w:val="21"/>
                    </w:rPr>
                  </w:pPr>
                  <w:r>
                    <w:rPr>
                      <w:szCs w:val="21"/>
                    </w:rPr>
                    <w:t>2019-nCoV阳性质控品：</w:t>
                  </w:r>
                </w:p>
                <w:p>
                  <w:pPr>
                    <w:jc w:val="center"/>
                    <w:rPr>
                      <w:szCs w:val="21"/>
                    </w:rPr>
                  </w:pPr>
                  <w:r>
                    <w:rPr>
                      <w:szCs w:val="21"/>
                    </w:rPr>
                    <w:t>无核酸酶超纯水</w:t>
                  </w:r>
                </w:p>
              </w:tc>
              <w:tc>
                <w:tcPr>
                  <w:tcW w:w="1075" w:type="pct"/>
                  <w:vAlign w:val="center"/>
                </w:tcPr>
                <w:p>
                  <w:pPr>
                    <w:jc w:val="center"/>
                    <w:rPr>
                      <w:szCs w:val="21"/>
                    </w:rPr>
                  </w:pPr>
                  <w:r>
                    <w:rPr>
                      <w:rFonts w:hint="eastAsia"/>
                      <w:szCs w:val="21"/>
                    </w:rPr>
                    <w:t>10</w:t>
                  </w:r>
                  <w:r>
                    <w:rPr>
                      <w:szCs w:val="21"/>
                    </w:rPr>
                    <w:t>L</w:t>
                  </w:r>
                </w:p>
              </w:tc>
              <w:tc>
                <w:tcPr>
                  <w:tcW w:w="1223" w:type="pct"/>
                  <w:vAlign w:val="center"/>
                </w:tcPr>
                <w:p>
                  <w:pPr>
                    <w:widowControl/>
                    <w:spacing w:line="240" w:lineRule="atLeast"/>
                    <w:jc w:val="center"/>
                    <w:rPr>
                      <w:szCs w:val="21"/>
                    </w:rPr>
                  </w:pPr>
                  <w:r>
                    <w:rPr>
                      <w:rFonts w:hint="eastAsia"/>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Align w:val="center"/>
                </w:tcPr>
                <w:p>
                  <w:pPr>
                    <w:snapToGrid w:val="0"/>
                    <w:spacing w:line="240" w:lineRule="atLeast"/>
                    <w:jc w:val="center"/>
                    <w:rPr>
                      <w:szCs w:val="21"/>
                    </w:rPr>
                  </w:pPr>
                  <w:r>
                    <w:rPr>
                      <w:szCs w:val="21"/>
                    </w:rPr>
                    <w:t>3</w:t>
                  </w:r>
                </w:p>
              </w:tc>
              <w:tc>
                <w:tcPr>
                  <w:tcW w:w="2237" w:type="pct"/>
                  <w:vAlign w:val="center"/>
                </w:tcPr>
                <w:p>
                  <w:pPr>
                    <w:widowControl/>
                    <w:spacing w:line="240" w:lineRule="atLeast"/>
                    <w:jc w:val="center"/>
                    <w:rPr>
                      <w:szCs w:val="21"/>
                    </w:rPr>
                  </w:pPr>
                  <w:r>
                    <w:rPr>
                      <w:szCs w:val="21"/>
                    </w:rPr>
                    <w:t>裂解液试剂板</w:t>
                  </w:r>
                </w:p>
              </w:tc>
              <w:tc>
                <w:tcPr>
                  <w:tcW w:w="1075" w:type="pct"/>
                  <w:vAlign w:val="center"/>
                </w:tcPr>
                <w:p>
                  <w:pPr>
                    <w:widowControl/>
                    <w:spacing w:line="240" w:lineRule="atLeast"/>
                    <w:jc w:val="center"/>
                    <w:rPr>
                      <w:szCs w:val="21"/>
                    </w:rPr>
                  </w:pPr>
                  <w:r>
                    <w:rPr>
                      <w:szCs w:val="21"/>
                    </w:rPr>
                    <w:t>0.1t</w:t>
                  </w:r>
                </w:p>
              </w:tc>
              <w:tc>
                <w:tcPr>
                  <w:tcW w:w="1223" w:type="pct"/>
                  <w:vAlign w:val="center"/>
                </w:tcPr>
                <w:p>
                  <w:pPr>
                    <w:widowControl/>
                    <w:spacing w:line="240" w:lineRule="atLeast"/>
                    <w:jc w:val="center"/>
                    <w:rPr>
                      <w:szCs w:val="21"/>
                    </w:rPr>
                  </w:pPr>
                  <w:r>
                    <w:rPr>
                      <w:szCs w:val="21"/>
                    </w:rPr>
                    <w:t>无毒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Align w:val="center"/>
                </w:tcPr>
                <w:p>
                  <w:pPr>
                    <w:snapToGrid w:val="0"/>
                    <w:spacing w:line="240" w:lineRule="atLeast"/>
                    <w:jc w:val="center"/>
                    <w:rPr>
                      <w:szCs w:val="21"/>
                    </w:rPr>
                  </w:pPr>
                  <w:r>
                    <w:rPr>
                      <w:szCs w:val="21"/>
                    </w:rPr>
                    <w:t>4</w:t>
                  </w:r>
                </w:p>
              </w:tc>
              <w:tc>
                <w:tcPr>
                  <w:tcW w:w="2237" w:type="pct"/>
                  <w:vAlign w:val="center"/>
                </w:tcPr>
                <w:p>
                  <w:pPr>
                    <w:widowControl/>
                    <w:spacing w:line="240" w:lineRule="atLeast"/>
                    <w:jc w:val="center"/>
                    <w:rPr>
                      <w:kern w:val="0"/>
                      <w:szCs w:val="21"/>
                    </w:rPr>
                  </w:pPr>
                  <w:r>
                    <w:rPr>
                      <w:kern w:val="0"/>
                      <w:szCs w:val="21"/>
                    </w:rPr>
                    <w:t>一次性聚丙烯试剂盒</w:t>
                  </w:r>
                </w:p>
              </w:tc>
              <w:tc>
                <w:tcPr>
                  <w:tcW w:w="1075" w:type="pct"/>
                  <w:vAlign w:val="center"/>
                </w:tcPr>
                <w:p>
                  <w:pPr>
                    <w:widowControl/>
                    <w:spacing w:line="240" w:lineRule="atLeast"/>
                    <w:jc w:val="center"/>
                    <w:rPr>
                      <w:kern w:val="0"/>
                      <w:szCs w:val="21"/>
                    </w:rPr>
                  </w:pPr>
                  <w:r>
                    <w:rPr>
                      <w:kern w:val="0"/>
                      <w:szCs w:val="21"/>
                    </w:rPr>
                    <w:t>10</w:t>
                  </w:r>
                  <w:r>
                    <w:rPr>
                      <w:rFonts w:hint="eastAsia"/>
                      <w:kern w:val="0"/>
                      <w:szCs w:val="21"/>
                    </w:rPr>
                    <w:t>000</w:t>
                  </w:r>
                </w:p>
              </w:tc>
              <w:tc>
                <w:tcPr>
                  <w:tcW w:w="1223" w:type="pct"/>
                  <w:vAlign w:val="center"/>
                </w:tcPr>
                <w:p>
                  <w:pPr>
                    <w:widowControl/>
                    <w:spacing w:line="240" w:lineRule="atLeast"/>
                    <w:jc w:val="center"/>
                    <w:rPr>
                      <w:kern w:val="0"/>
                      <w:szCs w:val="21"/>
                    </w:rPr>
                  </w:pPr>
                  <w:r>
                    <w:rPr>
                      <w:kern w:val="0"/>
                      <w:szCs w:val="21"/>
                    </w:rPr>
                    <w:t>无毒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Align w:val="center"/>
                </w:tcPr>
                <w:p>
                  <w:pPr>
                    <w:snapToGrid w:val="0"/>
                    <w:spacing w:line="240" w:lineRule="atLeast"/>
                    <w:jc w:val="center"/>
                    <w:rPr>
                      <w:szCs w:val="21"/>
                    </w:rPr>
                  </w:pPr>
                  <w:r>
                    <w:rPr>
                      <w:szCs w:val="21"/>
                    </w:rPr>
                    <w:t>5</w:t>
                  </w:r>
                </w:p>
              </w:tc>
              <w:tc>
                <w:tcPr>
                  <w:tcW w:w="2237" w:type="pct"/>
                  <w:vAlign w:val="center"/>
                </w:tcPr>
                <w:p>
                  <w:pPr>
                    <w:widowControl/>
                    <w:spacing w:line="240" w:lineRule="atLeast"/>
                    <w:jc w:val="center"/>
                    <w:rPr>
                      <w:szCs w:val="21"/>
                    </w:rPr>
                  </w:pPr>
                  <w:r>
                    <w:rPr>
                      <w:kern w:val="0"/>
                      <w:szCs w:val="21"/>
                    </w:rPr>
                    <w:t>去蛋白漂洗试剂板</w:t>
                  </w:r>
                </w:p>
              </w:tc>
              <w:tc>
                <w:tcPr>
                  <w:tcW w:w="1075" w:type="pct"/>
                  <w:vAlign w:val="center"/>
                </w:tcPr>
                <w:p>
                  <w:pPr>
                    <w:widowControl/>
                    <w:spacing w:line="240" w:lineRule="atLeast"/>
                    <w:jc w:val="center"/>
                    <w:rPr>
                      <w:szCs w:val="21"/>
                    </w:rPr>
                  </w:pPr>
                  <w:r>
                    <w:rPr>
                      <w:kern w:val="0"/>
                      <w:szCs w:val="21"/>
                    </w:rPr>
                    <w:t>10</w:t>
                  </w:r>
                  <w:r>
                    <w:rPr>
                      <w:rFonts w:hint="eastAsia"/>
                      <w:kern w:val="0"/>
                      <w:szCs w:val="21"/>
                    </w:rPr>
                    <w:t>000</w:t>
                  </w:r>
                  <w:r>
                    <w:rPr>
                      <w:szCs w:val="21"/>
                    </w:rPr>
                    <w:t>×365</w:t>
                  </w:r>
                </w:p>
              </w:tc>
              <w:tc>
                <w:tcPr>
                  <w:tcW w:w="1223" w:type="pct"/>
                  <w:vAlign w:val="center"/>
                </w:tcPr>
                <w:p>
                  <w:pPr>
                    <w:widowControl/>
                    <w:spacing w:line="240" w:lineRule="atLeast"/>
                    <w:jc w:val="center"/>
                    <w:rPr>
                      <w:szCs w:val="21"/>
                    </w:rPr>
                  </w:pPr>
                  <w:r>
                    <w:rPr>
                      <w:kern w:val="0"/>
                      <w:szCs w:val="21"/>
                    </w:rPr>
                    <w:t>无毒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Align w:val="center"/>
                </w:tcPr>
                <w:p>
                  <w:pPr>
                    <w:snapToGrid w:val="0"/>
                    <w:spacing w:line="240" w:lineRule="atLeast"/>
                    <w:jc w:val="center"/>
                    <w:rPr>
                      <w:szCs w:val="21"/>
                    </w:rPr>
                  </w:pPr>
                  <w:r>
                    <w:rPr>
                      <w:szCs w:val="21"/>
                    </w:rPr>
                    <w:t>6</w:t>
                  </w:r>
                </w:p>
              </w:tc>
              <w:tc>
                <w:tcPr>
                  <w:tcW w:w="2237" w:type="pct"/>
                  <w:vAlign w:val="center"/>
                </w:tcPr>
                <w:p>
                  <w:pPr>
                    <w:widowControl/>
                    <w:spacing w:line="240" w:lineRule="atLeast"/>
                    <w:jc w:val="center"/>
                    <w:rPr>
                      <w:szCs w:val="21"/>
                    </w:rPr>
                  </w:pPr>
                  <w:r>
                    <w:rPr>
                      <w:kern w:val="0"/>
                      <w:szCs w:val="21"/>
                    </w:rPr>
                    <w:t>洗液试剂板</w:t>
                  </w:r>
                </w:p>
              </w:tc>
              <w:tc>
                <w:tcPr>
                  <w:tcW w:w="1075" w:type="pct"/>
                  <w:vAlign w:val="center"/>
                </w:tcPr>
                <w:p>
                  <w:pPr>
                    <w:widowControl/>
                    <w:spacing w:line="240" w:lineRule="atLeast"/>
                    <w:jc w:val="center"/>
                    <w:rPr>
                      <w:szCs w:val="21"/>
                    </w:rPr>
                  </w:pPr>
                  <w:r>
                    <w:rPr>
                      <w:kern w:val="0"/>
                      <w:szCs w:val="21"/>
                    </w:rPr>
                    <w:t>10</w:t>
                  </w:r>
                  <w:r>
                    <w:rPr>
                      <w:rFonts w:hint="eastAsia"/>
                      <w:kern w:val="0"/>
                      <w:szCs w:val="21"/>
                    </w:rPr>
                    <w:t>000</w:t>
                  </w:r>
                  <w:r>
                    <w:rPr>
                      <w:szCs w:val="21"/>
                    </w:rPr>
                    <w:t>×365</w:t>
                  </w:r>
                </w:p>
              </w:tc>
              <w:tc>
                <w:tcPr>
                  <w:tcW w:w="1223" w:type="pct"/>
                  <w:vAlign w:val="center"/>
                </w:tcPr>
                <w:p>
                  <w:pPr>
                    <w:widowControl/>
                    <w:spacing w:line="240" w:lineRule="atLeast"/>
                    <w:jc w:val="center"/>
                    <w:rPr>
                      <w:szCs w:val="21"/>
                    </w:rPr>
                  </w:pPr>
                  <w:r>
                    <w:rPr>
                      <w:kern w:val="0"/>
                      <w:szCs w:val="21"/>
                    </w:rPr>
                    <w:t>无毒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Align w:val="center"/>
                </w:tcPr>
                <w:p>
                  <w:pPr>
                    <w:snapToGrid w:val="0"/>
                    <w:spacing w:line="240" w:lineRule="atLeast"/>
                    <w:jc w:val="center"/>
                    <w:rPr>
                      <w:szCs w:val="21"/>
                    </w:rPr>
                  </w:pPr>
                  <w:r>
                    <w:rPr>
                      <w:szCs w:val="21"/>
                    </w:rPr>
                    <w:t>8</w:t>
                  </w:r>
                </w:p>
              </w:tc>
              <w:tc>
                <w:tcPr>
                  <w:tcW w:w="2237" w:type="pct"/>
                  <w:vAlign w:val="center"/>
                </w:tcPr>
                <w:p>
                  <w:pPr>
                    <w:widowControl/>
                    <w:spacing w:line="240" w:lineRule="atLeast"/>
                    <w:jc w:val="center"/>
                    <w:rPr>
                      <w:szCs w:val="21"/>
                    </w:rPr>
                  </w:pPr>
                  <w:r>
                    <w:rPr>
                      <w:kern w:val="0"/>
                      <w:szCs w:val="21"/>
                    </w:rPr>
                    <w:t>洗脱液试剂板</w:t>
                  </w:r>
                </w:p>
              </w:tc>
              <w:tc>
                <w:tcPr>
                  <w:tcW w:w="1075" w:type="pct"/>
                  <w:vAlign w:val="center"/>
                </w:tcPr>
                <w:p>
                  <w:pPr>
                    <w:widowControl/>
                    <w:spacing w:line="240" w:lineRule="atLeast"/>
                    <w:jc w:val="center"/>
                    <w:rPr>
                      <w:szCs w:val="21"/>
                    </w:rPr>
                  </w:pPr>
                  <w:r>
                    <w:rPr>
                      <w:kern w:val="0"/>
                      <w:szCs w:val="21"/>
                    </w:rPr>
                    <w:t>10</w:t>
                  </w:r>
                  <w:r>
                    <w:rPr>
                      <w:rFonts w:hint="eastAsia"/>
                      <w:kern w:val="0"/>
                      <w:szCs w:val="21"/>
                    </w:rPr>
                    <w:t>000</w:t>
                  </w:r>
                  <w:r>
                    <w:rPr>
                      <w:szCs w:val="21"/>
                    </w:rPr>
                    <w:t>×365</w:t>
                  </w:r>
                </w:p>
              </w:tc>
              <w:tc>
                <w:tcPr>
                  <w:tcW w:w="1223" w:type="pct"/>
                  <w:vAlign w:val="center"/>
                </w:tcPr>
                <w:p>
                  <w:pPr>
                    <w:widowControl/>
                    <w:spacing w:line="240" w:lineRule="atLeast"/>
                    <w:jc w:val="center"/>
                    <w:rPr>
                      <w:szCs w:val="21"/>
                    </w:rPr>
                  </w:pPr>
                  <w:r>
                    <w:rPr>
                      <w:kern w:val="0"/>
                      <w:szCs w:val="21"/>
                    </w:rPr>
                    <w:t>无毒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Align w:val="center"/>
                </w:tcPr>
                <w:p>
                  <w:pPr>
                    <w:snapToGrid w:val="0"/>
                    <w:spacing w:line="240" w:lineRule="atLeast"/>
                    <w:jc w:val="center"/>
                    <w:rPr>
                      <w:szCs w:val="21"/>
                    </w:rPr>
                  </w:pPr>
                  <w:r>
                    <w:rPr>
                      <w:szCs w:val="21"/>
                    </w:rPr>
                    <w:t>9</w:t>
                  </w:r>
                </w:p>
              </w:tc>
              <w:tc>
                <w:tcPr>
                  <w:tcW w:w="2237" w:type="pct"/>
                  <w:vAlign w:val="center"/>
                </w:tcPr>
                <w:p>
                  <w:pPr>
                    <w:widowControl/>
                    <w:spacing w:line="240" w:lineRule="atLeast"/>
                    <w:jc w:val="center"/>
                    <w:rPr>
                      <w:szCs w:val="21"/>
                    </w:rPr>
                  </w:pPr>
                  <w:r>
                    <w:rPr>
                      <w:kern w:val="0"/>
                      <w:szCs w:val="21"/>
                    </w:rPr>
                    <w:t>磁珠试剂板</w:t>
                  </w:r>
                </w:p>
              </w:tc>
              <w:tc>
                <w:tcPr>
                  <w:tcW w:w="1075" w:type="pct"/>
                  <w:vAlign w:val="center"/>
                </w:tcPr>
                <w:p>
                  <w:pPr>
                    <w:widowControl/>
                    <w:spacing w:line="240" w:lineRule="atLeast"/>
                    <w:jc w:val="center"/>
                    <w:rPr>
                      <w:szCs w:val="21"/>
                    </w:rPr>
                  </w:pPr>
                  <w:r>
                    <w:rPr>
                      <w:kern w:val="0"/>
                      <w:szCs w:val="21"/>
                    </w:rPr>
                    <w:t>10</w:t>
                  </w:r>
                  <w:r>
                    <w:rPr>
                      <w:rFonts w:hint="eastAsia"/>
                      <w:kern w:val="0"/>
                      <w:szCs w:val="21"/>
                    </w:rPr>
                    <w:t>000</w:t>
                  </w:r>
                  <w:r>
                    <w:rPr>
                      <w:szCs w:val="21"/>
                    </w:rPr>
                    <w:t>×365</w:t>
                  </w:r>
                </w:p>
              </w:tc>
              <w:tc>
                <w:tcPr>
                  <w:tcW w:w="1223" w:type="pct"/>
                  <w:vAlign w:val="center"/>
                </w:tcPr>
                <w:p>
                  <w:pPr>
                    <w:widowControl/>
                    <w:spacing w:line="240" w:lineRule="atLeast"/>
                    <w:jc w:val="center"/>
                    <w:rPr>
                      <w:szCs w:val="21"/>
                    </w:rPr>
                  </w:pPr>
                  <w:r>
                    <w:rPr>
                      <w:kern w:val="0"/>
                      <w:szCs w:val="21"/>
                    </w:rPr>
                    <w:t>无毒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Align w:val="center"/>
                </w:tcPr>
                <w:p>
                  <w:pPr>
                    <w:snapToGrid w:val="0"/>
                    <w:spacing w:line="240" w:lineRule="atLeast"/>
                    <w:jc w:val="center"/>
                    <w:rPr>
                      <w:szCs w:val="21"/>
                    </w:rPr>
                  </w:pPr>
                  <w:r>
                    <w:rPr>
                      <w:rFonts w:hint="eastAsia"/>
                      <w:szCs w:val="21"/>
                    </w:rPr>
                    <w:t>10</w:t>
                  </w:r>
                </w:p>
              </w:tc>
              <w:tc>
                <w:tcPr>
                  <w:tcW w:w="2237" w:type="pct"/>
                  <w:vAlign w:val="center"/>
                </w:tcPr>
                <w:p>
                  <w:pPr>
                    <w:adjustRightInd w:val="0"/>
                    <w:snapToGrid w:val="0"/>
                    <w:jc w:val="center"/>
                    <w:textAlignment w:val="center"/>
                    <w:rPr>
                      <w:kern w:val="0"/>
                      <w:szCs w:val="21"/>
                    </w:rPr>
                  </w:pPr>
                  <w:r>
                    <w:rPr>
                      <w:szCs w:val="21"/>
                    </w:rPr>
                    <w:t>有效氯消毒液</w:t>
                  </w:r>
                </w:p>
              </w:tc>
              <w:tc>
                <w:tcPr>
                  <w:tcW w:w="1075" w:type="pct"/>
                  <w:vAlign w:val="center"/>
                </w:tcPr>
                <w:p>
                  <w:pPr>
                    <w:adjustRightInd w:val="0"/>
                    <w:snapToGrid w:val="0"/>
                    <w:jc w:val="center"/>
                    <w:textAlignment w:val="center"/>
                    <w:rPr>
                      <w:kern w:val="0"/>
                      <w:szCs w:val="21"/>
                    </w:rPr>
                  </w:pPr>
                  <w:r>
                    <w:rPr>
                      <w:rFonts w:hint="eastAsia"/>
                      <w:szCs w:val="21"/>
                    </w:rPr>
                    <w:t>4</w:t>
                  </w:r>
                  <w:r>
                    <w:rPr>
                      <w:szCs w:val="21"/>
                    </w:rPr>
                    <w:t>t/a</w:t>
                  </w:r>
                </w:p>
              </w:tc>
              <w:tc>
                <w:tcPr>
                  <w:tcW w:w="1223" w:type="pct"/>
                  <w:vAlign w:val="center"/>
                </w:tcPr>
                <w:p>
                  <w:pPr>
                    <w:adjustRightInd w:val="0"/>
                    <w:snapToGrid w:val="0"/>
                    <w:jc w:val="center"/>
                    <w:textAlignment w:val="center"/>
                    <w:rPr>
                      <w:kern w:val="0"/>
                      <w:szCs w:val="21"/>
                    </w:rPr>
                  </w:pPr>
                  <w:r>
                    <w:rPr>
                      <w:rFonts w:hint="eastAsia"/>
                      <w:szCs w:val="21"/>
                    </w:rPr>
                    <w:t>仪器表面、器材、台面及地面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Align w:val="center"/>
                </w:tcPr>
                <w:p>
                  <w:pPr>
                    <w:snapToGrid w:val="0"/>
                    <w:spacing w:line="240" w:lineRule="atLeast"/>
                    <w:jc w:val="center"/>
                    <w:rPr>
                      <w:szCs w:val="21"/>
                    </w:rPr>
                  </w:pPr>
                  <w:r>
                    <w:rPr>
                      <w:szCs w:val="21"/>
                    </w:rPr>
                    <w:t>1</w:t>
                  </w:r>
                  <w:r>
                    <w:rPr>
                      <w:rFonts w:hint="eastAsia"/>
                      <w:szCs w:val="21"/>
                    </w:rPr>
                    <w:t>1</w:t>
                  </w:r>
                </w:p>
              </w:tc>
              <w:tc>
                <w:tcPr>
                  <w:tcW w:w="2237" w:type="pct"/>
                  <w:vAlign w:val="center"/>
                </w:tcPr>
                <w:p>
                  <w:pPr>
                    <w:adjustRightInd w:val="0"/>
                    <w:snapToGrid w:val="0"/>
                    <w:jc w:val="center"/>
                    <w:textAlignment w:val="center"/>
                    <w:rPr>
                      <w:kern w:val="0"/>
                      <w:szCs w:val="21"/>
                    </w:rPr>
                  </w:pPr>
                  <w:r>
                    <w:rPr>
                      <w:rFonts w:hint="eastAsia"/>
                      <w:szCs w:val="21"/>
                    </w:rPr>
                    <w:t>75%乙醇溶液</w:t>
                  </w:r>
                </w:p>
              </w:tc>
              <w:tc>
                <w:tcPr>
                  <w:tcW w:w="1075" w:type="pct"/>
                  <w:vAlign w:val="center"/>
                </w:tcPr>
                <w:p>
                  <w:pPr>
                    <w:adjustRightInd w:val="0"/>
                    <w:snapToGrid w:val="0"/>
                    <w:jc w:val="center"/>
                    <w:textAlignment w:val="center"/>
                    <w:rPr>
                      <w:kern w:val="0"/>
                      <w:szCs w:val="21"/>
                    </w:rPr>
                  </w:pPr>
                  <w:r>
                    <w:rPr>
                      <w:rFonts w:hint="eastAsia"/>
                      <w:szCs w:val="21"/>
                    </w:rPr>
                    <w:t>0.5</w:t>
                  </w:r>
                  <w:r>
                    <w:rPr>
                      <w:szCs w:val="21"/>
                    </w:rPr>
                    <w:t>t/a</w:t>
                  </w:r>
                </w:p>
              </w:tc>
              <w:tc>
                <w:tcPr>
                  <w:tcW w:w="1223" w:type="pct"/>
                  <w:vAlign w:val="center"/>
                </w:tcPr>
                <w:p>
                  <w:pPr>
                    <w:adjustRightInd w:val="0"/>
                    <w:snapToGrid w:val="0"/>
                    <w:jc w:val="center"/>
                    <w:textAlignment w:val="center"/>
                    <w:rPr>
                      <w:kern w:val="0"/>
                      <w:szCs w:val="21"/>
                    </w:rPr>
                  </w:pPr>
                  <w:r>
                    <w:rPr>
                      <w:szCs w:val="21"/>
                    </w:rPr>
                    <w:t>实生物安全柜</w:t>
                  </w:r>
                  <w:r>
                    <w:rPr>
                      <w:rFonts w:hint="eastAsia"/>
                      <w:szCs w:val="21"/>
                    </w:rPr>
                    <w:t>表面及实验人员手部消毒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Align w:val="center"/>
                </w:tcPr>
                <w:p>
                  <w:pPr>
                    <w:snapToGrid w:val="0"/>
                    <w:spacing w:line="240" w:lineRule="atLeast"/>
                    <w:jc w:val="center"/>
                    <w:rPr>
                      <w:szCs w:val="21"/>
                    </w:rPr>
                  </w:pPr>
                  <w:r>
                    <w:rPr>
                      <w:rFonts w:hint="eastAsia"/>
                      <w:szCs w:val="21"/>
                    </w:rPr>
                    <w:t>12</w:t>
                  </w:r>
                </w:p>
              </w:tc>
              <w:tc>
                <w:tcPr>
                  <w:tcW w:w="2237" w:type="pct"/>
                  <w:vAlign w:val="center"/>
                </w:tcPr>
                <w:p>
                  <w:pPr>
                    <w:adjustRightInd w:val="0"/>
                    <w:snapToGrid w:val="0"/>
                    <w:jc w:val="center"/>
                    <w:textAlignment w:val="center"/>
                    <w:rPr>
                      <w:szCs w:val="21"/>
                    </w:rPr>
                  </w:pPr>
                  <w:r>
                    <w:rPr>
                      <w:rFonts w:hint="eastAsia"/>
                      <w:szCs w:val="21"/>
                    </w:rPr>
                    <w:t>二氧化氯（AB剂）</w:t>
                  </w:r>
                </w:p>
              </w:tc>
              <w:tc>
                <w:tcPr>
                  <w:tcW w:w="1075" w:type="pct"/>
                  <w:vAlign w:val="center"/>
                </w:tcPr>
                <w:p>
                  <w:pPr>
                    <w:adjustRightInd w:val="0"/>
                    <w:snapToGrid w:val="0"/>
                    <w:jc w:val="center"/>
                    <w:textAlignment w:val="center"/>
                    <w:rPr>
                      <w:szCs w:val="21"/>
                    </w:rPr>
                  </w:pPr>
                  <w:r>
                    <w:rPr>
                      <w:rFonts w:hint="eastAsia"/>
                      <w:szCs w:val="21"/>
                    </w:rPr>
                    <w:t>7</w:t>
                  </w:r>
                  <w:r>
                    <w:rPr>
                      <w:szCs w:val="21"/>
                    </w:rPr>
                    <w:t>t/a</w:t>
                  </w:r>
                </w:p>
              </w:tc>
              <w:tc>
                <w:tcPr>
                  <w:tcW w:w="1223" w:type="pct"/>
                  <w:vAlign w:val="center"/>
                </w:tcPr>
                <w:p>
                  <w:pPr>
                    <w:adjustRightInd w:val="0"/>
                    <w:snapToGrid w:val="0"/>
                    <w:jc w:val="center"/>
                    <w:textAlignment w:val="center"/>
                    <w:rPr>
                      <w:szCs w:val="21"/>
                    </w:rPr>
                  </w:pPr>
                  <w:r>
                    <w:rPr>
                      <w:rFonts w:hint="eastAsia"/>
                      <w:szCs w:val="21"/>
                    </w:rPr>
                    <w:t>污水消毒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Align w:val="center"/>
                </w:tcPr>
                <w:p>
                  <w:pPr>
                    <w:snapToGrid w:val="0"/>
                    <w:spacing w:line="240" w:lineRule="atLeast"/>
                    <w:jc w:val="center"/>
                    <w:rPr>
                      <w:color w:val="auto"/>
                      <w:szCs w:val="21"/>
                    </w:rPr>
                  </w:pPr>
                  <w:r>
                    <w:rPr>
                      <w:rFonts w:hint="eastAsia"/>
                      <w:color w:val="auto"/>
                      <w:szCs w:val="21"/>
                    </w:rPr>
                    <w:t>13</w:t>
                  </w:r>
                </w:p>
              </w:tc>
              <w:tc>
                <w:tcPr>
                  <w:tcW w:w="2237" w:type="pct"/>
                  <w:vAlign w:val="center"/>
                </w:tcPr>
                <w:p>
                  <w:pPr>
                    <w:adjustRightInd w:val="0"/>
                    <w:snapToGrid w:val="0"/>
                    <w:jc w:val="center"/>
                    <w:textAlignment w:val="center"/>
                    <w:rPr>
                      <w:color w:val="auto"/>
                      <w:szCs w:val="21"/>
                    </w:rPr>
                  </w:pPr>
                  <w:r>
                    <w:rPr>
                      <w:rFonts w:hint="eastAsia"/>
                      <w:color w:val="auto"/>
                      <w:szCs w:val="21"/>
                    </w:rPr>
                    <w:t>甲醇</w:t>
                  </w:r>
                </w:p>
              </w:tc>
              <w:tc>
                <w:tcPr>
                  <w:tcW w:w="1075" w:type="pct"/>
                  <w:vAlign w:val="center"/>
                </w:tcPr>
                <w:p>
                  <w:pPr>
                    <w:adjustRightInd w:val="0"/>
                    <w:snapToGrid w:val="0"/>
                    <w:jc w:val="center"/>
                    <w:textAlignment w:val="center"/>
                    <w:rPr>
                      <w:color w:val="auto"/>
                      <w:szCs w:val="21"/>
                    </w:rPr>
                  </w:pPr>
                  <w:r>
                    <w:rPr>
                      <w:color w:val="auto"/>
                      <w:szCs w:val="21"/>
                    </w:rPr>
                    <w:t>1</w:t>
                  </w:r>
                  <w:r>
                    <w:rPr>
                      <w:rFonts w:hint="eastAsia"/>
                      <w:color w:val="auto"/>
                      <w:szCs w:val="21"/>
                    </w:rPr>
                    <w:t>t</w:t>
                  </w:r>
                  <w:r>
                    <w:rPr>
                      <w:color w:val="auto"/>
                      <w:szCs w:val="21"/>
                    </w:rPr>
                    <w:t>/a</w:t>
                  </w:r>
                </w:p>
              </w:tc>
              <w:tc>
                <w:tcPr>
                  <w:tcW w:w="1223" w:type="pct"/>
                  <w:vAlign w:val="center"/>
                </w:tcPr>
                <w:p>
                  <w:pPr>
                    <w:adjustRightInd w:val="0"/>
                    <w:snapToGrid w:val="0"/>
                    <w:jc w:val="center"/>
                    <w:textAlignment w:val="center"/>
                    <w:rPr>
                      <w:color w:val="auto"/>
                      <w:szCs w:val="21"/>
                    </w:rPr>
                  </w:pPr>
                  <w:r>
                    <w:rPr>
                      <w:rFonts w:hint="eastAsia"/>
                      <w:color w:val="auto"/>
                      <w:szCs w:val="21"/>
                    </w:rPr>
                    <w:t>质谱前处理及检测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Align w:val="center"/>
                </w:tcPr>
                <w:p>
                  <w:pPr>
                    <w:snapToGrid w:val="0"/>
                    <w:spacing w:line="240" w:lineRule="atLeast"/>
                    <w:jc w:val="center"/>
                    <w:rPr>
                      <w:color w:val="auto"/>
                      <w:szCs w:val="21"/>
                    </w:rPr>
                  </w:pPr>
                  <w:r>
                    <w:rPr>
                      <w:rFonts w:hint="eastAsia"/>
                      <w:color w:val="auto"/>
                      <w:szCs w:val="21"/>
                    </w:rPr>
                    <w:t>14</w:t>
                  </w:r>
                </w:p>
              </w:tc>
              <w:tc>
                <w:tcPr>
                  <w:tcW w:w="2237" w:type="pct"/>
                  <w:vAlign w:val="center"/>
                </w:tcPr>
                <w:p>
                  <w:pPr>
                    <w:adjustRightInd w:val="0"/>
                    <w:snapToGrid w:val="0"/>
                    <w:jc w:val="center"/>
                    <w:textAlignment w:val="center"/>
                    <w:rPr>
                      <w:rFonts w:hint="eastAsia"/>
                      <w:color w:val="auto"/>
                      <w:szCs w:val="21"/>
                    </w:rPr>
                  </w:pPr>
                  <w:r>
                    <w:rPr>
                      <w:rFonts w:hint="eastAsia"/>
                      <w:color w:val="auto"/>
                      <w:szCs w:val="21"/>
                    </w:rPr>
                    <w:t>乙腈</w:t>
                  </w:r>
                </w:p>
              </w:tc>
              <w:tc>
                <w:tcPr>
                  <w:tcW w:w="1075" w:type="pct"/>
                  <w:vAlign w:val="center"/>
                </w:tcPr>
                <w:p>
                  <w:pPr>
                    <w:adjustRightInd w:val="0"/>
                    <w:snapToGrid w:val="0"/>
                    <w:jc w:val="center"/>
                    <w:textAlignment w:val="center"/>
                    <w:rPr>
                      <w:rFonts w:hint="eastAsia"/>
                      <w:color w:val="auto"/>
                      <w:szCs w:val="21"/>
                    </w:rPr>
                  </w:pPr>
                  <w:r>
                    <w:rPr>
                      <w:rFonts w:hint="eastAsia"/>
                      <w:color w:val="auto"/>
                      <w:szCs w:val="21"/>
                    </w:rPr>
                    <w:t>0</w:t>
                  </w:r>
                  <w:r>
                    <w:rPr>
                      <w:color w:val="auto"/>
                      <w:szCs w:val="21"/>
                    </w:rPr>
                    <w:t>.1t</w:t>
                  </w:r>
                  <w:r>
                    <w:rPr>
                      <w:rFonts w:hint="eastAsia"/>
                      <w:color w:val="auto"/>
                      <w:szCs w:val="21"/>
                    </w:rPr>
                    <w:t>/</w:t>
                  </w:r>
                  <w:r>
                    <w:rPr>
                      <w:color w:val="auto"/>
                      <w:szCs w:val="21"/>
                    </w:rPr>
                    <w:t>a</w:t>
                  </w:r>
                </w:p>
              </w:tc>
              <w:tc>
                <w:tcPr>
                  <w:tcW w:w="1223" w:type="pct"/>
                  <w:vAlign w:val="center"/>
                </w:tcPr>
                <w:p>
                  <w:pPr>
                    <w:jc w:val="center"/>
                    <w:rPr>
                      <w:color w:val="auto"/>
                    </w:rPr>
                  </w:pPr>
                  <w:r>
                    <w:rPr>
                      <w:rFonts w:hint="eastAsia"/>
                      <w:color w:val="auto"/>
                    </w:rPr>
                    <w:t>质谱前处理及检测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Align w:val="center"/>
                </w:tcPr>
                <w:p>
                  <w:pPr>
                    <w:snapToGrid w:val="0"/>
                    <w:spacing w:line="240" w:lineRule="atLeast"/>
                    <w:jc w:val="center"/>
                    <w:rPr>
                      <w:rFonts w:hint="eastAsia"/>
                      <w:color w:val="auto"/>
                      <w:szCs w:val="21"/>
                    </w:rPr>
                  </w:pPr>
                  <w:r>
                    <w:rPr>
                      <w:rFonts w:hint="eastAsia"/>
                      <w:color w:val="auto"/>
                      <w:szCs w:val="21"/>
                    </w:rPr>
                    <w:t>1</w:t>
                  </w:r>
                  <w:r>
                    <w:rPr>
                      <w:color w:val="auto"/>
                      <w:szCs w:val="21"/>
                    </w:rPr>
                    <w:t>5</w:t>
                  </w:r>
                </w:p>
              </w:tc>
              <w:tc>
                <w:tcPr>
                  <w:tcW w:w="2237" w:type="pct"/>
                  <w:vAlign w:val="center"/>
                </w:tcPr>
                <w:p>
                  <w:pPr>
                    <w:adjustRightInd w:val="0"/>
                    <w:snapToGrid w:val="0"/>
                    <w:jc w:val="center"/>
                    <w:textAlignment w:val="center"/>
                    <w:rPr>
                      <w:rFonts w:hint="eastAsia"/>
                      <w:color w:val="auto"/>
                      <w:szCs w:val="21"/>
                    </w:rPr>
                  </w:pPr>
                  <w:r>
                    <w:rPr>
                      <w:rFonts w:hint="eastAsia"/>
                      <w:color w:val="auto"/>
                      <w:szCs w:val="21"/>
                    </w:rPr>
                    <w:t>异丙醇</w:t>
                  </w:r>
                </w:p>
              </w:tc>
              <w:tc>
                <w:tcPr>
                  <w:tcW w:w="1075" w:type="pct"/>
                  <w:vAlign w:val="center"/>
                </w:tcPr>
                <w:p>
                  <w:pPr>
                    <w:adjustRightInd w:val="0"/>
                    <w:snapToGrid w:val="0"/>
                    <w:jc w:val="center"/>
                    <w:textAlignment w:val="center"/>
                    <w:rPr>
                      <w:rFonts w:hint="eastAsia"/>
                      <w:color w:val="auto"/>
                      <w:szCs w:val="21"/>
                    </w:rPr>
                  </w:pPr>
                  <w:r>
                    <w:rPr>
                      <w:rFonts w:hint="eastAsia"/>
                      <w:color w:val="auto"/>
                      <w:szCs w:val="21"/>
                    </w:rPr>
                    <w:t>0</w:t>
                  </w:r>
                  <w:r>
                    <w:rPr>
                      <w:color w:val="auto"/>
                      <w:szCs w:val="21"/>
                    </w:rPr>
                    <w:t>.2t/a</w:t>
                  </w:r>
                </w:p>
              </w:tc>
              <w:tc>
                <w:tcPr>
                  <w:tcW w:w="1223" w:type="pct"/>
                  <w:vAlign w:val="center"/>
                </w:tcPr>
                <w:p>
                  <w:pPr>
                    <w:jc w:val="center"/>
                    <w:rPr>
                      <w:color w:val="auto"/>
                    </w:rPr>
                  </w:pPr>
                  <w:r>
                    <w:rPr>
                      <w:rFonts w:hint="eastAsia"/>
                      <w:color w:val="auto"/>
                    </w:rPr>
                    <w:t>质谱前处理及检测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Align w:val="center"/>
                </w:tcPr>
                <w:p>
                  <w:pPr>
                    <w:snapToGrid w:val="0"/>
                    <w:spacing w:line="240" w:lineRule="atLeast"/>
                    <w:jc w:val="center"/>
                    <w:rPr>
                      <w:rFonts w:hint="eastAsia"/>
                      <w:color w:val="auto"/>
                      <w:szCs w:val="21"/>
                    </w:rPr>
                  </w:pPr>
                  <w:r>
                    <w:rPr>
                      <w:rFonts w:hint="eastAsia"/>
                      <w:color w:val="auto"/>
                      <w:szCs w:val="21"/>
                    </w:rPr>
                    <w:t>1</w:t>
                  </w:r>
                  <w:r>
                    <w:rPr>
                      <w:color w:val="auto"/>
                      <w:szCs w:val="21"/>
                    </w:rPr>
                    <w:t>6</w:t>
                  </w:r>
                </w:p>
              </w:tc>
              <w:tc>
                <w:tcPr>
                  <w:tcW w:w="2237" w:type="pct"/>
                  <w:vAlign w:val="center"/>
                </w:tcPr>
                <w:p>
                  <w:pPr>
                    <w:adjustRightInd w:val="0"/>
                    <w:snapToGrid w:val="0"/>
                    <w:jc w:val="center"/>
                    <w:textAlignment w:val="center"/>
                    <w:rPr>
                      <w:rFonts w:hint="eastAsia"/>
                      <w:color w:val="auto"/>
                      <w:szCs w:val="21"/>
                    </w:rPr>
                  </w:pPr>
                  <w:r>
                    <w:rPr>
                      <w:rFonts w:hint="eastAsia"/>
                      <w:color w:val="auto"/>
                      <w:szCs w:val="21"/>
                    </w:rPr>
                    <w:t>纯净水</w:t>
                  </w:r>
                </w:p>
              </w:tc>
              <w:tc>
                <w:tcPr>
                  <w:tcW w:w="1075" w:type="pct"/>
                  <w:vAlign w:val="center"/>
                </w:tcPr>
                <w:p>
                  <w:pPr>
                    <w:adjustRightInd w:val="0"/>
                    <w:snapToGrid w:val="0"/>
                    <w:jc w:val="center"/>
                    <w:textAlignment w:val="center"/>
                    <w:rPr>
                      <w:rFonts w:hint="eastAsia"/>
                      <w:color w:val="auto"/>
                      <w:szCs w:val="21"/>
                    </w:rPr>
                  </w:pPr>
                  <w:r>
                    <w:rPr>
                      <w:color w:val="auto"/>
                      <w:szCs w:val="21"/>
                    </w:rPr>
                    <w:t>5m</w:t>
                  </w:r>
                  <w:r>
                    <w:rPr>
                      <w:color w:val="auto"/>
                      <w:szCs w:val="21"/>
                      <w:vertAlign w:val="superscript"/>
                    </w:rPr>
                    <w:t>3</w:t>
                  </w:r>
                  <w:r>
                    <w:rPr>
                      <w:color w:val="auto"/>
                      <w:szCs w:val="21"/>
                    </w:rPr>
                    <w:t>/a</w:t>
                  </w:r>
                </w:p>
              </w:tc>
              <w:tc>
                <w:tcPr>
                  <w:tcW w:w="1223" w:type="pct"/>
                  <w:vAlign w:val="center"/>
                </w:tcPr>
                <w:p>
                  <w:pPr>
                    <w:jc w:val="center"/>
                    <w:rPr>
                      <w:rFonts w:hint="eastAsia" w:eastAsia="宋体"/>
                      <w:color w:val="auto"/>
                      <w:lang w:val="en-US" w:eastAsia="zh-CN"/>
                    </w:rPr>
                  </w:pPr>
                  <w:r>
                    <w:rPr>
                      <w:rFonts w:hint="eastAsia"/>
                      <w:color w:val="auto"/>
                      <w:lang w:val="en-US" w:eastAsia="zh-CN"/>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465" w:type="pct"/>
                  <w:vAlign w:val="center"/>
                </w:tcPr>
                <w:p>
                  <w:pPr>
                    <w:snapToGrid w:val="0"/>
                    <w:spacing w:line="240" w:lineRule="atLeast"/>
                    <w:jc w:val="center"/>
                    <w:rPr>
                      <w:rFonts w:hint="eastAsia"/>
                      <w:color w:val="auto"/>
                      <w:szCs w:val="21"/>
                    </w:rPr>
                  </w:pPr>
                  <w:r>
                    <w:rPr>
                      <w:rFonts w:hint="eastAsia"/>
                      <w:color w:val="auto"/>
                      <w:szCs w:val="21"/>
                    </w:rPr>
                    <w:t>1</w:t>
                  </w:r>
                  <w:r>
                    <w:rPr>
                      <w:color w:val="auto"/>
                      <w:szCs w:val="21"/>
                    </w:rPr>
                    <w:t>7</w:t>
                  </w:r>
                </w:p>
              </w:tc>
              <w:tc>
                <w:tcPr>
                  <w:tcW w:w="2237" w:type="pct"/>
                  <w:vAlign w:val="center"/>
                </w:tcPr>
                <w:p>
                  <w:pPr>
                    <w:adjustRightInd w:val="0"/>
                    <w:snapToGrid w:val="0"/>
                    <w:jc w:val="center"/>
                    <w:textAlignment w:val="center"/>
                    <w:rPr>
                      <w:rFonts w:hint="eastAsia"/>
                      <w:color w:val="auto"/>
                      <w:szCs w:val="21"/>
                    </w:rPr>
                  </w:pPr>
                  <w:r>
                    <w:rPr>
                      <w:rFonts w:hint="eastAsia"/>
                      <w:color w:val="auto"/>
                      <w:szCs w:val="21"/>
                    </w:rPr>
                    <w:t>蒸馏水</w:t>
                  </w:r>
                </w:p>
              </w:tc>
              <w:tc>
                <w:tcPr>
                  <w:tcW w:w="1075" w:type="pct"/>
                  <w:vAlign w:val="center"/>
                </w:tcPr>
                <w:p>
                  <w:pPr>
                    <w:adjustRightInd w:val="0"/>
                    <w:snapToGrid w:val="0"/>
                    <w:jc w:val="center"/>
                    <w:textAlignment w:val="center"/>
                    <w:rPr>
                      <w:rFonts w:hint="eastAsia"/>
                      <w:color w:val="auto"/>
                      <w:szCs w:val="21"/>
                    </w:rPr>
                  </w:pPr>
                  <w:r>
                    <w:rPr>
                      <w:color w:val="auto"/>
                      <w:szCs w:val="21"/>
                    </w:rPr>
                    <w:t>5m</w:t>
                  </w:r>
                  <w:r>
                    <w:rPr>
                      <w:color w:val="auto"/>
                      <w:szCs w:val="21"/>
                      <w:vertAlign w:val="superscript"/>
                    </w:rPr>
                    <w:t>3</w:t>
                  </w:r>
                  <w:r>
                    <w:rPr>
                      <w:color w:val="auto"/>
                      <w:szCs w:val="21"/>
                    </w:rPr>
                    <w:t>/a</w:t>
                  </w:r>
                </w:p>
              </w:tc>
              <w:tc>
                <w:tcPr>
                  <w:tcW w:w="1223" w:type="pct"/>
                  <w:vAlign w:val="center"/>
                </w:tcPr>
                <w:p>
                  <w:pPr>
                    <w:jc w:val="center"/>
                    <w:rPr>
                      <w:rFonts w:hint="eastAsia"/>
                      <w:color w:val="auto"/>
                    </w:rPr>
                  </w:pPr>
                  <w:r>
                    <w:rPr>
                      <w:rFonts w:hint="eastAsia"/>
                      <w:color w:val="auto"/>
                      <w:lang w:val="en-US" w:eastAsia="zh-CN"/>
                    </w:rPr>
                    <w:t>外购</w:t>
                  </w:r>
                </w:p>
              </w:tc>
            </w:tr>
          </w:tbl>
          <w:p>
            <w:pPr>
              <w:pStyle w:val="42"/>
              <w:ind w:firstLine="420"/>
            </w:pPr>
            <w:r>
              <w:rPr>
                <w:rFonts w:hint="eastAsia"/>
              </w:rPr>
              <w:t>3、</w:t>
            </w:r>
            <w:r>
              <w:t>水平衡分析</w:t>
            </w:r>
          </w:p>
          <w:p>
            <w:pPr>
              <w:pStyle w:val="42"/>
              <w:ind w:firstLine="420"/>
            </w:pPr>
            <w:r>
              <w:t>1）给水</w:t>
            </w:r>
          </w:p>
          <w:p>
            <w:pPr>
              <w:widowControl/>
              <w:spacing w:line="360" w:lineRule="auto"/>
              <w:ind w:firstLine="420" w:firstLineChars="200"/>
              <w:rPr>
                <w:szCs w:val="21"/>
              </w:rPr>
            </w:pPr>
            <w:r>
              <w:rPr>
                <w:szCs w:val="21"/>
              </w:rPr>
              <w:t>①实验室用水</w:t>
            </w:r>
          </w:p>
          <w:p>
            <w:pPr>
              <w:widowControl/>
              <w:spacing w:line="360" w:lineRule="auto"/>
              <w:ind w:firstLine="420" w:firstLineChars="200"/>
              <w:rPr>
                <w:szCs w:val="21"/>
              </w:rPr>
            </w:pPr>
            <w:r>
              <w:rPr>
                <w:rFonts w:hint="eastAsia"/>
                <w:szCs w:val="21"/>
              </w:rPr>
              <w:t>本</w:t>
            </w:r>
            <w:r>
              <w:rPr>
                <w:szCs w:val="21"/>
              </w:rPr>
              <w:t>项目运营期用水主要为配置溶液</w:t>
            </w:r>
            <w:r>
              <w:rPr>
                <w:rFonts w:hint="eastAsia"/>
                <w:szCs w:val="21"/>
              </w:rPr>
              <w:t>用水、</w:t>
            </w:r>
            <w:r>
              <w:rPr>
                <w:szCs w:val="21"/>
              </w:rPr>
              <w:t>实验室检测人员洗手用水、水浴锅灭活用水、</w:t>
            </w:r>
            <w:r>
              <w:rPr>
                <w:rFonts w:hint="eastAsia"/>
                <w:szCs w:val="21"/>
              </w:rPr>
              <w:t>医疗废物</w:t>
            </w:r>
            <w:r>
              <w:rPr>
                <w:szCs w:val="21"/>
              </w:rPr>
              <w:t>高压消毒用水和实验室地面清洁用水。</w:t>
            </w:r>
            <w:r>
              <w:rPr>
                <w:rFonts w:hint="eastAsia"/>
                <w:szCs w:val="21"/>
              </w:rPr>
              <w:t>其中</w:t>
            </w:r>
            <w:r>
              <w:rPr>
                <w:szCs w:val="21"/>
              </w:rPr>
              <w:t>配置溶液</w:t>
            </w:r>
            <w:r>
              <w:rPr>
                <w:rFonts w:hint="eastAsia"/>
                <w:szCs w:val="21"/>
              </w:rPr>
              <w:t>用水、</w:t>
            </w:r>
            <w:r>
              <w:rPr>
                <w:szCs w:val="21"/>
              </w:rPr>
              <w:t>水浴锅灭活用水、</w:t>
            </w:r>
            <w:r>
              <w:rPr>
                <w:rFonts w:hint="eastAsia"/>
                <w:szCs w:val="21"/>
              </w:rPr>
              <w:t>医疗废物</w:t>
            </w:r>
            <w:r>
              <w:rPr>
                <w:szCs w:val="21"/>
              </w:rPr>
              <w:t>高压消毒用水</w:t>
            </w:r>
            <w:r>
              <w:rPr>
                <w:rFonts w:hint="eastAsia"/>
                <w:szCs w:val="21"/>
              </w:rPr>
              <w:t>采用纯水。本项目纯水采用优普纯水机，可以直接将自来水转化为纯水，采用反渗透工艺，有RO膜自动冲洗功能，无固体废物产生。</w:t>
            </w:r>
          </w:p>
          <w:p>
            <w:pPr>
              <w:widowControl/>
              <w:spacing w:line="360" w:lineRule="auto"/>
              <w:ind w:firstLine="420" w:firstLineChars="200"/>
              <w:rPr>
                <w:szCs w:val="21"/>
              </w:rPr>
            </w:pPr>
            <w:r>
              <w:rPr>
                <w:szCs w:val="21"/>
              </w:rPr>
              <w:t>配置溶液</w:t>
            </w:r>
            <w:r>
              <w:rPr>
                <w:rFonts w:hint="eastAsia"/>
                <w:szCs w:val="21"/>
              </w:rPr>
              <w:t>用水：</w:t>
            </w:r>
            <w:r>
              <w:rPr>
                <w:szCs w:val="21"/>
              </w:rPr>
              <w:t>配置溶液</w:t>
            </w:r>
            <w:r>
              <w:rPr>
                <w:rFonts w:hint="eastAsia"/>
                <w:szCs w:val="21"/>
              </w:rPr>
              <w:t>用水量0.005</w:t>
            </w:r>
            <w:r>
              <w:rPr>
                <w:szCs w:val="21"/>
              </w:rPr>
              <w:t>m</w:t>
            </w:r>
            <w:r>
              <w:rPr>
                <w:szCs w:val="21"/>
                <w:vertAlign w:val="superscript"/>
              </w:rPr>
              <w:t>3</w:t>
            </w:r>
            <w:r>
              <w:rPr>
                <w:szCs w:val="21"/>
              </w:rPr>
              <w:t>/d（</w:t>
            </w:r>
            <w:r>
              <w:rPr>
                <w:rFonts w:hint="eastAsia"/>
                <w:szCs w:val="21"/>
              </w:rPr>
              <w:t>1.250</w:t>
            </w:r>
            <w:r>
              <w:rPr>
                <w:szCs w:val="21"/>
              </w:rPr>
              <w:t>m</w:t>
            </w:r>
            <w:r>
              <w:rPr>
                <w:szCs w:val="21"/>
                <w:vertAlign w:val="superscript"/>
              </w:rPr>
              <w:t>3</w:t>
            </w:r>
            <w:r>
              <w:rPr>
                <w:szCs w:val="21"/>
              </w:rPr>
              <w:t>/a）</w:t>
            </w:r>
            <w:r>
              <w:rPr>
                <w:rFonts w:hint="eastAsia"/>
                <w:szCs w:val="21"/>
              </w:rPr>
              <w:t>，</w:t>
            </w:r>
            <w:r>
              <w:rPr>
                <w:szCs w:val="21"/>
              </w:rPr>
              <w:t>配置溶液</w:t>
            </w:r>
            <w:r>
              <w:rPr>
                <w:rFonts w:hint="eastAsia"/>
                <w:szCs w:val="21"/>
              </w:rPr>
              <w:t>用水全部进入实验废液中，作为感染性废物（废物代码：841-001-01）定期交由资质单位处置。</w:t>
            </w:r>
          </w:p>
          <w:p>
            <w:pPr>
              <w:widowControl/>
              <w:spacing w:line="360" w:lineRule="auto"/>
              <w:ind w:firstLine="420" w:firstLineChars="200"/>
              <w:rPr>
                <w:szCs w:val="21"/>
              </w:rPr>
            </w:pPr>
            <w:r>
              <w:rPr>
                <w:szCs w:val="21"/>
              </w:rPr>
              <w:t>实验室检测人员洗手用水：实验室人员</w:t>
            </w:r>
            <w:r>
              <w:rPr>
                <w:rFonts w:hint="eastAsia"/>
                <w:szCs w:val="21"/>
              </w:rPr>
              <w:t>43</w:t>
            </w:r>
            <w:r>
              <w:rPr>
                <w:szCs w:val="21"/>
              </w:rPr>
              <w:t>人，检测完成后，在更衣室内洗手消毒后离开实验室。参考《医院污水处理技术指南》（环发[2003]197号）和《全国民用建筑工程设计技术措施》（2009版）“给水排水”分册第2.1.2条公共建筑用水定额，洗手日用水量取2L/人，则用水量为0.0</w:t>
            </w:r>
            <w:r>
              <w:rPr>
                <w:rFonts w:hint="eastAsia"/>
                <w:szCs w:val="21"/>
              </w:rPr>
              <w:t>86</w:t>
            </w:r>
            <w:r>
              <w:rPr>
                <w:szCs w:val="21"/>
              </w:rPr>
              <w:t>m</w:t>
            </w:r>
            <w:r>
              <w:rPr>
                <w:szCs w:val="21"/>
                <w:vertAlign w:val="superscript"/>
              </w:rPr>
              <w:t>3</w:t>
            </w:r>
            <w:r>
              <w:rPr>
                <w:szCs w:val="21"/>
              </w:rPr>
              <w:t>/d，</w:t>
            </w:r>
            <w:r>
              <w:rPr>
                <w:rFonts w:hint="eastAsia"/>
                <w:szCs w:val="21"/>
              </w:rPr>
              <w:t>21.5</w:t>
            </w:r>
            <w:r>
              <w:rPr>
                <w:szCs w:val="21"/>
              </w:rPr>
              <w:t>m</w:t>
            </w:r>
            <w:r>
              <w:rPr>
                <w:szCs w:val="21"/>
                <w:vertAlign w:val="superscript"/>
              </w:rPr>
              <w:t>3</w:t>
            </w:r>
            <w:r>
              <w:rPr>
                <w:szCs w:val="21"/>
              </w:rPr>
              <w:t>/a；排水量按照90%计算，排水量为0.0</w:t>
            </w:r>
            <w:r>
              <w:rPr>
                <w:rFonts w:hint="eastAsia"/>
                <w:szCs w:val="21"/>
              </w:rPr>
              <w:t>77</w:t>
            </w:r>
            <w:r>
              <w:rPr>
                <w:szCs w:val="21"/>
              </w:rPr>
              <w:t>m</w:t>
            </w:r>
            <w:r>
              <w:rPr>
                <w:szCs w:val="21"/>
                <w:vertAlign w:val="superscript"/>
              </w:rPr>
              <w:t>3</w:t>
            </w:r>
            <w:r>
              <w:rPr>
                <w:szCs w:val="21"/>
              </w:rPr>
              <w:t>/d，</w:t>
            </w:r>
            <w:r>
              <w:rPr>
                <w:rFonts w:hint="eastAsia"/>
                <w:szCs w:val="21"/>
              </w:rPr>
              <w:t>19.35</w:t>
            </w:r>
            <w:r>
              <w:rPr>
                <w:szCs w:val="21"/>
              </w:rPr>
              <w:t>m</w:t>
            </w:r>
            <w:r>
              <w:rPr>
                <w:szCs w:val="21"/>
                <w:vertAlign w:val="superscript"/>
              </w:rPr>
              <w:t>3</w:t>
            </w:r>
            <w:r>
              <w:rPr>
                <w:szCs w:val="21"/>
              </w:rPr>
              <w:t>/a。</w:t>
            </w:r>
          </w:p>
          <w:p>
            <w:pPr>
              <w:widowControl/>
              <w:spacing w:line="360" w:lineRule="auto"/>
              <w:ind w:firstLine="420" w:firstLineChars="200"/>
              <w:rPr>
                <w:szCs w:val="21"/>
              </w:rPr>
            </w:pPr>
            <w:bookmarkStart w:id="3" w:name="_Toc30752"/>
            <w:r>
              <w:rPr>
                <w:szCs w:val="21"/>
              </w:rPr>
              <w:t>水浴锅灭活用水：进入实验室的标本先进行灭活，使用水浴锅，加热水至56℃，标本及其容器一起放入水浴锅内，加热30分钟，之后将标本及容器取出，水浴锅中水量约为</w:t>
            </w:r>
            <w:r>
              <w:rPr>
                <w:rFonts w:hint="eastAsia"/>
                <w:szCs w:val="21"/>
              </w:rPr>
              <w:t>60</w:t>
            </w:r>
            <w:r>
              <w:rPr>
                <w:szCs w:val="21"/>
              </w:rPr>
              <w:t>L，水浴锅中水不外排，水量减少后再加水，年使用水量约为</w:t>
            </w:r>
            <w:r>
              <w:rPr>
                <w:rFonts w:hint="eastAsia"/>
                <w:szCs w:val="21"/>
              </w:rPr>
              <w:t>4.5</w:t>
            </w:r>
            <w:r>
              <w:rPr>
                <w:szCs w:val="21"/>
              </w:rPr>
              <w:t>m</w:t>
            </w:r>
            <w:r>
              <w:rPr>
                <w:szCs w:val="21"/>
                <w:vertAlign w:val="superscript"/>
              </w:rPr>
              <w:t>3</w:t>
            </w:r>
            <w:r>
              <w:rPr>
                <w:szCs w:val="21"/>
              </w:rPr>
              <w:t>/a。</w:t>
            </w:r>
            <w:bookmarkEnd w:id="3"/>
          </w:p>
          <w:p>
            <w:pPr>
              <w:widowControl/>
              <w:spacing w:line="360" w:lineRule="auto"/>
              <w:ind w:firstLine="420" w:firstLineChars="200"/>
              <w:rPr>
                <w:szCs w:val="21"/>
              </w:rPr>
            </w:pPr>
            <w:r>
              <w:rPr>
                <w:rFonts w:hint="eastAsia"/>
                <w:szCs w:val="21"/>
              </w:rPr>
              <w:t>医疗废物</w:t>
            </w:r>
            <w:r>
              <w:rPr>
                <w:szCs w:val="21"/>
              </w:rPr>
              <w:t>高压消毒用水：实验人员离开实验室时，防护物、试剂盒等全部放入</w:t>
            </w:r>
            <w:r>
              <w:rPr>
                <w:rFonts w:hint="eastAsia"/>
                <w:szCs w:val="21"/>
              </w:rPr>
              <w:t>电高压蒸汽灭菌器</w:t>
            </w:r>
            <w:r>
              <w:rPr>
                <w:szCs w:val="21"/>
              </w:rPr>
              <w:t>进行蒸煮消毒，根据医院提供资料，消毒过程蒸汽与</w:t>
            </w:r>
            <w:r>
              <w:rPr>
                <w:rFonts w:hint="eastAsia"/>
                <w:szCs w:val="21"/>
              </w:rPr>
              <w:t>医疗废物</w:t>
            </w:r>
            <w:r>
              <w:rPr>
                <w:szCs w:val="21"/>
              </w:rPr>
              <w:t>不接触，蒸煮消毒用水量为0.</w:t>
            </w:r>
            <w:r>
              <w:rPr>
                <w:rFonts w:hint="eastAsia"/>
                <w:szCs w:val="21"/>
              </w:rPr>
              <w:t>100</w:t>
            </w:r>
            <w:r>
              <w:rPr>
                <w:szCs w:val="21"/>
              </w:rPr>
              <w:t>m</w:t>
            </w:r>
            <w:r>
              <w:rPr>
                <w:szCs w:val="21"/>
                <w:vertAlign w:val="superscript"/>
              </w:rPr>
              <w:t>3</w:t>
            </w:r>
            <w:r>
              <w:rPr>
                <w:szCs w:val="21"/>
              </w:rPr>
              <w:t>/d，</w:t>
            </w:r>
            <w:r>
              <w:rPr>
                <w:rFonts w:hint="eastAsia"/>
                <w:szCs w:val="21"/>
              </w:rPr>
              <w:t>25</w:t>
            </w:r>
            <w:r>
              <w:rPr>
                <w:szCs w:val="21"/>
              </w:rPr>
              <w:t>m</w:t>
            </w:r>
            <w:r>
              <w:rPr>
                <w:szCs w:val="21"/>
                <w:vertAlign w:val="superscript"/>
              </w:rPr>
              <w:t>3</w:t>
            </w:r>
            <w:r>
              <w:rPr>
                <w:szCs w:val="21"/>
              </w:rPr>
              <w:t>/a。排水量按照90%计算，排水量为0.0</w:t>
            </w:r>
            <w:r>
              <w:rPr>
                <w:rFonts w:hint="eastAsia"/>
                <w:szCs w:val="21"/>
              </w:rPr>
              <w:t>9</w:t>
            </w:r>
            <w:r>
              <w:rPr>
                <w:szCs w:val="21"/>
              </w:rPr>
              <w:t>m</w:t>
            </w:r>
            <w:r>
              <w:rPr>
                <w:szCs w:val="21"/>
                <w:vertAlign w:val="superscript"/>
              </w:rPr>
              <w:t>3</w:t>
            </w:r>
            <w:r>
              <w:rPr>
                <w:szCs w:val="21"/>
              </w:rPr>
              <w:t>/d，</w:t>
            </w:r>
            <w:r>
              <w:rPr>
                <w:rFonts w:hint="eastAsia"/>
                <w:szCs w:val="21"/>
              </w:rPr>
              <w:t>22.5</w:t>
            </w:r>
            <w:r>
              <w:rPr>
                <w:szCs w:val="21"/>
              </w:rPr>
              <w:t>m</w:t>
            </w:r>
            <w:r>
              <w:rPr>
                <w:szCs w:val="21"/>
                <w:vertAlign w:val="superscript"/>
              </w:rPr>
              <w:t>3</w:t>
            </w:r>
            <w:r>
              <w:rPr>
                <w:szCs w:val="21"/>
              </w:rPr>
              <w:t>/a。</w:t>
            </w:r>
          </w:p>
          <w:p>
            <w:pPr>
              <w:widowControl/>
              <w:spacing w:line="360" w:lineRule="auto"/>
              <w:ind w:firstLine="420" w:firstLineChars="200"/>
              <w:rPr>
                <w:szCs w:val="21"/>
              </w:rPr>
            </w:pPr>
            <w:r>
              <w:rPr>
                <w:szCs w:val="21"/>
              </w:rPr>
              <w:t>实验室地面清洁用水：本项目实验室地面清洁用水约为</w:t>
            </w:r>
            <w:r>
              <w:rPr>
                <w:rFonts w:hint="eastAsia"/>
                <w:szCs w:val="21"/>
              </w:rPr>
              <w:t>1</w:t>
            </w:r>
            <w:r>
              <w:rPr>
                <w:szCs w:val="21"/>
              </w:rPr>
              <w:t>.</w:t>
            </w:r>
            <w:r>
              <w:rPr>
                <w:rFonts w:hint="eastAsia"/>
                <w:szCs w:val="21"/>
              </w:rPr>
              <w:t>5</w:t>
            </w:r>
            <w:r>
              <w:rPr>
                <w:szCs w:val="21"/>
              </w:rPr>
              <w:t>m</w:t>
            </w:r>
            <w:r>
              <w:rPr>
                <w:szCs w:val="21"/>
                <w:vertAlign w:val="superscript"/>
              </w:rPr>
              <w:t>3</w:t>
            </w:r>
            <w:r>
              <w:rPr>
                <w:szCs w:val="21"/>
              </w:rPr>
              <w:t>/d，</w:t>
            </w:r>
            <w:r>
              <w:rPr>
                <w:rFonts w:hint="eastAsia"/>
                <w:szCs w:val="21"/>
              </w:rPr>
              <w:t>375</w:t>
            </w:r>
            <w:r>
              <w:rPr>
                <w:szCs w:val="21"/>
              </w:rPr>
              <w:t>m</w:t>
            </w:r>
            <w:r>
              <w:rPr>
                <w:szCs w:val="21"/>
                <w:vertAlign w:val="superscript"/>
              </w:rPr>
              <w:t>3</w:t>
            </w:r>
            <w:r>
              <w:rPr>
                <w:szCs w:val="21"/>
              </w:rPr>
              <w:t>/a。排水量按照90%计算，排水量为</w:t>
            </w:r>
            <w:r>
              <w:rPr>
                <w:rFonts w:hint="eastAsia"/>
                <w:szCs w:val="21"/>
              </w:rPr>
              <w:t>1.35</w:t>
            </w:r>
            <w:r>
              <w:rPr>
                <w:szCs w:val="21"/>
              </w:rPr>
              <w:t>m</w:t>
            </w:r>
            <w:r>
              <w:rPr>
                <w:szCs w:val="21"/>
                <w:vertAlign w:val="superscript"/>
              </w:rPr>
              <w:t>3</w:t>
            </w:r>
            <w:r>
              <w:rPr>
                <w:szCs w:val="21"/>
              </w:rPr>
              <w:t>/d，</w:t>
            </w:r>
            <w:r>
              <w:rPr>
                <w:rFonts w:hint="eastAsia"/>
                <w:szCs w:val="21"/>
              </w:rPr>
              <w:t>337.5</w:t>
            </w:r>
            <w:r>
              <w:rPr>
                <w:szCs w:val="21"/>
              </w:rPr>
              <w:t>m</w:t>
            </w:r>
            <w:r>
              <w:rPr>
                <w:szCs w:val="21"/>
                <w:vertAlign w:val="superscript"/>
              </w:rPr>
              <w:t>3</w:t>
            </w:r>
            <w:r>
              <w:rPr>
                <w:szCs w:val="21"/>
              </w:rPr>
              <w:t>/a。</w:t>
            </w:r>
          </w:p>
          <w:p>
            <w:pPr>
              <w:widowControl/>
              <w:spacing w:line="360" w:lineRule="auto"/>
              <w:ind w:firstLine="420" w:firstLineChars="200"/>
              <w:rPr>
                <w:szCs w:val="21"/>
              </w:rPr>
            </w:pPr>
            <w:r>
              <w:rPr>
                <w:rFonts w:hint="eastAsia"/>
                <w:szCs w:val="21"/>
              </w:rPr>
              <w:t>以上</w:t>
            </w:r>
            <w:r>
              <w:rPr>
                <w:szCs w:val="21"/>
              </w:rPr>
              <w:t>污水经</w:t>
            </w:r>
            <w:r>
              <w:rPr>
                <w:rFonts w:hint="eastAsia"/>
                <w:szCs w:val="21"/>
              </w:rPr>
              <w:t>二氧化氯消毒</w:t>
            </w:r>
            <w:r>
              <w:rPr>
                <w:szCs w:val="21"/>
              </w:rPr>
              <w:t>预</w:t>
            </w:r>
            <w:r>
              <w:rPr>
                <w:rFonts w:hint="eastAsia"/>
                <w:szCs w:val="21"/>
              </w:rPr>
              <w:t>处理</w:t>
            </w:r>
            <w:r>
              <w:rPr>
                <w:szCs w:val="21"/>
              </w:rPr>
              <w:t>后进入</w:t>
            </w:r>
            <w:r>
              <w:rPr>
                <w:rFonts w:hint="eastAsia"/>
                <w:szCs w:val="21"/>
              </w:rPr>
              <w:t>本项目污水处理间</w:t>
            </w:r>
            <w:r>
              <w:rPr>
                <w:szCs w:val="21"/>
              </w:rPr>
              <w:t>处理。</w:t>
            </w:r>
          </w:p>
          <w:p>
            <w:pPr>
              <w:widowControl/>
              <w:spacing w:line="360" w:lineRule="auto"/>
              <w:ind w:firstLine="420" w:firstLineChars="200"/>
              <w:rPr>
                <w:szCs w:val="21"/>
              </w:rPr>
            </w:pPr>
            <w:r>
              <w:rPr>
                <w:szCs w:val="21"/>
              </w:rPr>
              <w:t>②员工用水</w:t>
            </w:r>
          </w:p>
          <w:p>
            <w:pPr>
              <w:widowControl/>
              <w:spacing w:line="360" w:lineRule="auto"/>
              <w:ind w:firstLine="420" w:firstLineChars="200"/>
              <w:rPr>
                <w:szCs w:val="21"/>
              </w:rPr>
            </w:pPr>
            <w:r>
              <w:rPr>
                <w:szCs w:val="21"/>
              </w:rPr>
              <w:t>本项目运营期员工人数为</w:t>
            </w:r>
            <w:r>
              <w:rPr>
                <w:rFonts w:hint="eastAsia"/>
                <w:szCs w:val="21"/>
              </w:rPr>
              <w:t>43</w:t>
            </w:r>
            <w:r>
              <w:rPr>
                <w:szCs w:val="21"/>
              </w:rPr>
              <w:t>人，参照</w:t>
            </w:r>
            <w:r>
              <w:rPr>
                <w:kern w:val="0"/>
                <w:szCs w:val="21"/>
                <w:lang w:val="zh-CN"/>
              </w:rPr>
              <w:t>黑龙江省地方标准《用水定额》（DB23/T727-20</w:t>
            </w:r>
            <w:r>
              <w:rPr>
                <w:rFonts w:hint="eastAsia"/>
                <w:kern w:val="0"/>
                <w:szCs w:val="21"/>
              </w:rPr>
              <w:t>21</w:t>
            </w:r>
            <w:r>
              <w:rPr>
                <w:kern w:val="0"/>
                <w:szCs w:val="21"/>
                <w:lang w:val="zh-CN"/>
              </w:rPr>
              <w:t>）</w:t>
            </w:r>
            <w:r>
              <w:rPr>
                <w:rFonts w:hint="eastAsia"/>
                <w:szCs w:val="21"/>
              </w:rPr>
              <w:t>机关</w:t>
            </w:r>
            <w:r>
              <w:rPr>
                <w:szCs w:val="21"/>
              </w:rPr>
              <w:t>用水标准，</w:t>
            </w:r>
            <w:r>
              <w:rPr>
                <w:rFonts w:hint="eastAsia"/>
                <w:szCs w:val="21"/>
              </w:rPr>
              <w:t>10</w:t>
            </w:r>
            <w:r>
              <w:rPr>
                <w:szCs w:val="21"/>
              </w:rPr>
              <w:t>0L/人·d，生活用水量</w:t>
            </w:r>
            <w:r>
              <w:rPr>
                <w:rFonts w:hint="eastAsia"/>
                <w:szCs w:val="21"/>
              </w:rPr>
              <w:t>4.3</w:t>
            </w:r>
            <w:r>
              <w:rPr>
                <w:szCs w:val="21"/>
                <w:lang w:val="zh-CN"/>
              </w:rPr>
              <w:t>t/d，</w:t>
            </w:r>
            <w:r>
              <w:rPr>
                <w:rFonts w:hint="eastAsia"/>
                <w:szCs w:val="21"/>
              </w:rPr>
              <w:t>1075</w:t>
            </w:r>
            <w:r>
              <w:rPr>
                <w:szCs w:val="21"/>
                <w:lang w:val="zh-CN"/>
              </w:rPr>
              <w:t>t/a。</w:t>
            </w:r>
          </w:p>
          <w:p>
            <w:pPr>
              <w:widowControl/>
              <w:spacing w:line="360" w:lineRule="auto"/>
              <w:ind w:firstLine="420" w:firstLineChars="200"/>
              <w:rPr>
                <w:szCs w:val="21"/>
                <w:highlight w:val="yellow"/>
              </w:rPr>
            </w:pPr>
            <w:r>
              <w:rPr>
                <w:rFonts w:hint="eastAsia"/>
                <w:szCs w:val="21"/>
              </w:rPr>
              <w:t>综上</w:t>
            </w:r>
            <w:r>
              <w:rPr>
                <w:szCs w:val="21"/>
              </w:rPr>
              <w:t>本项目去离子水用量</w:t>
            </w:r>
            <w:r>
              <w:rPr>
                <w:rFonts w:hint="eastAsia"/>
                <w:szCs w:val="21"/>
              </w:rPr>
              <w:t>30.75</w:t>
            </w:r>
            <w:r>
              <w:rPr>
                <w:szCs w:val="21"/>
              </w:rPr>
              <w:t>m</w:t>
            </w:r>
            <w:r>
              <w:rPr>
                <w:szCs w:val="21"/>
                <w:vertAlign w:val="superscript"/>
              </w:rPr>
              <w:t>3</w:t>
            </w:r>
            <w:r>
              <w:rPr>
                <w:szCs w:val="21"/>
              </w:rPr>
              <w:t>/d，纯水制备得水率约为75%，因此本项目新鲜水用量</w:t>
            </w:r>
            <w:r>
              <w:rPr>
                <w:rFonts w:hint="eastAsia"/>
                <w:szCs w:val="21"/>
              </w:rPr>
              <w:t>1512.50</w:t>
            </w:r>
            <w:r>
              <w:rPr>
                <w:szCs w:val="21"/>
              </w:rPr>
              <w:t>m</w:t>
            </w:r>
            <w:r>
              <w:rPr>
                <w:szCs w:val="21"/>
                <w:vertAlign w:val="superscript"/>
              </w:rPr>
              <w:t>3</w:t>
            </w:r>
            <w:r>
              <w:rPr>
                <w:szCs w:val="21"/>
              </w:rPr>
              <w:t>/</w:t>
            </w:r>
            <w:r>
              <w:rPr>
                <w:rFonts w:hint="eastAsia"/>
                <w:szCs w:val="21"/>
              </w:rPr>
              <w:t>a</w:t>
            </w:r>
            <w:r>
              <w:rPr>
                <w:szCs w:val="21"/>
              </w:rPr>
              <w:t>。由市政自来水管线供应。</w:t>
            </w:r>
          </w:p>
          <w:p>
            <w:pPr>
              <w:pStyle w:val="42"/>
              <w:ind w:firstLine="420"/>
            </w:pPr>
            <w:r>
              <w:rPr>
                <w:rFonts w:hint="eastAsia"/>
              </w:rPr>
              <w:t>2）</w:t>
            </w:r>
            <w:r>
              <w:t>排水</w:t>
            </w:r>
          </w:p>
          <w:p>
            <w:pPr>
              <w:widowControl/>
              <w:spacing w:line="360" w:lineRule="auto"/>
              <w:ind w:firstLine="420" w:firstLineChars="200"/>
              <w:rPr>
                <w:szCs w:val="21"/>
              </w:rPr>
            </w:pPr>
            <w:r>
              <w:rPr>
                <w:szCs w:val="21"/>
              </w:rPr>
              <w:t>本项目</w:t>
            </w:r>
            <w:r>
              <w:rPr>
                <w:rFonts w:hint="eastAsia"/>
                <w:szCs w:val="21"/>
              </w:rPr>
              <w:t>行政办公区生活污水排水量按用水量的80%计，</w:t>
            </w:r>
            <w:r>
              <w:rPr>
                <w:szCs w:val="21"/>
              </w:rPr>
              <w:t>生活污水</w:t>
            </w:r>
            <w:r>
              <w:rPr>
                <w:rFonts w:hint="eastAsia"/>
                <w:szCs w:val="21"/>
              </w:rPr>
              <w:t>排放</w:t>
            </w:r>
            <w:r>
              <w:rPr>
                <w:szCs w:val="21"/>
              </w:rPr>
              <w:t>量</w:t>
            </w:r>
            <w:r>
              <w:rPr>
                <w:rFonts w:hint="eastAsia"/>
                <w:szCs w:val="21"/>
              </w:rPr>
              <w:t>3.44</w:t>
            </w:r>
            <w:r>
              <w:rPr>
                <w:szCs w:val="21"/>
              </w:rPr>
              <w:t>t/d，</w:t>
            </w:r>
            <w:r>
              <w:rPr>
                <w:rFonts w:hint="eastAsia"/>
                <w:szCs w:val="21"/>
              </w:rPr>
              <w:t>860</w:t>
            </w:r>
            <w:r>
              <w:rPr>
                <w:szCs w:val="21"/>
              </w:rPr>
              <w:t>t/a</w:t>
            </w:r>
            <w:r>
              <w:rPr>
                <w:szCs w:val="21"/>
                <w:lang w:val="zh-CN"/>
              </w:rPr>
              <w:t>。</w:t>
            </w:r>
            <w:r>
              <w:rPr>
                <w:rFonts w:hint="eastAsia"/>
                <w:szCs w:val="21"/>
              </w:rPr>
              <w:t>生活污水排入本项目污水处理间处理</w:t>
            </w:r>
            <w:r>
              <w:rPr>
                <w:szCs w:val="21"/>
              </w:rPr>
              <w:t>。</w:t>
            </w:r>
          </w:p>
          <w:p>
            <w:pPr>
              <w:widowControl/>
              <w:spacing w:line="360" w:lineRule="auto"/>
              <w:ind w:firstLine="420" w:firstLineChars="200"/>
            </w:pPr>
            <w:r>
              <w:rPr>
                <w:rFonts w:hint="eastAsia"/>
                <w:szCs w:val="21"/>
              </w:rPr>
              <w:t>本项目新建污水处理间一座，建筑面积100平方米，污水处理规模20m</w:t>
            </w:r>
            <w:r>
              <w:rPr>
                <w:rFonts w:hint="eastAsia"/>
                <w:szCs w:val="21"/>
                <w:vertAlign w:val="superscript"/>
              </w:rPr>
              <w:t>3</w:t>
            </w:r>
            <w:r>
              <w:rPr>
                <w:rFonts w:hint="eastAsia"/>
                <w:szCs w:val="21"/>
              </w:rPr>
              <w:t>/d，处理工艺采用“一级强化+二氧化氯消毒”工艺处理后工艺处理后达到《医疗机构水污染物排放标准》 （GB18466-2005）中表2预处理标准后，经市政管网排入</w:t>
            </w:r>
            <w:r>
              <w:rPr>
                <w:szCs w:val="21"/>
              </w:rPr>
              <w:t>哈尔滨市松北供排水有限公司（原松浦污水处理厂）处理达标后排入松花江</w:t>
            </w:r>
            <w:r>
              <w:rPr>
                <w:rFonts w:hint="eastAsia"/>
                <w:szCs w:val="21"/>
              </w:rPr>
              <w:t>。</w:t>
            </w:r>
          </w:p>
          <w:p>
            <w:pPr>
              <w:pStyle w:val="42"/>
              <w:ind w:firstLine="420"/>
            </w:pPr>
            <w:r>
              <w:t>本项目给排水平衡见</w:t>
            </w:r>
            <w:r>
              <w:rPr>
                <w:rFonts w:hint="eastAsia"/>
              </w:rPr>
              <w:t>下图</w:t>
            </w:r>
            <w:r>
              <w:t>。</w:t>
            </w:r>
          </w:p>
          <w:p>
            <w:pPr>
              <w:spacing w:line="360" w:lineRule="auto"/>
              <w:rPr>
                <w:b/>
                <w:szCs w:val="21"/>
              </w:rPr>
            </w:pPr>
            <w:r>
              <mc:AlternateContent>
                <mc:Choice Requires="wps">
                  <w:drawing>
                    <wp:anchor distT="0" distB="0" distL="114300" distR="114300" simplePos="0" relativeHeight="251670528" behindDoc="0" locked="0" layoutInCell="1" allowOverlap="1">
                      <wp:simplePos x="0" y="0"/>
                      <wp:positionH relativeFrom="column">
                        <wp:posOffset>3623310</wp:posOffset>
                      </wp:positionH>
                      <wp:positionV relativeFrom="paragraph">
                        <wp:posOffset>3528695</wp:posOffset>
                      </wp:positionV>
                      <wp:extent cx="1014095" cy="547370"/>
                      <wp:effectExtent l="4445" t="4445" r="10160" b="19685"/>
                      <wp:wrapNone/>
                      <wp:docPr id="43" name="文本框 43"/>
                      <wp:cNvGraphicFramePr/>
                      <a:graphic xmlns:a="http://schemas.openxmlformats.org/drawingml/2006/main">
                        <a:graphicData uri="http://schemas.microsoft.com/office/word/2010/wordprocessingShape">
                          <wps:wsp>
                            <wps:cNvSpPr txBox="1"/>
                            <wps:spPr>
                              <a:xfrm>
                                <a:off x="0" y="0"/>
                                <a:ext cx="356870" cy="11938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pPr>
                                    <w:ind w:firstLine="360" w:firstLineChars="200"/>
                                    <w:rPr>
                                      <w:sz w:val="18"/>
                                      <w:szCs w:val="18"/>
                                    </w:rPr>
                                  </w:pPr>
                                </w:p>
                                <w:p>
                                  <w:pPr>
                                    <w:ind w:firstLine="360" w:firstLineChars="200"/>
                                    <w:rPr>
                                      <w:sz w:val="18"/>
                                      <w:szCs w:val="18"/>
                                    </w:rPr>
                                  </w:pPr>
                                  <w:r>
                                    <w:rPr>
                                      <w:rFonts w:hint="eastAsia"/>
                                      <w:sz w:val="18"/>
                                      <w:szCs w:val="18"/>
                                    </w:rPr>
                                    <w:t>污水处理间</w:t>
                                  </w:r>
                                </w:p>
                              </w:txbxContent>
                            </wps:txbx>
                            <wps:bodyPr lIns="0" tIns="0" rIns="0" bIns="0" upright="1"/>
                          </wps:wsp>
                        </a:graphicData>
                      </a:graphic>
                    </wp:anchor>
                  </w:drawing>
                </mc:Choice>
                <mc:Fallback>
                  <w:pict>
                    <v:shape id="_x0000_s1026" o:spid="_x0000_s1026" o:spt="202" type="#_x0000_t202" style="position:absolute;left:0pt;margin-left:285.3pt;margin-top:277.85pt;height:43.1pt;width:79.85pt;z-index:251670528;mso-width-relative:page;mso-height-relative:page;" fillcolor="#FFFFFF" filled="t" stroked="t" coordsize="21600,21600" o:gfxdata="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GL+uJNsAAAALAQAADwAAAAAAAAABACAAAAAiAAAAZHJzL2Rvd25yZXYueG1sUEsBAhQAFAAAAAgA&#10;h07iQH0dqpwiAgAAaQQAAA4AAAAAAAAAAQAgAAAAKgEAAGRycy9lMm9Eb2MueG1sUEsFBgAAAAAG&#10;AAYAWQEAAL4FAAAAAA==&#10;">
                      <v:fill on="t" focussize="0,0"/>
                      <v:stroke color="#000000" joinstyle="miter"/>
                      <v:imagedata o:title=""/>
                      <o:lock v:ext="edit" aspectratio="f"/>
                      <v:textbox inset="0mm,0mm,0mm,0mm">
                        <w:txbxContent>
                          <w:p>
                            <w:pPr>
                              <w:ind w:firstLine="360" w:firstLineChars="200"/>
                              <w:rPr>
                                <w:sz w:val="18"/>
                                <w:szCs w:val="18"/>
                              </w:rPr>
                            </w:pPr>
                          </w:p>
                          <w:p>
                            <w:pPr>
                              <w:ind w:firstLine="360" w:firstLineChars="200"/>
                              <w:rPr>
                                <w:sz w:val="18"/>
                                <w:szCs w:val="18"/>
                              </w:rPr>
                            </w:pPr>
                            <w:r>
                              <w:rPr>
                                <w:rFonts w:hint="eastAsia"/>
                                <w:sz w:val="18"/>
                                <w:szCs w:val="18"/>
                              </w:rPr>
                              <w:t>污水处理间</w:t>
                            </w:r>
                          </w:p>
                        </w:txbxContent>
                      </v:textbox>
                    </v:shape>
                  </w:pict>
                </mc:Fallback>
              </mc:AlternateContent>
            </w:r>
            <w:r>
              <w:rPr>
                <w:b/>
                <w:bCs/>
                <w:sz w:val="24"/>
                <w:szCs w:val="28"/>
              </w:rPr>
              <w:object>
                <v:shape id="_x0000_i1025" o:spt="75" type="#_x0000_t75" style="height:339.75pt;width:368.25pt;" o:ole="t" filled="f" o:preferrelative="t" stroked="f" coordsize="21600,21600">
                  <v:path/>
                  <v:fill on="f" focussize="0,0"/>
                  <v:stroke on="f" joinstyle="miter"/>
                  <v:imagedata r:id="rId11" cropright="3557f" o:title=""/>
                  <o:lock v:ext="edit" aspectratio="f"/>
                  <w10:wrap type="none"/>
                  <w10:anchorlock/>
                </v:shape>
                <o:OLEObject Type="Embed" ProgID="Visio.Drawing.11" ShapeID="_x0000_i1025" DrawAspect="Content" ObjectID="_1468075725" r:id="rId10">
                  <o:LockedField>false</o:LockedField>
                </o:OLEObject>
              </w:object>
            </w:r>
          </w:p>
          <w:p>
            <w:pPr>
              <w:pStyle w:val="31"/>
              <w:rPr>
                <w:szCs w:val="21"/>
              </w:rPr>
            </w:pPr>
            <w:r>
              <w:rPr>
                <w:szCs w:val="21"/>
              </w:rPr>
              <w:t>本项目水平衡图（单位：m</w:t>
            </w:r>
            <w:r>
              <w:rPr>
                <w:szCs w:val="21"/>
                <w:vertAlign w:val="superscript"/>
              </w:rPr>
              <w:t>3</w:t>
            </w:r>
            <w:r>
              <w:rPr>
                <w:szCs w:val="21"/>
              </w:rPr>
              <w:t>/</w:t>
            </w:r>
            <w:r>
              <w:rPr>
                <w:rFonts w:hint="eastAsia"/>
                <w:szCs w:val="21"/>
              </w:rPr>
              <w:t>a</w:t>
            </w:r>
            <w:r>
              <w:rPr>
                <w:szCs w:val="21"/>
              </w:rPr>
              <w:t xml:space="preserve">） </w:t>
            </w:r>
          </w:p>
          <w:p>
            <w:pPr>
              <w:pStyle w:val="42"/>
              <w:ind w:firstLine="420"/>
            </w:pPr>
            <w:r>
              <w:rPr>
                <w:rFonts w:hint="eastAsia"/>
              </w:rPr>
              <w:t>4、</w:t>
            </w:r>
            <w:r>
              <w:t>劳动定员及工作制度</w:t>
            </w:r>
          </w:p>
          <w:p>
            <w:pPr>
              <w:pStyle w:val="42"/>
              <w:ind w:firstLine="420"/>
            </w:pPr>
            <w:r>
              <w:t>本项目拟设员工</w:t>
            </w:r>
            <w:r>
              <w:rPr>
                <w:rFonts w:hint="eastAsia"/>
              </w:rPr>
              <w:t>43人</w:t>
            </w:r>
            <w:r>
              <w:t>，均不在项目内食宿。项目实行</w:t>
            </w:r>
            <w:r>
              <w:rPr>
                <w:rFonts w:hint="eastAsia"/>
              </w:rPr>
              <w:t>2</w:t>
            </w:r>
            <w:r>
              <w:t>班制，8小时/班，年工作25</w:t>
            </w:r>
            <w:r>
              <w:rPr>
                <w:rFonts w:hint="eastAsia"/>
              </w:rPr>
              <w:t>0天</w:t>
            </w:r>
            <w:r>
              <w:t>。</w:t>
            </w:r>
          </w:p>
          <w:p>
            <w:pPr>
              <w:pStyle w:val="42"/>
              <w:ind w:firstLine="420"/>
            </w:pPr>
            <w:r>
              <w:rPr>
                <w:rFonts w:hint="eastAsia"/>
              </w:rPr>
              <w:t>5、</w:t>
            </w:r>
            <w:r>
              <w:t>项目平面布置情况</w:t>
            </w:r>
          </w:p>
          <w:p>
            <w:pPr>
              <w:pStyle w:val="42"/>
              <w:ind w:firstLine="420"/>
              <w:rPr>
                <w:szCs w:val="21"/>
              </w:rPr>
            </w:pPr>
            <w:r>
              <w:rPr>
                <w:rFonts w:hint="eastAsia"/>
              </w:rPr>
              <w:t>本项目</w:t>
            </w:r>
            <w:r>
              <w:t>选址于</w:t>
            </w:r>
            <w:r>
              <w:rPr>
                <w:rFonts w:hint="eastAsia"/>
              </w:rPr>
              <w:t>黑龙江省哈尔滨市松北区智谷二街3043号哈尔滨松北（深圳龙岗）科技创新产业园4栋3层</w:t>
            </w:r>
            <w:r>
              <w:t>。本项目</w:t>
            </w:r>
            <w:r>
              <w:rPr>
                <w:rFonts w:hint="eastAsia"/>
              </w:rPr>
              <w:t>实验室平面</w:t>
            </w:r>
            <w:r>
              <w:t>布置主要由</w:t>
            </w:r>
            <w:r>
              <w:rPr>
                <w:rFonts w:hint="eastAsia"/>
              </w:rPr>
              <w:t>三</w:t>
            </w:r>
            <w:r>
              <w:t>部分组成，为</w:t>
            </w:r>
            <w:r>
              <w:rPr>
                <w:rFonts w:hint="eastAsia"/>
              </w:rPr>
              <w:t>办公</w:t>
            </w:r>
            <w:r>
              <w:t>区域</w:t>
            </w:r>
            <w:r>
              <w:rPr>
                <w:rFonts w:hint="eastAsia"/>
              </w:rPr>
              <w:t>、实验</w:t>
            </w:r>
            <w:r>
              <w:t>区域</w:t>
            </w:r>
            <w:r>
              <w:rPr>
                <w:rFonts w:hint="eastAsia"/>
              </w:rPr>
              <w:t>和污水处理间</w:t>
            </w:r>
            <w:r>
              <w:t>。办公区域</w:t>
            </w:r>
            <w:r>
              <w:rPr>
                <w:rFonts w:hint="eastAsia"/>
              </w:rPr>
              <w:t>包括</w:t>
            </w:r>
            <w:r>
              <w:t>了</w:t>
            </w:r>
            <w:r>
              <w:rPr>
                <w:rFonts w:hint="eastAsia"/>
              </w:rPr>
              <w:t>办公室</w:t>
            </w:r>
            <w:r>
              <w:t>、会议室、</w:t>
            </w:r>
            <w:r>
              <w:rPr>
                <w:rFonts w:hint="eastAsia"/>
              </w:rPr>
              <w:t>财务/档案</w:t>
            </w:r>
            <w:r>
              <w:t>室等</w:t>
            </w:r>
            <w:r>
              <w:rPr>
                <w:rFonts w:hint="eastAsia"/>
              </w:rPr>
              <w:t>，实验</w:t>
            </w:r>
            <w:r>
              <w:t>区域包括</w:t>
            </w:r>
            <w:r>
              <w:rPr>
                <w:rFonts w:hint="eastAsia"/>
              </w:rPr>
              <w:t>核酸检测实验室、中心实验室、质谱实验室</w:t>
            </w:r>
            <w:r>
              <w:t>等</w:t>
            </w:r>
            <w:r>
              <w:rPr>
                <w:rFonts w:hint="eastAsia"/>
              </w:rPr>
              <w:t>，污水处理间位于基地西北侧。</w:t>
            </w:r>
            <w:r>
              <w:t>本项目平面布置图详</w:t>
            </w:r>
            <w:r>
              <w:rPr>
                <w:rFonts w:hint="eastAsia"/>
              </w:rPr>
              <w:t>见</w:t>
            </w:r>
            <w:r>
              <w:t>附图</w:t>
            </w:r>
            <w:r>
              <w:rPr>
                <w:rFonts w:hint="eastAsia"/>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47" w:hRule="atLeast"/>
          <w:jc w:val="center"/>
        </w:trPr>
        <w:tc>
          <w:tcPr>
            <w:tcW w:w="247" w:type="pct"/>
            <w:vAlign w:val="center"/>
          </w:tcPr>
          <w:p>
            <w:pPr>
              <w:adjustRightInd w:val="0"/>
              <w:snapToGrid w:val="0"/>
              <w:jc w:val="center"/>
              <w:rPr>
                <w:rFonts w:cs="宋体"/>
              </w:rPr>
            </w:pPr>
            <w:r>
              <w:rPr>
                <w:rFonts w:hint="eastAsia" w:cs="宋体"/>
              </w:rPr>
              <w:t>工艺流程和产排污环节</w:t>
            </w:r>
          </w:p>
        </w:tc>
        <w:tc>
          <w:tcPr>
            <w:tcW w:w="4752" w:type="pct"/>
          </w:tcPr>
          <w:p>
            <w:pPr>
              <w:spacing w:line="360" w:lineRule="auto"/>
              <w:ind w:firstLine="422" w:firstLineChars="200"/>
              <w:rPr>
                <w:b/>
                <w:kern w:val="21"/>
                <w:szCs w:val="21"/>
              </w:rPr>
            </w:pPr>
            <w:r>
              <w:rPr>
                <w:rFonts w:hint="eastAsia"/>
                <w:b/>
                <w:kern w:val="21"/>
                <w:szCs w:val="21"/>
              </w:rPr>
              <w:t>1、施工期</w:t>
            </w:r>
          </w:p>
          <w:p>
            <w:pPr>
              <w:widowControl/>
              <w:spacing w:line="360" w:lineRule="auto"/>
              <w:ind w:firstLine="420" w:firstLineChars="200"/>
              <w:rPr>
                <w:kern w:val="21"/>
                <w:sz w:val="24"/>
                <w:szCs w:val="28"/>
              </w:rPr>
            </w:pPr>
            <w:r>
              <w:rPr>
                <w:rFonts w:hint="eastAsia"/>
                <w:kern w:val="21"/>
                <w:szCs w:val="21"/>
              </w:rPr>
              <w:t>施工活动的工程内容主要为：设备安装，主要影响范围为项目场区区域，施工过程将产生施工扬尘、施工废水、施工噪声、施工固废及生活垃圾等污染物，主要环境影响因子包括环境空气、水环境、声环境、人群健康等，并新增少量水土流失。项目施工期工艺流程图如下：</w:t>
            </w:r>
          </w:p>
          <w:p>
            <w:pPr>
              <w:spacing w:line="360" w:lineRule="auto"/>
              <w:jc w:val="center"/>
              <w:rPr>
                <w:b/>
                <w:kern w:val="21"/>
                <w:sz w:val="24"/>
              </w:rPr>
            </w:pPr>
            <w:r>
              <w:drawing>
                <wp:inline distT="0" distB="0" distL="114300" distR="114300">
                  <wp:extent cx="2255520" cy="1223010"/>
                  <wp:effectExtent l="0" t="0" r="11430" b="15240"/>
                  <wp:docPr id="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1"/>
                          </pic:cNvPicPr>
                        </pic:nvPicPr>
                        <pic:blipFill>
                          <a:blip r:embed="rId12"/>
                          <a:srcRect l="51456"/>
                          <a:stretch>
                            <a:fillRect/>
                          </a:stretch>
                        </pic:blipFill>
                        <pic:spPr>
                          <a:xfrm>
                            <a:off x="0" y="0"/>
                            <a:ext cx="2255520" cy="1223010"/>
                          </a:xfrm>
                          <a:prstGeom prst="rect">
                            <a:avLst/>
                          </a:prstGeom>
                          <a:noFill/>
                          <a:ln>
                            <a:noFill/>
                          </a:ln>
                        </pic:spPr>
                      </pic:pic>
                    </a:graphicData>
                  </a:graphic>
                </wp:inline>
              </w:drawing>
            </w:r>
          </w:p>
          <w:p>
            <w:pPr>
              <w:widowControl/>
              <w:numPr>
                <w:ilvl w:val="0"/>
                <w:numId w:val="3"/>
              </w:numPr>
              <w:spacing w:line="360" w:lineRule="auto"/>
              <w:ind w:firstLine="420" w:firstLineChars="200"/>
              <w:rPr>
                <w:kern w:val="21"/>
                <w:szCs w:val="21"/>
              </w:rPr>
            </w:pPr>
            <w:r>
              <w:rPr>
                <w:rFonts w:hint="eastAsia"/>
                <w:kern w:val="21"/>
                <w:szCs w:val="21"/>
              </w:rPr>
              <w:t>主体建筑施工</w:t>
            </w:r>
          </w:p>
          <w:p>
            <w:pPr>
              <w:widowControl/>
              <w:spacing w:line="360" w:lineRule="auto"/>
              <w:ind w:firstLine="420" w:firstLineChars="200"/>
              <w:rPr>
                <w:kern w:val="21"/>
                <w:szCs w:val="21"/>
              </w:rPr>
            </w:pPr>
            <w:r>
              <w:rPr>
                <w:rFonts w:hint="eastAsia"/>
                <w:kern w:val="21"/>
                <w:szCs w:val="21"/>
              </w:rPr>
              <w:t>施工过程采用人工施工为主，配有少量的机械施工相结合的方式。噪声影响较小，施工方式合理。项目主体建筑施工过程中会产生扬尘、噪声和边角材料。</w:t>
            </w:r>
          </w:p>
          <w:p>
            <w:pPr>
              <w:widowControl/>
              <w:numPr>
                <w:ilvl w:val="0"/>
                <w:numId w:val="3"/>
              </w:numPr>
              <w:spacing w:line="360" w:lineRule="auto"/>
              <w:ind w:firstLine="420" w:firstLineChars="200"/>
              <w:rPr>
                <w:kern w:val="21"/>
                <w:szCs w:val="21"/>
              </w:rPr>
            </w:pPr>
            <w:r>
              <w:rPr>
                <w:rFonts w:hint="eastAsia"/>
                <w:kern w:val="21"/>
                <w:szCs w:val="21"/>
              </w:rPr>
              <w:t>装修、设备安装</w:t>
            </w:r>
          </w:p>
          <w:p>
            <w:pPr>
              <w:spacing w:line="360" w:lineRule="auto"/>
              <w:ind w:firstLine="420" w:firstLineChars="200"/>
              <w:rPr>
                <w:bCs/>
                <w:kern w:val="21"/>
                <w:szCs w:val="21"/>
              </w:rPr>
            </w:pPr>
            <w:r>
              <w:rPr>
                <w:rFonts w:hint="eastAsia"/>
                <w:kern w:val="21"/>
                <w:szCs w:val="21"/>
              </w:rPr>
              <w:t>基础工程和主体建筑施工完毕后，进行装修及设备安装，此过程会产生噪声</w:t>
            </w:r>
            <w:r>
              <w:rPr>
                <w:rFonts w:hint="eastAsia"/>
                <w:bCs/>
                <w:kern w:val="21"/>
                <w:szCs w:val="21"/>
              </w:rPr>
              <w:t>及粉尘，完毕后随即消失。</w:t>
            </w:r>
          </w:p>
          <w:p>
            <w:pPr>
              <w:spacing w:line="360" w:lineRule="auto"/>
              <w:ind w:firstLine="422" w:firstLineChars="200"/>
              <w:rPr>
                <w:b/>
                <w:kern w:val="21"/>
                <w:szCs w:val="21"/>
              </w:rPr>
            </w:pPr>
            <w:r>
              <w:rPr>
                <w:rFonts w:hint="eastAsia"/>
                <w:b/>
                <w:kern w:val="21"/>
                <w:szCs w:val="21"/>
              </w:rPr>
              <w:t>2、运营期</w:t>
            </w:r>
          </w:p>
          <w:p>
            <w:pPr>
              <w:spacing w:line="360" w:lineRule="auto"/>
              <w:ind w:firstLine="420" w:firstLineChars="200"/>
              <w:rPr>
                <w:bCs/>
                <w:kern w:val="21"/>
                <w:szCs w:val="21"/>
              </w:rPr>
            </w:pPr>
            <w:r>
              <w:rPr>
                <w:rFonts w:hint="eastAsia"/>
                <w:bCs/>
                <w:kern w:val="21"/>
                <w:szCs w:val="21"/>
              </w:rPr>
              <w:t>（1）核酸检测工艺流程</w:t>
            </w:r>
          </w:p>
          <w:p>
            <w:pPr>
              <w:widowControl/>
              <w:spacing w:line="360" w:lineRule="auto"/>
              <w:ind w:firstLine="420" w:firstLineChars="200"/>
              <w:rPr>
                <w:kern w:val="21"/>
                <w:szCs w:val="21"/>
              </w:rPr>
            </w:pPr>
            <w:r>
              <w:rPr>
                <w:rFonts w:hint="eastAsia"/>
                <w:kern w:val="21"/>
                <w:szCs w:val="21"/>
              </w:rPr>
              <w:t>本项目以新冠病毒检测为主，后期根据上级任务安排从事其余需要在BSL-2 实验室内进行的病原微生物核酸检测工作，从事病原微生物试验活动应符合《人间传染的病原微生物名录》（卫科教发[2006]15 号）等相关规定；本项目不设置床位、不开设门诊接纳患者就诊，样本由专人采集并运至本项目进行PCR检测，并出具相应的检测报告。本项目核酸检测核心过程为核酸提取和核酸荧光定量分析，现就核酸提取和核酸荧光定量分析概述如下：</w:t>
            </w:r>
          </w:p>
          <w:p>
            <w:pPr>
              <w:widowControl/>
              <w:spacing w:line="360" w:lineRule="auto"/>
              <w:ind w:firstLine="420" w:firstLineChars="200"/>
              <w:rPr>
                <w:kern w:val="21"/>
                <w:szCs w:val="21"/>
              </w:rPr>
            </w:pPr>
            <w:r>
              <w:rPr>
                <w:rFonts w:hint="eastAsia"/>
                <w:kern w:val="21"/>
                <w:szCs w:val="21"/>
              </w:rPr>
              <w:t>核酸提取：本项目使用核酸提取设备为全自动核酸提取仪，采用磁珠法进行核酸提取。磁珠法分离原理：磁珠是由具有超顺磁性的磁核表面包裹二氧化硅等材料构成，磁珠在一定条件下对核酸、蛋白质具有很强的亲和力，并且在条件改变时，磁珠与其吸附的核酸分离。本项目核酸提取采用成品核酸提取试剂盒通过全自动核酸提仪进行核酸提取，核酸提取采用裂解液进行裂解，洗涤液进行洗涤，最后采用洗脱液进行洗脱获取核酸，核酸提取流程见图3。</w:t>
            </w:r>
          </w:p>
          <w:p>
            <w:pPr>
              <w:adjustRightInd w:val="0"/>
              <w:snapToGrid w:val="0"/>
              <w:jc w:val="center"/>
              <w:rPr>
                <w:kern w:val="21"/>
              </w:rPr>
            </w:pPr>
            <w:r>
              <w:drawing>
                <wp:inline distT="0" distB="0" distL="114300" distR="114300">
                  <wp:extent cx="4650740" cy="1816735"/>
                  <wp:effectExtent l="0" t="0" r="16510" b="1206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13"/>
                          <a:stretch>
                            <a:fillRect/>
                          </a:stretch>
                        </pic:blipFill>
                        <pic:spPr>
                          <a:xfrm>
                            <a:off x="0" y="0"/>
                            <a:ext cx="4650740" cy="1816735"/>
                          </a:xfrm>
                          <a:prstGeom prst="rect">
                            <a:avLst/>
                          </a:prstGeom>
                          <a:noFill/>
                          <a:ln>
                            <a:noFill/>
                          </a:ln>
                        </pic:spPr>
                      </pic:pic>
                    </a:graphicData>
                  </a:graphic>
                </wp:inline>
              </w:drawing>
            </w:r>
          </w:p>
          <w:p>
            <w:pPr>
              <w:spacing w:line="360" w:lineRule="auto"/>
              <w:jc w:val="center"/>
              <w:rPr>
                <w:b/>
                <w:bCs/>
                <w:snapToGrid w:val="0"/>
                <w:szCs w:val="21"/>
              </w:rPr>
            </w:pPr>
            <w:r>
              <w:rPr>
                <w:b/>
                <w:bCs/>
                <w:snapToGrid w:val="0"/>
                <w:szCs w:val="21"/>
              </w:rPr>
              <w:t>图</w:t>
            </w:r>
            <w:r>
              <w:rPr>
                <w:rFonts w:hint="eastAsia"/>
                <w:b/>
                <w:bCs/>
                <w:snapToGrid w:val="0"/>
                <w:szCs w:val="21"/>
              </w:rPr>
              <w:t>3  磁珠法核酸提取流程</w:t>
            </w:r>
          </w:p>
          <w:p>
            <w:pPr>
              <w:spacing w:line="360" w:lineRule="auto"/>
              <w:ind w:firstLine="420" w:firstLineChars="200"/>
              <w:rPr>
                <w:kern w:val="21"/>
                <w:szCs w:val="21"/>
              </w:rPr>
            </w:pPr>
            <w:r>
              <w:rPr>
                <w:rFonts w:hint="eastAsia"/>
                <w:kern w:val="21"/>
                <w:szCs w:val="21"/>
              </w:rPr>
              <w:t>荧光定量分析：本项目采用实时定量PCR仪（荧光定量）对核酸进行检测，主要包括基因扩增和荧光定量检测2个部分，概述如下：基因扩增类似于DNA的天然复制，特异性依赖于与靶序列两段互补的寡核酸引物，整个过程由变形-退火-延伸3 个基本反应步骤构成：①模板 DNA变性；模板或经PCR扩增形成的DNA经加热至94℃左右，在一定时间后，双股螺旋解链，变成两条单链，以便它与其他引物结合，为下一轮反应做准备；②模板DNA与引物的退火（复性）：DNA加热变性成单链后，当温度减至一定程度（55℃左右）时，引物即与模板DNA单链的互补序列配对结合；③引物的延伸（72℃）：在TaqDNA聚合酶的作用下，DNA 模板上的引物以dNTP为原料，按A-T、C-G 配对与半保留复制原则，合成1条新的与模板DNA链互补的链。</w:t>
            </w:r>
          </w:p>
          <w:p>
            <w:pPr>
              <w:spacing w:line="360" w:lineRule="auto"/>
              <w:ind w:firstLine="420" w:firstLineChars="200"/>
              <w:rPr>
                <w:kern w:val="21"/>
                <w:szCs w:val="21"/>
              </w:rPr>
            </w:pPr>
            <w:r>
              <w:rPr>
                <w:rFonts w:hint="eastAsia"/>
                <w:kern w:val="21"/>
                <w:szCs w:val="21"/>
              </w:rPr>
              <w:t>实时PCR是检测PCR扩增周期每个时间点上扩增产物的量，通常是检测每个循环结束后的产物量，从而实现PCR扩增动力学监测，使用实时荧光PCR仪检测荧光信号，根据荧光信号与扩增循环之间的关系计算得到实时扩增曲线，目前国内主要广泛使用的是以TaqMan荧光标记探针为基础的实时荧光PCR技术，TaqMan荧光探针即在其5′端标记一个荧光报告基团，根据荧光共振能量传递原理，完整探针应荧光基团和淬灭剂距离很近而使荧光基团发生的荧光被淬灭，只有当探针降解时，荧光报告基团和淬灭剂分离，荧光才能发射出来。</w:t>
            </w:r>
          </w:p>
          <w:p>
            <w:pPr>
              <w:spacing w:line="360" w:lineRule="auto"/>
              <w:ind w:firstLine="420" w:firstLineChars="200"/>
              <w:rPr>
                <w:kern w:val="21"/>
                <w:szCs w:val="21"/>
              </w:rPr>
            </w:pPr>
            <w:r>
              <w:rPr>
                <w:rFonts w:hint="eastAsia"/>
                <w:kern w:val="21"/>
                <w:szCs w:val="21"/>
              </w:rPr>
              <w:t>根据上述描述可知，本项目荧光定量分析过程中仅在核酸扩增过程需要在相应的扩增体系中进行，荧光定量分析，不在使用和加入其它物质；根据《全国临床检验操作手册》，核酸扩增体系主要由引物、聚合酶、模板、Tris-HCl缓冲溶液等构成。</w:t>
            </w:r>
          </w:p>
          <w:p>
            <w:pPr>
              <w:spacing w:line="360" w:lineRule="auto"/>
              <w:ind w:firstLine="420" w:firstLineChars="200"/>
              <w:rPr>
                <w:kern w:val="21"/>
                <w:szCs w:val="21"/>
              </w:rPr>
            </w:pPr>
            <w:r>
              <w:rPr>
                <w:rFonts w:hint="eastAsia"/>
                <w:kern w:val="21"/>
                <w:szCs w:val="21"/>
              </w:rPr>
              <w:t>根据建设单位提供资料，本项目核酸检测作业流程主要包括样本采集、样本接收与处理、标本制备、PCR检测，本项目核酸提取和PCR检测均采用成套商品试剂盒，现以新型冠病毒检测为例，概述本项目核酸检测流程如下：</w:t>
            </w:r>
          </w:p>
          <w:p>
            <w:pPr>
              <w:spacing w:line="360" w:lineRule="auto"/>
              <w:ind w:firstLine="420" w:firstLineChars="200"/>
              <w:rPr>
                <w:kern w:val="21"/>
                <w:szCs w:val="21"/>
              </w:rPr>
            </w:pPr>
            <w:r>
              <w:rPr>
                <w:rFonts w:hint="eastAsia"/>
                <w:kern w:val="21"/>
                <w:szCs w:val="21"/>
              </w:rPr>
              <w:t>新型冠状病毒检测流程：</w:t>
            </w:r>
          </w:p>
          <w:p>
            <w:pPr>
              <w:spacing w:line="360" w:lineRule="auto"/>
              <w:ind w:firstLine="420" w:firstLineChars="200"/>
              <w:rPr>
                <w:kern w:val="21"/>
                <w:szCs w:val="21"/>
              </w:rPr>
            </w:pPr>
            <w:r>
              <w:rPr>
                <w:rFonts w:hint="eastAsia"/>
                <w:kern w:val="21"/>
                <w:szCs w:val="21"/>
              </w:rPr>
              <w:t>①样本采集：本项目不配套建设永久的核酸采样间，若因突发事件或上级安排，需要进行临时核酸采样时，则按照相关规定在指定区域搭建临时采样间，采样人员由专业人员按照《新型冠状病毒肺炎实验室检测技术指南》要求进行采样，样品采集一般为咽拭子，样品采集后保存在规定的病毒保存液中，利用病毒保存液对病毒进行灭活。</w:t>
            </w:r>
          </w:p>
          <w:p>
            <w:pPr>
              <w:spacing w:line="360" w:lineRule="auto"/>
              <w:ind w:firstLine="420" w:firstLineChars="200"/>
              <w:rPr>
                <w:kern w:val="21"/>
                <w:szCs w:val="21"/>
              </w:rPr>
            </w:pPr>
            <w:r>
              <w:rPr>
                <w:rFonts w:hint="eastAsia"/>
                <w:kern w:val="21"/>
                <w:szCs w:val="21"/>
              </w:rPr>
              <w:t>②样本接收与处理：本项目检测的样本分为疾控中心采集样品和社会医疗机构采集样品，一般样品均进行了灭活处理，若遇未进行灭活样本，则在样本接受时候进行注明，后续在实验室内通过水浴加热进行灭活，并根据检测安排对暂时不能进行监测的样本进行保存（短期保存：4℃，长期保存：-20℃/-70℃）。</w:t>
            </w:r>
          </w:p>
          <w:p>
            <w:pPr>
              <w:spacing w:line="360" w:lineRule="auto"/>
              <w:ind w:firstLine="420" w:firstLineChars="200"/>
              <w:rPr>
                <w:kern w:val="21"/>
                <w:szCs w:val="21"/>
              </w:rPr>
            </w:pPr>
            <w:r>
              <w:rPr>
                <w:rFonts w:hint="eastAsia"/>
                <w:kern w:val="21"/>
                <w:szCs w:val="21"/>
              </w:rPr>
              <w:t>③标本制备（DNA/RNA提取）：标本制备在标本制备间中进行，标本制备主要包括核酸提取前的灭活等操作和核酸提取操作，其中核酸提取前的灭活（新冠病毒灭火条件为水浴加热）等操作按照相关要求在在二级生物安全柜中进行，将灭活后的标本取出，在生物安全柜内打开标本采集管加样。核酸提取采用核酸提取试剂进行裂解消化、离心、弃滤液，获得纯化的核酸溶液，核酸提取试剂为专用核酸提取试剂盒，使用设备为专用自动核酸提取仪。核酸提取完成后，立即将提取物进行封盖处理。将提取核酸加至PCR扩增反应体系中。</w:t>
            </w:r>
          </w:p>
          <w:p>
            <w:pPr>
              <w:spacing w:line="360" w:lineRule="auto"/>
              <w:ind w:firstLine="420" w:firstLineChars="200"/>
              <w:rPr>
                <w:kern w:val="21"/>
                <w:szCs w:val="21"/>
              </w:rPr>
            </w:pPr>
            <w:r>
              <w:rPr>
                <w:rFonts w:hint="eastAsia"/>
                <w:kern w:val="21"/>
                <w:szCs w:val="21"/>
              </w:rPr>
              <w:t>④PCR检测：采用商品核酸检测试剂盒对核酸进行检测，首先根据试剂盒说明书，用反应物A和反应物B混合成核酸扩增体系，然后向扩增体系中加入提取好的核酸，在放入实时PCR仪中进行检测。</w:t>
            </w:r>
          </w:p>
          <w:p>
            <w:pPr>
              <w:spacing w:line="360" w:lineRule="auto"/>
              <w:ind w:firstLine="420" w:firstLineChars="200"/>
              <w:rPr>
                <w:kern w:val="21"/>
                <w:szCs w:val="21"/>
              </w:rPr>
            </w:pPr>
            <w:r>
              <w:rPr>
                <w:rFonts w:hint="eastAsia"/>
                <w:kern w:val="21"/>
                <w:szCs w:val="21"/>
              </w:rPr>
              <w:t xml:space="preserve">⑤结果分析：运用全自动PCR分析仪对实验结果进行分析。数据质检合格后，出具检测报告。 </w:t>
            </w:r>
          </w:p>
          <w:p>
            <w:pPr>
              <w:spacing w:line="360" w:lineRule="auto"/>
              <w:ind w:firstLine="420" w:firstLineChars="200"/>
              <w:rPr>
                <w:kern w:val="21"/>
                <w:szCs w:val="21"/>
              </w:rPr>
            </w:pPr>
            <w:r>
              <w:rPr>
                <w:rFonts w:hint="eastAsia"/>
                <w:kern w:val="21"/>
                <w:szCs w:val="21"/>
              </w:rPr>
              <w:t>本项目核酸检测流程及产污位置见图4。</w:t>
            </w:r>
          </w:p>
          <w:p>
            <w:pPr>
              <w:pStyle w:val="21"/>
            </w:pPr>
          </w:p>
          <w:p>
            <w:pPr>
              <w:spacing w:line="360" w:lineRule="auto"/>
              <w:jc w:val="center"/>
              <w:rPr>
                <w:kern w:val="21"/>
                <w:sz w:val="24"/>
              </w:rPr>
            </w:pPr>
            <w:r>
              <w:rPr>
                <w:rFonts w:hint="eastAsia"/>
                <w:kern w:val="21"/>
                <w:sz w:val="24"/>
              </w:rPr>
              <w:object>
                <v:shape id="_x0000_i1026" o:spt="75" type="#_x0000_t75" style="height:231pt;width:378pt;" o:ole="t" filled="f" o:preferrelative="t" stroked="f" coordsize="21600,21600">
                  <v:path/>
                  <v:fill on="f" focussize="0,0"/>
                  <v:stroke on="f" joinstyle="miter"/>
                  <v:imagedata r:id="rId15" o:title=""/>
                  <o:lock v:ext="edit" aspectratio="f"/>
                  <w10:wrap type="none"/>
                  <w10:anchorlock/>
                </v:shape>
                <o:OLEObject Type="Embed" ProgID="Visio.Drawing.11" ShapeID="_x0000_i1026" DrawAspect="Content" ObjectID="_1468075726" r:id="rId14">
                  <o:LockedField>false</o:LockedField>
                </o:OLEObject>
              </w:object>
            </w:r>
          </w:p>
          <w:p>
            <w:pPr>
              <w:spacing w:line="360" w:lineRule="auto"/>
              <w:jc w:val="center"/>
              <w:rPr>
                <w:b/>
                <w:bCs/>
                <w:snapToGrid w:val="0"/>
                <w:szCs w:val="21"/>
              </w:rPr>
            </w:pPr>
            <w:r>
              <w:rPr>
                <w:rFonts w:hint="eastAsia"/>
                <w:b/>
                <w:bCs/>
                <w:snapToGrid w:val="0"/>
                <w:szCs w:val="21"/>
              </w:rPr>
              <w:t>图4核酸检测流程及产污环节图</w:t>
            </w:r>
          </w:p>
          <w:p>
            <w:pPr>
              <w:spacing w:line="360" w:lineRule="auto"/>
              <w:ind w:firstLine="420" w:firstLineChars="200"/>
              <w:rPr>
                <w:kern w:val="21"/>
                <w:szCs w:val="21"/>
              </w:rPr>
            </w:pPr>
          </w:p>
          <w:p>
            <w:pPr>
              <w:spacing w:line="360" w:lineRule="auto"/>
              <w:ind w:firstLine="420" w:firstLineChars="200"/>
              <w:rPr>
                <w:kern w:val="21"/>
                <w:szCs w:val="21"/>
              </w:rPr>
            </w:pPr>
          </w:p>
          <w:p>
            <w:pPr>
              <w:spacing w:line="360" w:lineRule="auto"/>
              <w:ind w:firstLine="420" w:firstLineChars="200"/>
              <w:rPr>
                <w:kern w:val="21"/>
                <w:szCs w:val="21"/>
              </w:rPr>
            </w:pPr>
          </w:p>
          <w:p>
            <w:pPr>
              <w:spacing w:line="360" w:lineRule="auto"/>
              <w:ind w:firstLine="420" w:firstLineChars="200"/>
              <w:rPr>
                <w:kern w:val="21"/>
                <w:szCs w:val="21"/>
              </w:rPr>
            </w:pPr>
          </w:p>
          <w:p>
            <w:pPr>
              <w:spacing w:line="360" w:lineRule="auto"/>
              <w:ind w:firstLine="420" w:firstLineChars="200"/>
              <w:rPr>
                <w:kern w:val="21"/>
                <w:szCs w:val="21"/>
              </w:rPr>
            </w:pPr>
          </w:p>
          <w:p>
            <w:pPr>
              <w:spacing w:line="360" w:lineRule="auto"/>
              <w:rPr>
                <w:kern w:val="21"/>
                <w:szCs w:val="21"/>
              </w:rPr>
            </w:pPr>
            <w:r>
              <w:rPr>
                <w:rFonts w:hint="eastAsia"/>
                <w:kern w:val="21"/>
                <w:szCs w:val="21"/>
              </w:rPr>
              <w:t>（2）临床化学检验、临床免疫血清检验</w:t>
            </w:r>
          </w:p>
          <w:p>
            <w:pPr>
              <w:spacing w:line="360" w:lineRule="auto"/>
              <w:ind w:firstLine="420" w:firstLineChars="200"/>
              <w:rPr>
                <w:kern w:val="21"/>
                <w:szCs w:val="21"/>
              </w:rPr>
            </w:pPr>
            <w:r>
              <w:rPr>
                <w:rFonts w:hint="eastAsia"/>
                <w:kern w:val="21"/>
                <w:szCs w:val="21"/>
              </w:rPr>
              <w:t>检测内容主要是临床血液中维生素、微量元素含量及其他抗原抗体等蛋白质的检，产生的污染物主要为实验废水、实验固废、少量有机废气</w:t>
            </w:r>
            <w:r>
              <w:rPr>
                <w:rFonts w:hint="eastAsia"/>
                <w:kern w:val="21"/>
                <w:szCs w:val="21"/>
                <w:lang w:eastAsia="zh-CN"/>
              </w:rPr>
              <w:t>、</w:t>
            </w:r>
            <w:r>
              <w:rPr>
                <w:rFonts w:hint="eastAsia"/>
                <w:kern w:val="21"/>
                <w:szCs w:val="21"/>
                <w:lang w:val="en-US" w:eastAsia="zh-CN"/>
              </w:rPr>
              <w:t>有机废液</w:t>
            </w:r>
            <w:r>
              <w:rPr>
                <w:rFonts w:hint="eastAsia"/>
                <w:kern w:val="21"/>
                <w:szCs w:val="21"/>
              </w:rPr>
              <w:t>以及员工生活污水和办公垃圾。</w:t>
            </w:r>
          </w:p>
          <w:p>
            <w:pPr>
              <w:spacing w:line="360" w:lineRule="auto"/>
              <w:ind w:firstLine="420" w:firstLineChars="200"/>
              <w:jc w:val="center"/>
              <w:rPr>
                <w:kern w:val="21"/>
                <w:szCs w:val="21"/>
              </w:rPr>
            </w:pPr>
            <w:r>
              <mc:AlternateContent>
                <mc:Choice Requires="wps">
                  <w:drawing>
                    <wp:anchor distT="0" distB="0" distL="114300" distR="114300" simplePos="0" relativeHeight="251677696" behindDoc="0" locked="0" layoutInCell="1" allowOverlap="1">
                      <wp:simplePos x="0" y="0"/>
                      <wp:positionH relativeFrom="column">
                        <wp:posOffset>1826895</wp:posOffset>
                      </wp:positionH>
                      <wp:positionV relativeFrom="paragraph">
                        <wp:posOffset>74930</wp:posOffset>
                      </wp:positionV>
                      <wp:extent cx="1466215" cy="292100"/>
                      <wp:effectExtent l="4445" t="4445" r="15240" b="8255"/>
                      <wp:wrapNone/>
                      <wp:docPr id="17" name="自选图形 57"/>
                      <wp:cNvGraphicFramePr/>
                      <a:graphic xmlns:a="http://schemas.openxmlformats.org/drawingml/2006/main">
                        <a:graphicData uri="http://schemas.microsoft.com/office/word/2010/wordprocessingShape">
                          <wps:wsp>
                            <wps:cNvSpPr/>
                            <wps:spPr>
                              <a:xfrm>
                                <a:off x="0" y="0"/>
                                <a:ext cx="1466215" cy="29210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rPr>
                                      <w:sz w:val="18"/>
                                      <w:szCs w:val="18"/>
                                    </w:rPr>
                                  </w:pPr>
                                  <w:r>
                                    <w:rPr>
                                      <w:rFonts w:hint="eastAsia"/>
                                      <w:sz w:val="18"/>
                                      <w:szCs w:val="18"/>
                                    </w:rPr>
                                    <w:t>接收样品、检验通知单</w:t>
                                  </w:r>
                                </w:p>
                              </w:txbxContent>
                            </wps:txbx>
                            <wps:bodyPr upright="1"/>
                          </wps:wsp>
                        </a:graphicData>
                      </a:graphic>
                    </wp:anchor>
                  </w:drawing>
                </mc:Choice>
                <mc:Fallback>
                  <w:pict>
                    <v:shape id="自选图形 57" o:spid="_x0000_s1026" o:spt="109" type="#_x0000_t109" style="position:absolute;left:0pt;margin-left:143.85pt;margin-top:5.9pt;height:23pt;width:115.45pt;z-index:251677696;mso-width-relative:page;mso-height-relative:page;" fillcolor="#FFFFFF" filled="t" stroked="t" coordsize="21600,21600" o:gfxdata="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v6UOA2AAAAAkBAAAP&#10;AAAAAAAAAAEAIAAAACIAAABkcnMvZG93bnJldi54bWxQSwECFAAUAAAACACHTuJAWgYstRgCAAA9&#10;BAAADgAAAAAAAAABACAAAAAnAQAAZHJzL2Uyb0RvYy54bWxQSwUGAAAAAAYABgBZAQAAsQUAAAAA&#10;">
                      <v:fill on="t" focussize="0,0"/>
                      <v:stroke color="#000000" joinstyle="miter"/>
                      <v:imagedata o:title=""/>
                      <o:lock v:ext="edit" aspectratio="f"/>
                      <v:textbox>
                        <w:txbxContent>
                          <w:p>
                            <w:pPr>
                              <w:rPr>
                                <w:sz w:val="18"/>
                                <w:szCs w:val="18"/>
                              </w:rPr>
                            </w:pPr>
                            <w:r>
                              <w:rPr>
                                <w:rFonts w:hint="eastAsia"/>
                                <w:sz w:val="18"/>
                                <w:szCs w:val="18"/>
                              </w:rPr>
                              <w:t>接收样品、检验通知单</w:t>
                            </w:r>
                          </w:p>
                        </w:txbxContent>
                      </v:textbox>
                    </v:shape>
                  </w:pict>
                </mc:Fallback>
              </mc:AlternateContent>
            </w:r>
          </w:p>
          <w:p>
            <w:pPr>
              <w:spacing w:line="360" w:lineRule="auto"/>
              <w:ind w:firstLine="420" w:firstLineChars="200"/>
              <w:rPr>
                <w:kern w:val="21"/>
                <w:szCs w:val="21"/>
              </w:rPr>
            </w:pPr>
            <w:r>
              <mc:AlternateContent>
                <mc:Choice Requires="wps">
                  <w:drawing>
                    <wp:anchor distT="0" distB="0" distL="114300" distR="114300" simplePos="0" relativeHeight="251692032" behindDoc="0" locked="0" layoutInCell="1" allowOverlap="1">
                      <wp:simplePos x="0" y="0"/>
                      <wp:positionH relativeFrom="column">
                        <wp:posOffset>2576195</wp:posOffset>
                      </wp:positionH>
                      <wp:positionV relativeFrom="paragraph">
                        <wp:posOffset>152400</wp:posOffset>
                      </wp:positionV>
                      <wp:extent cx="635" cy="311150"/>
                      <wp:effectExtent l="48895" t="0" r="64770" b="12700"/>
                      <wp:wrapNone/>
                      <wp:docPr id="34" name="直线 84"/>
                      <wp:cNvGraphicFramePr/>
                      <a:graphic xmlns:a="http://schemas.openxmlformats.org/drawingml/2006/main">
                        <a:graphicData uri="http://schemas.microsoft.com/office/word/2010/wordprocessingShape">
                          <wps:wsp>
                            <wps:cNvCnPr/>
                            <wps:spPr>
                              <a:xfrm>
                                <a:off x="0" y="0"/>
                                <a:ext cx="635" cy="31115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84" o:spid="_x0000_s1026" o:spt="20" style="position:absolute;left:0pt;margin-left:202.85pt;margin-top:12pt;height:24.5pt;width:0.05pt;z-index:251692032;mso-width-relative:page;mso-height-relative:page;" filled="f" stroked="t" coordsize="21600,21600" o:gfxdata="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DSwLd7ZAAAACQEAAA8AAAAAAAAAAQAgAAAAIgAAAGRycy9kb3ducmV2LnhtbFBLAQIU&#10;ABQAAAAIAIdO4kCvaKa98gEAAN8DAAAOAAAAAAAAAAEAIAAAACgBAABkcnMvZTJvRG9jLnhtbFBL&#10;BQYAAAAABgAGAFkBAACMBQAAAAA=&#10;">
                      <v:fill on="f" focussize="0,0"/>
                      <v:stroke color="#000000" joinstyle="round" endarrow="open"/>
                      <v:imagedata o:title=""/>
                      <o:lock v:ext="edit" aspectratio="f"/>
                    </v:line>
                  </w:pict>
                </mc:Fallback>
              </mc:AlternateContent>
            </w:r>
          </w:p>
          <w:p>
            <w:pPr>
              <w:spacing w:line="360" w:lineRule="auto"/>
              <w:ind w:firstLine="420" w:firstLineChars="200"/>
              <w:rPr>
                <w:kern w:val="21"/>
                <w:szCs w:val="21"/>
              </w:rPr>
            </w:pPr>
          </w:p>
          <w:p>
            <w:pPr>
              <w:spacing w:line="360" w:lineRule="auto"/>
              <w:ind w:firstLine="420" w:firstLineChars="200"/>
              <w:rPr>
                <w:kern w:val="21"/>
                <w:szCs w:val="21"/>
              </w:rPr>
            </w:pPr>
            <w:r>
              <mc:AlternateContent>
                <mc:Choice Requires="wps">
                  <w:drawing>
                    <wp:anchor distT="0" distB="0" distL="114300" distR="114300" simplePos="0" relativeHeight="251687936" behindDoc="0" locked="0" layoutInCell="1" allowOverlap="1">
                      <wp:simplePos x="0" y="0"/>
                      <wp:positionH relativeFrom="column">
                        <wp:posOffset>3795395</wp:posOffset>
                      </wp:positionH>
                      <wp:positionV relativeFrom="paragraph">
                        <wp:posOffset>19685</wp:posOffset>
                      </wp:positionV>
                      <wp:extent cx="1162050" cy="292100"/>
                      <wp:effectExtent l="4445" t="4445" r="14605" b="8255"/>
                      <wp:wrapNone/>
                      <wp:docPr id="28" name="自选图形 61"/>
                      <wp:cNvGraphicFramePr/>
                      <a:graphic xmlns:a="http://schemas.openxmlformats.org/drawingml/2006/main">
                        <a:graphicData uri="http://schemas.microsoft.com/office/word/2010/wordprocessingShape">
                          <wps:wsp>
                            <wps:cNvSpPr/>
                            <wps:spPr>
                              <a:xfrm>
                                <a:off x="0" y="0"/>
                                <a:ext cx="1162050" cy="29210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18"/>
                                      <w:szCs w:val="18"/>
                                    </w:rPr>
                                  </w:pPr>
                                  <w:r>
                                    <w:rPr>
                                      <w:rFonts w:hint="eastAsia"/>
                                      <w:sz w:val="18"/>
                                      <w:szCs w:val="18"/>
                                    </w:rPr>
                                    <w:t>退回不合格品</w:t>
                                  </w:r>
                                </w:p>
                              </w:txbxContent>
                            </wps:txbx>
                            <wps:bodyPr upright="1"/>
                          </wps:wsp>
                        </a:graphicData>
                      </a:graphic>
                    </wp:anchor>
                  </w:drawing>
                </mc:Choice>
                <mc:Fallback>
                  <w:pict>
                    <v:shape id="自选图形 61" o:spid="_x0000_s1026" o:spt="109" type="#_x0000_t109" style="position:absolute;left:0pt;margin-left:298.85pt;margin-top:1.55pt;height:23pt;width:91.5pt;z-index:251687936;mso-width-relative:page;mso-height-relative:page;" fillcolor="#FFFFFF" filled="t" stroked="t" coordsize="21600,21600" o:gfxdata="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6BOdW9gAAAAIAQAADwAA&#10;AAAAAAABACAAAAAiAAAAZHJzL2Rvd25yZXYueG1sUEsBAhQAFAAAAAgAh07iQKNOB+gWAgAAPQQA&#10;AA4AAAAAAAAAAQAgAAAAJwEAAGRycy9lMm9Eb2MueG1sUEsFBgAAAAAGAAYAWQEAAK8FAAAAAA==&#10;">
                      <v:fill on="t" focussize="0,0"/>
                      <v:stroke color="#000000" joinstyle="miter"/>
                      <v:imagedata o:title=""/>
                      <o:lock v:ext="edit" aspectratio="f"/>
                      <v:textbox>
                        <w:txbxContent>
                          <w:p>
                            <w:pPr>
                              <w:jc w:val="center"/>
                              <w:rPr>
                                <w:sz w:val="18"/>
                                <w:szCs w:val="18"/>
                              </w:rPr>
                            </w:pPr>
                            <w:r>
                              <w:rPr>
                                <w:rFonts w:hint="eastAsia"/>
                                <w:sz w:val="18"/>
                                <w:szCs w:val="18"/>
                              </w:rPr>
                              <w:t>退回不合格品</w:t>
                            </w:r>
                          </w:p>
                        </w:txbxContent>
                      </v:textbox>
                    </v:shape>
                  </w:pict>
                </mc:Fallback>
              </mc:AlternateContent>
            </w:r>
            <w:r>
              <mc:AlternateContent>
                <mc:Choice Requires="wps">
                  <w:drawing>
                    <wp:anchor distT="0" distB="0" distL="114300" distR="114300" simplePos="0" relativeHeight="251685888" behindDoc="0" locked="0" layoutInCell="1" allowOverlap="1">
                      <wp:simplePos x="0" y="0"/>
                      <wp:positionH relativeFrom="column">
                        <wp:posOffset>3344545</wp:posOffset>
                      </wp:positionH>
                      <wp:positionV relativeFrom="paragraph">
                        <wp:posOffset>159385</wp:posOffset>
                      </wp:positionV>
                      <wp:extent cx="317500" cy="635"/>
                      <wp:effectExtent l="0" t="48895" r="6350" b="64770"/>
                      <wp:wrapNone/>
                      <wp:docPr id="26" name="直线 60"/>
                      <wp:cNvGraphicFramePr/>
                      <a:graphic xmlns:a="http://schemas.openxmlformats.org/drawingml/2006/main">
                        <a:graphicData uri="http://schemas.microsoft.com/office/word/2010/wordprocessingShape">
                          <wps:wsp>
                            <wps:cNvCnPr/>
                            <wps:spPr>
                              <a:xfrm>
                                <a:off x="0" y="0"/>
                                <a:ext cx="317500" cy="63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60" o:spid="_x0000_s1026" o:spt="20" style="position:absolute;left:0pt;margin-left:263.35pt;margin-top:12.55pt;height:0.05pt;width:25pt;z-index:251685888;mso-width-relative:page;mso-height-relative:page;" filled="f" stroked="t" coordsize="21600,21600" o:gfxdata="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3ULfD2AAAAAkBAAAPAAAAAAAAAAEAIAAAACIAAABkcnMvZG93bnJldi54bWxQSwECFAAUAAAA&#10;CACHTuJAsfKmi+4BAADfAwAADgAAAAAAAAABACAAAAAnAQAAZHJzL2Uyb0RvYy54bWxQSwUGAAAA&#10;AAYABgBZAQAAhwUAAAAA&#10;">
                      <v:fill on="f" focussize="0,0"/>
                      <v:stroke color="#000000" joinstyle="round" endarrow="open"/>
                      <v:imagedata o:title=""/>
                      <o:lock v:ext="edit" aspectratio="f"/>
                    </v:line>
                  </w:pict>
                </mc:Fallback>
              </mc:AlternateContent>
            </w:r>
            <w:r>
              <mc:AlternateContent>
                <mc:Choice Requires="wps">
                  <w:drawing>
                    <wp:anchor distT="0" distB="0" distL="114300" distR="114300" simplePos="0" relativeHeight="251682816" behindDoc="0" locked="0" layoutInCell="1" allowOverlap="1">
                      <wp:simplePos x="0" y="0"/>
                      <wp:positionH relativeFrom="column">
                        <wp:posOffset>1833245</wp:posOffset>
                      </wp:positionH>
                      <wp:positionV relativeFrom="paragraph">
                        <wp:posOffset>38735</wp:posOffset>
                      </wp:positionV>
                      <wp:extent cx="1498600" cy="260350"/>
                      <wp:effectExtent l="4445" t="5080" r="20955" b="20320"/>
                      <wp:wrapNone/>
                      <wp:docPr id="20" name="自选图形 59"/>
                      <wp:cNvGraphicFramePr/>
                      <a:graphic xmlns:a="http://schemas.openxmlformats.org/drawingml/2006/main">
                        <a:graphicData uri="http://schemas.microsoft.com/office/word/2010/wordprocessingShape">
                          <wps:wsp>
                            <wps:cNvSpPr/>
                            <wps:spPr>
                              <a:xfrm>
                                <a:off x="0" y="0"/>
                                <a:ext cx="1498600" cy="26035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18"/>
                                      <w:szCs w:val="18"/>
                                    </w:rPr>
                                  </w:pPr>
                                  <w:r>
                                    <w:rPr>
                                      <w:rFonts w:hint="eastAsia"/>
                                      <w:sz w:val="18"/>
                                      <w:szCs w:val="18"/>
                                    </w:rPr>
                                    <w:t>检查样品是否符合要求</w:t>
                                  </w:r>
                                </w:p>
                              </w:txbxContent>
                            </wps:txbx>
                            <wps:bodyPr upright="1"/>
                          </wps:wsp>
                        </a:graphicData>
                      </a:graphic>
                    </wp:anchor>
                  </w:drawing>
                </mc:Choice>
                <mc:Fallback>
                  <w:pict>
                    <v:shape id="自选图形 59" o:spid="_x0000_s1026" o:spt="109" type="#_x0000_t109" style="position:absolute;left:0pt;margin-left:144.35pt;margin-top:3.05pt;height:20.5pt;width:118pt;z-index:251682816;mso-width-relative:page;mso-height-relative:page;" fillcolor="#FFFFFF" filled="t" stroked="t" coordsize="21600,21600" o:gfxdata="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CrccOHXAAAACAEAAA8A&#10;AAAAAAAAAQAgAAAAIgAAAGRycy9kb3ducmV2LnhtbFBLAQIUABQAAAAIAIdO4kBqIgjWGAIAAD0E&#10;AAAOAAAAAAAAAAEAIAAAACYBAABkcnMvZTJvRG9jLnhtbFBLBQYAAAAABgAGAFkBAACwBQAAAAA=&#10;">
                      <v:fill on="t" focussize="0,0"/>
                      <v:stroke color="#000000" joinstyle="miter"/>
                      <v:imagedata o:title=""/>
                      <o:lock v:ext="edit" aspectratio="f"/>
                      <v:textbox>
                        <w:txbxContent>
                          <w:p>
                            <w:pPr>
                              <w:jc w:val="center"/>
                              <w:rPr>
                                <w:sz w:val="18"/>
                                <w:szCs w:val="18"/>
                              </w:rPr>
                            </w:pPr>
                            <w:r>
                              <w:rPr>
                                <w:rFonts w:hint="eastAsia"/>
                                <w:sz w:val="18"/>
                                <w:szCs w:val="18"/>
                              </w:rPr>
                              <w:t>检查样品是否符合要求</w:t>
                            </w:r>
                          </w:p>
                        </w:txbxContent>
                      </v:textbox>
                    </v:shape>
                  </w:pict>
                </mc:Fallback>
              </mc:AlternateContent>
            </w:r>
          </w:p>
          <w:p>
            <w:pPr>
              <w:spacing w:line="360" w:lineRule="auto"/>
              <w:ind w:firstLine="420" w:firstLineChars="200"/>
              <w:rPr>
                <w:kern w:val="21"/>
                <w:szCs w:val="21"/>
              </w:rPr>
            </w:pPr>
            <w:r>
              <mc:AlternateContent>
                <mc:Choice Requires="wps">
                  <w:drawing>
                    <wp:anchor distT="0" distB="0" distL="114300" distR="114300" simplePos="0" relativeHeight="251680768" behindDoc="0" locked="0" layoutInCell="1" allowOverlap="1">
                      <wp:simplePos x="0" y="0"/>
                      <wp:positionH relativeFrom="column">
                        <wp:posOffset>2607310</wp:posOffset>
                      </wp:positionH>
                      <wp:positionV relativeFrom="paragraph">
                        <wp:posOffset>76835</wp:posOffset>
                      </wp:positionV>
                      <wp:extent cx="9525" cy="417830"/>
                      <wp:effectExtent l="41275" t="0" r="63500" b="1270"/>
                      <wp:wrapNone/>
                      <wp:docPr id="19" name="直线 74"/>
                      <wp:cNvGraphicFramePr/>
                      <a:graphic xmlns:a="http://schemas.openxmlformats.org/drawingml/2006/main">
                        <a:graphicData uri="http://schemas.microsoft.com/office/word/2010/wordprocessingShape">
                          <wps:wsp>
                            <wps:cNvCnPr/>
                            <wps:spPr>
                              <a:xfrm>
                                <a:off x="0" y="0"/>
                                <a:ext cx="9525" cy="41783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74" o:spid="_x0000_s1026" o:spt="20" style="position:absolute;left:0pt;margin-left:205.3pt;margin-top:6.05pt;height:32.9pt;width:0.75pt;z-index:251680768;mso-width-relative:page;mso-height-relative:page;" filled="f" stroked="t" coordsize="21600,21600" o:gfxdata="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cKtl/NgAAAAJAQAADwAAAAAAAAABACAAAAAiAAAAZHJzL2Rvd25yZXYueG1sUEsBAhQAFAAA&#10;AAgAh07iQLETA13vAQAA4AMAAA4AAAAAAAAAAQAgAAAAJwEAAGRycy9lMm9Eb2MueG1sUEsFBgAA&#10;AAAGAAYAWQEAAIgFAAAAAA==&#10;">
                      <v:fill on="f" focussize="0,0"/>
                      <v:stroke color="#000000" joinstyle="round" endarrow="open"/>
                      <v:imagedata o:title=""/>
                      <o:lock v:ext="edit" aspectratio="f"/>
                    </v:line>
                  </w:pict>
                </mc:Fallback>
              </mc:AlternateContent>
            </w:r>
          </w:p>
          <w:p>
            <w:pPr>
              <w:spacing w:line="360" w:lineRule="auto"/>
              <w:ind w:firstLine="420" w:firstLineChars="200"/>
              <w:rPr>
                <w:kern w:val="21"/>
                <w:szCs w:val="21"/>
              </w:rPr>
            </w:pPr>
          </w:p>
          <w:p>
            <w:pPr>
              <w:spacing w:line="360" w:lineRule="auto"/>
              <w:ind w:firstLine="420" w:firstLineChars="200"/>
              <w:rPr>
                <w:kern w:val="21"/>
                <w:szCs w:val="21"/>
              </w:rPr>
            </w:pPr>
            <w:r>
              <mc:AlternateContent>
                <mc:Choice Requires="wps">
                  <w:drawing>
                    <wp:anchor distT="0" distB="0" distL="114300" distR="114300" simplePos="0" relativeHeight="251693056" behindDoc="0" locked="0" layoutInCell="1" allowOverlap="1">
                      <wp:simplePos x="0" y="0"/>
                      <wp:positionH relativeFrom="column">
                        <wp:posOffset>1851025</wp:posOffset>
                      </wp:positionH>
                      <wp:positionV relativeFrom="paragraph">
                        <wp:posOffset>53975</wp:posOffset>
                      </wp:positionV>
                      <wp:extent cx="1485265" cy="292100"/>
                      <wp:effectExtent l="4445" t="4445" r="15240" b="8255"/>
                      <wp:wrapNone/>
                      <wp:docPr id="35" name="自选图形 67"/>
                      <wp:cNvGraphicFramePr/>
                      <a:graphic xmlns:a="http://schemas.openxmlformats.org/drawingml/2006/main">
                        <a:graphicData uri="http://schemas.microsoft.com/office/word/2010/wordprocessingShape">
                          <wps:wsp>
                            <wps:cNvSpPr/>
                            <wps:spPr>
                              <a:xfrm>
                                <a:off x="0" y="0"/>
                                <a:ext cx="1485265" cy="29210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18"/>
                                      <w:szCs w:val="18"/>
                                    </w:rPr>
                                  </w:pPr>
                                  <w:r>
                                    <w:rPr>
                                      <w:rFonts w:hint="eastAsia"/>
                                      <w:sz w:val="18"/>
                                      <w:szCs w:val="18"/>
                                    </w:rPr>
                                    <w:t>血液、生化、免疫检测室</w:t>
                                  </w:r>
                                </w:p>
                              </w:txbxContent>
                            </wps:txbx>
                            <wps:bodyPr upright="1"/>
                          </wps:wsp>
                        </a:graphicData>
                      </a:graphic>
                    </wp:anchor>
                  </w:drawing>
                </mc:Choice>
                <mc:Fallback>
                  <w:pict>
                    <v:shape id="自选图形 67" o:spid="_x0000_s1026" o:spt="109" type="#_x0000_t109" style="position:absolute;left:0pt;margin-left:145.75pt;margin-top:4.25pt;height:23pt;width:116.95pt;z-index:251693056;mso-width-relative:page;mso-height-relative:page;" fillcolor="#FFFFFF" filled="t" stroked="t" coordsize="21600,21600" o:gfxdata="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OJ811fXAAAACAEAAA8A&#10;AAAAAAAAAQAgAAAAIgAAAGRycy9kb3ducmV2LnhtbFBLAQIUABQAAAAIAIdO4kCm6GqUGAIAAD0E&#10;AAAOAAAAAAAAAAEAIAAAACYBAABkcnMvZTJvRG9jLnhtbFBLBQYAAAAABgAGAFkBAACwBQAAAAA=&#10;">
                      <v:fill on="t" focussize="0,0"/>
                      <v:stroke color="#000000" joinstyle="miter"/>
                      <v:imagedata o:title=""/>
                      <o:lock v:ext="edit" aspectratio="f"/>
                      <v:textbox>
                        <w:txbxContent>
                          <w:p>
                            <w:pPr>
                              <w:jc w:val="center"/>
                              <w:rPr>
                                <w:sz w:val="18"/>
                                <w:szCs w:val="18"/>
                              </w:rPr>
                            </w:pPr>
                            <w:r>
                              <w:rPr>
                                <w:rFonts w:hint="eastAsia"/>
                                <w:sz w:val="18"/>
                                <w:szCs w:val="18"/>
                              </w:rPr>
                              <w:t>血液、生化、免疫检测室</w:t>
                            </w:r>
                          </w:p>
                        </w:txbxContent>
                      </v:textbox>
                    </v:shape>
                  </w:pict>
                </mc:Fallback>
              </mc:AlternateContent>
            </w:r>
          </w:p>
          <w:p>
            <w:pPr>
              <w:spacing w:line="360" w:lineRule="auto"/>
              <w:ind w:firstLine="420" w:firstLineChars="200"/>
              <w:rPr>
                <w:kern w:val="21"/>
                <w:szCs w:val="21"/>
              </w:rPr>
            </w:pPr>
            <w:r>
              <mc:AlternateContent>
                <mc:Choice Requires="wps">
                  <w:drawing>
                    <wp:anchor distT="0" distB="0" distL="114300" distR="114300" simplePos="0" relativeHeight="251683840" behindDoc="0" locked="0" layoutInCell="1" allowOverlap="1">
                      <wp:simplePos x="0" y="0"/>
                      <wp:positionH relativeFrom="column">
                        <wp:posOffset>2600960</wp:posOffset>
                      </wp:positionH>
                      <wp:positionV relativeFrom="paragraph">
                        <wp:posOffset>146050</wp:posOffset>
                      </wp:positionV>
                      <wp:extent cx="635" cy="298450"/>
                      <wp:effectExtent l="48895" t="0" r="64770" b="6350"/>
                      <wp:wrapNone/>
                      <wp:docPr id="22" name="直线 75"/>
                      <wp:cNvGraphicFramePr/>
                      <a:graphic xmlns:a="http://schemas.openxmlformats.org/drawingml/2006/main">
                        <a:graphicData uri="http://schemas.microsoft.com/office/word/2010/wordprocessingShape">
                          <wps:wsp>
                            <wps:cNvCnPr/>
                            <wps:spPr>
                              <a:xfrm>
                                <a:off x="0" y="0"/>
                                <a:ext cx="635" cy="29845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75" o:spid="_x0000_s1026" o:spt="20" style="position:absolute;left:0pt;margin-left:204.8pt;margin-top:11.5pt;height:23.5pt;width:0.05pt;z-index:251683840;mso-width-relative:page;mso-height-relative:page;" filled="f" stroked="t" coordsize="21600,21600" o:gfxdata="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IfanIvZAAAACQEAAA8AAAAAAAAAAQAgAAAAIgAAAGRycy9kb3ducmV2LnhtbFBLAQIU&#10;ABQAAAAIAIdO4kBsrJS+8gEAAN8DAAAOAAAAAAAAAAEAIAAAACgBAABkcnMvZTJvRG9jLnhtbFBL&#10;BQYAAAAABgAGAFkBAACMBQAAAAA=&#10;">
                      <v:fill on="f" focussize="0,0"/>
                      <v:stroke color="#000000" joinstyle="round" endarrow="open"/>
                      <v:imagedata o:title=""/>
                      <o:lock v:ext="edit" aspectratio="f"/>
                    </v:line>
                  </w:pict>
                </mc:Fallback>
              </mc:AlternateContent>
            </w:r>
          </w:p>
          <w:p>
            <w:pPr>
              <w:spacing w:line="360" w:lineRule="auto"/>
              <w:ind w:firstLine="420" w:firstLineChars="200"/>
              <w:rPr>
                <w:kern w:val="21"/>
                <w:szCs w:val="21"/>
              </w:rPr>
            </w:pPr>
            <w:r>
              <mc:AlternateContent>
                <mc:Choice Requires="wps">
                  <w:drawing>
                    <wp:anchor distT="0" distB="0" distL="114300" distR="114300" simplePos="0" relativeHeight="251694080" behindDoc="0" locked="0" layoutInCell="1" allowOverlap="1">
                      <wp:simplePos x="0" y="0"/>
                      <wp:positionH relativeFrom="column">
                        <wp:posOffset>1802130</wp:posOffset>
                      </wp:positionH>
                      <wp:positionV relativeFrom="paragraph">
                        <wp:posOffset>229870</wp:posOffset>
                      </wp:positionV>
                      <wp:extent cx="1504950" cy="292100"/>
                      <wp:effectExtent l="4445" t="4445" r="14605" b="8255"/>
                      <wp:wrapNone/>
                      <wp:docPr id="37" name="自选图形 68"/>
                      <wp:cNvGraphicFramePr/>
                      <a:graphic xmlns:a="http://schemas.openxmlformats.org/drawingml/2006/main">
                        <a:graphicData uri="http://schemas.microsoft.com/office/word/2010/wordprocessingShape">
                          <wps:wsp>
                            <wps:cNvSpPr/>
                            <wps:spPr>
                              <a:xfrm>
                                <a:off x="0" y="0"/>
                                <a:ext cx="1504950" cy="29210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18"/>
                                      <w:szCs w:val="18"/>
                                    </w:rPr>
                                  </w:pPr>
                                  <w:r>
                                    <w:rPr>
                                      <w:rFonts w:hint="eastAsia"/>
                                      <w:sz w:val="18"/>
                                      <w:szCs w:val="18"/>
                                    </w:rPr>
                                    <w:t>血液/血浆离心制备</w:t>
                                  </w:r>
                                </w:p>
                              </w:txbxContent>
                            </wps:txbx>
                            <wps:bodyPr upright="1"/>
                          </wps:wsp>
                        </a:graphicData>
                      </a:graphic>
                    </wp:anchor>
                  </w:drawing>
                </mc:Choice>
                <mc:Fallback>
                  <w:pict>
                    <v:shape id="自选图形 68" o:spid="_x0000_s1026" o:spt="109" type="#_x0000_t109" style="position:absolute;left:0pt;margin-left:141.9pt;margin-top:18.1pt;height:23pt;width:118.5pt;z-index:251694080;mso-width-relative:page;mso-height-relative:page;" fillcolor="#FFFFFF" filled="t" stroked="t" coordsize="21600,21600" o:gfxdata="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DekwYtgAAAAJAQAA&#10;DwAAAAAAAAABACAAAAAiAAAAZHJzL2Rvd25yZXYueG1sUEsBAhQAFAAAAAgAh07iQL39R6YZAgAA&#10;PQQAAA4AAAAAAAAAAQAgAAAAJwEAAGRycy9lMm9Eb2MueG1sUEsFBgAAAAAGAAYAWQEAALIFAAAA&#10;AA==&#10;">
                      <v:fill on="t" focussize="0,0"/>
                      <v:stroke color="#000000" joinstyle="miter"/>
                      <v:imagedata o:title=""/>
                      <o:lock v:ext="edit" aspectratio="f"/>
                      <v:textbox>
                        <w:txbxContent>
                          <w:p>
                            <w:pPr>
                              <w:jc w:val="center"/>
                              <w:rPr>
                                <w:sz w:val="18"/>
                                <w:szCs w:val="18"/>
                              </w:rPr>
                            </w:pPr>
                            <w:r>
                              <w:rPr>
                                <w:rFonts w:hint="eastAsia"/>
                                <w:sz w:val="18"/>
                                <w:szCs w:val="18"/>
                              </w:rPr>
                              <w:t>血液/血浆离心制备</w:t>
                            </w:r>
                          </w:p>
                        </w:txbxContent>
                      </v:textbox>
                    </v:shape>
                  </w:pict>
                </mc:Fallback>
              </mc:AlternateContent>
            </w:r>
          </w:p>
          <w:p>
            <w:pPr>
              <w:spacing w:line="360" w:lineRule="auto"/>
              <w:ind w:firstLine="420" w:firstLineChars="200"/>
              <w:rPr>
                <w:kern w:val="21"/>
                <w:szCs w:val="21"/>
              </w:rPr>
            </w:pPr>
          </w:p>
          <w:p>
            <w:pPr>
              <w:spacing w:line="360" w:lineRule="auto"/>
              <w:ind w:firstLine="420" w:firstLineChars="200"/>
              <w:rPr>
                <w:kern w:val="21"/>
                <w:szCs w:val="21"/>
              </w:rPr>
            </w:pPr>
            <w:r>
              <mc:AlternateContent>
                <mc:Choice Requires="wps">
                  <w:drawing>
                    <wp:anchor distT="0" distB="0" distL="114300" distR="114300" simplePos="0" relativeHeight="251686912" behindDoc="0" locked="0" layoutInCell="1" allowOverlap="1">
                      <wp:simplePos x="0" y="0"/>
                      <wp:positionH relativeFrom="column">
                        <wp:posOffset>2600960</wp:posOffset>
                      </wp:positionH>
                      <wp:positionV relativeFrom="paragraph">
                        <wp:posOffset>69215</wp:posOffset>
                      </wp:positionV>
                      <wp:extent cx="635" cy="533400"/>
                      <wp:effectExtent l="48895" t="0" r="64770" b="0"/>
                      <wp:wrapNone/>
                      <wp:docPr id="27" name="直线 76"/>
                      <wp:cNvGraphicFramePr/>
                      <a:graphic xmlns:a="http://schemas.openxmlformats.org/drawingml/2006/main">
                        <a:graphicData uri="http://schemas.microsoft.com/office/word/2010/wordprocessingShape">
                          <wps:wsp>
                            <wps:cNvCnPr/>
                            <wps:spPr>
                              <a:xfrm>
                                <a:off x="0" y="0"/>
                                <a:ext cx="635" cy="53340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76" o:spid="_x0000_s1026" o:spt="20" style="position:absolute;left:0pt;margin-left:204.8pt;margin-top:5.45pt;height:42pt;width:0.05pt;z-index:251686912;mso-width-relative:page;mso-height-relative:page;" filled="f" stroked="t" coordsize="21600,21600" o:gfxdata="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D/qkOtgAAAAJAQAADwAAAAAAAAABACAAAAAiAAAAZHJzL2Rvd25yZXYueG1sUEsBAhQA&#10;FAAAAAgAh07iQI+OcIjyAQAA3wMAAA4AAAAAAAAAAQAgAAAAJwEAAGRycy9lMm9Eb2MueG1sUEsF&#10;BgAAAAAGAAYAWQEAAIsFAAAAAA==&#10;">
                      <v:fill on="f" focussize="0,0"/>
                      <v:stroke color="#000000" joinstyle="round" endarrow="open"/>
                      <v:imagedata o:title=""/>
                      <o:lock v:ext="edit" aspectratio="f"/>
                    </v:line>
                  </w:pict>
                </mc:Fallback>
              </mc:AlternateContent>
            </w:r>
          </w:p>
          <w:p>
            <w:pPr>
              <w:spacing w:line="360" w:lineRule="auto"/>
              <w:ind w:firstLine="420" w:firstLineChars="200"/>
              <w:rPr>
                <w:kern w:val="21"/>
                <w:szCs w:val="21"/>
              </w:rPr>
            </w:pPr>
          </w:p>
          <w:p>
            <w:pPr>
              <w:spacing w:line="360" w:lineRule="auto"/>
              <w:ind w:firstLine="420" w:firstLineChars="200"/>
              <w:rPr>
                <w:kern w:val="21"/>
                <w:szCs w:val="21"/>
              </w:rPr>
            </w:pPr>
            <w:r>
              <mc:AlternateContent>
                <mc:Choice Requires="wps">
                  <w:drawing>
                    <wp:anchor distT="0" distB="0" distL="114300" distR="114300" simplePos="0" relativeHeight="251695104" behindDoc="0" locked="0" layoutInCell="1" allowOverlap="1">
                      <wp:simplePos x="0" y="0"/>
                      <wp:positionH relativeFrom="column">
                        <wp:posOffset>1852930</wp:posOffset>
                      </wp:positionH>
                      <wp:positionV relativeFrom="paragraph">
                        <wp:posOffset>147320</wp:posOffset>
                      </wp:positionV>
                      <wp:extent cx="1428750" cy="540385"/>
                      <wp:effectExtent l="4445" t="5080" r="14605" b="6985"/>
                      <wp:wrapNone/>
                      <wp:docPr id="38" name="自选图形 69"/>
                      <wp:cNvGraphicFramePr/>
                      <a:graphic xmlns:a="http://schemas.openxmlformats.org/drawingml/2006/main">
                        <a:graphicData uri="http://schemas.microsoft.com/office/word/2010/wordprocessingShape">
                          <wps:wsp>
                            <wps:cNvSpPr/>
                            <wps:spPr>
                              <a:xfrm>
                                <a:off x="0" y="0"/>
                                <a:ext cx="1428750" cy="540385"/>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18"/>
                                      <w:szCs w:val="18"/>
                                    </w:rPr>
                                  </w:pPr>
                                  <w:r>
                                    <w:rPr>
                                      <w:rFonts w:hint="eastAsia"/>
                                      <w:sz w:val="18"/>
                                      <w:szCs w:val="18"/>
                                    </w:rPr>
                                    <w:t>液相色谱串联质谱仪、化学发光仪、微量元素分析仪准备，试剂准备，质控</w:t>
                                  </w:r>
                                </w:p>
                              </w:txbxContent>
                            </wps:txbx>
                            <wps:bodyPr upright="1"/>
                          </wps:wsp>
                        </a:graphicData>
                      </a:graphic>
                    </wp:anchor>
                  </w:drawing>
                </mc:Choice>
                <mc:Fallback>
                  <w:pict>
                    <v:shape id="自选图形 69" o:spid="_x0000_s1026" o:spt="109" type="#_x0000_t109" style="position:absolute;left:0pt;margin-left:145.9pt;margin-top:11.6pt;height:42.55pt;width:112.5pt;z-index:251695104;mso-width-relative:page;mso-height-relative:page;" fillcolor="#FFFFFF" filled="t" stroked="t" coordsize="21600,21600" o:gfxdata="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D4Z+wPYAAAACgEAAA8A&#10;AAAAAAAAAQAgAAAAIgAAAGRycy9kb3ducmV2LnhtbFBLAQIUABQAAAAIAIdO4kCoCK3WFwIAAD0E&#10;AAAOAAAAAAAAAAEAIAAAACcBAABkcnMvZTJvRG9jLnhtbFBLBQYAAAAABgAGAFkBAACwBQAAAAA=&#10;">
                      <v:fill on="t" focussize="0,0"/>
                      <v:stroke color="#000000" joinstyle="miter"/>
                      <v:imagedata o:title=""/>
                      <o:lock v:ext="edit" aspectratio="f"/>
                      <v:textbox>
                        <w:txbxContent>
                          <w:p>
                            <w:pPr>
                              <w:jc w:val="center"/>
                              <w:rPr>
                                <w:sz w:val="18"/>
                                <w:szCs w:val="18"/>
                              </w:rPr>
                            </w:pPr>
                            <w:r>
                              <w:rPr>
                                <w:rFonts w:hint="eastAsia"/>
                                <w:sz w:val="18"/>
                                <w:szCs w:val="18"/>
                              </w:rPr>
                              <w:t>液相色谱串联质谱仪、化学发光仪、微量元素分析仪准备，试剂准备，质控</w:t>
                            </w:r>
                          </w:p>
                        </w:txbxContent>
                      </v:textbox>
                    </v:shape>
                  </w:pict>
                </mc:Fallback>
              </mc:AlternateContent>
            </w:r>
          </w:p>
          <w:p>
            <w:pPr>
              <w:spacing w:line="360" w:lineRule="auto"/>
              <w:ind w:firstLine="420" w:firstLineChars="200"/>
              <w:rPr>
                <w:kern w:val="21"/>
                <w:szCs w:val="21"/>
              </w:rPr>
            </w:pPr>
          </w:p>
          <w:p>
            <w:pPr>
              <w:spacing w:line="360" w:lineRule="auto"/>
              <w:ind w:firstLine="420" w:firstLineChars="200"/>
              <w:rPr>
                <w:kern w:val="21"/>
                <w:szCs w:val="21"/>
              </w:rPr>
            </w:pPr>
          </w:p>
          <w:p>
            <w:pPr>
              <w:spacing w:line="360" w:lineRule="auto"/>
              <w:ind w:firstLine="420" w:firstLineChars="200"/>
              <w:rPr>
                <w:kern w:val="21"/>
                <w:szCs w:val="21"/>
              </w:rPr>
            </w:pPr>
            <w:r>
              <mc:AlternateContent>
                <mc:Choice Requires="wps">
                  <w:drawing>
                    <wp:anchor distT="0" distB="0" distL="114300" distR="114300" simplePos="0" relativeHeight="251688960" behindDoc="0" locked="0" layoutInCell="1" allowOverlap="1">
                      <wp:simplePos x="0" y="0"/>
                      <wp:positionH relativeFrom="column">
                        <wp:posOffset>2597150</wp:posOffset>
                      </wp:positionH>
                      <wp:positionV relativeFrom="paragraph">
                        <wp:posOffset>17145</wp:posOffset>
                      </wp:positionV>
                      <wp:extent cx="635" cy="273050"/>
                      <wp:effectExtent l="48895" t="0" r="64770" b="12700"/>
                      <wp:wrapNone/>
                      <wp:docPr id="29" name="直线 77"/>
                      <wp:cNvGraphicFramePr/>
                      <a:graphic xmlns:a="http://schemas.openxmlformats.org/drawingml/2006/main">
                        <a:graphicData uri="http://schemas.microsoft.com/office/word/2010/wordprocessingShape">
                          <wps:wsp>
                            <wps:cNvCnPr/>
                            <wps:spPr>
                              <a:xfrm>
                                <a:off x="0" y="0"/>
                                <a:ext cx="635" cy="27305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77" o:spid="_x0000_s1026" o:spt="20" style="position:absolute;left:0pt;margin-left:204.5pt;margin-top:1.35pt;height:21.5pt;width:0.05pt;z-index:251688960;mso-width-relative:page;mso-height-relative:page;" filled="f" stroked="t" coordsize="21600,21600" o:gfxdata="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MYMhUdgAAAAIAQAADwAAAAAAAAABACAAAAAiAAAAZHJzL2Rvd25yZXYueG1sUEsBAhQA&#10;FAAAAAgAh07iQF7dw1fyAQAA3wMAAA4AAAAAAAAAAQAgAAAAJwEAAGRycy9lMm9Eb2MueG1sUEsF&#10;BgAAAAAGAAYAWQEAAIsFAAAAAA==&#10;">
                      <v:fill on="f" focussize="0,0"/>
                      <v:stroke color="#000000" joinstyle="round" endarrow="open"/>
                      <v:imagedata o:title=""/>
                      <o:lock v:ext="edit" aspectratio="f"/>
                    </v:line>
                  </w:pict>
                </mc:Fallback>
              </mc:AlternateContent>
            </w:r>
          </w:p>
          <w:p>
            <w:pPr>
              <w:spacing w:line="360" w:lineRule="auto"/>
              <w:ind w:firstLine="420" w:firstLineChars="200"/>
              <w:rPr>
                <w:kern w:val="21"/>
                <w:szCs w:val="21"/>
              </w:rPr>
            </w:pPr>
            <w:r>
              <mc:AlternateContent>
                <mc:Choice Requires="wps">
                  <w:drawing>
                    <wp:anchor distT="0" distB="0" distL="114300" distR="114300" simplePos="0" relativeHeight="251699200" behindDoc="0" locked="0" layoutInCell="1" allowOverlap="1">
                      <wp:simplePos x="0" y="0"/>
                      <wp:positionH relativeFrom="column">
                        <wp:posOffset>1094740</wp:posOffset>
                      </wp:positionH>
                      <wp:positionV relativeFrom="paragraph">
                        <wp:posOffset>27305</wp:posOffset>
                      </wp:positionV>
                      <wp:extent cx="654685" cy="411480"/>
                      <wp:effectExtent l="4445" t="5080" r="7620" b="21590"/>
                      <wp:wrapNone/>
                      <wp:docPr id="45" name="自选图形 90"/>
                      <wp:cNvGraphicFramePr/>
                      <a:graphic xmlns:a="http://schemas.openxmlformats.org/drawingml/2006/main">
                        <a:graphicData uri="http://schemas.microsoft.com/office/word/2010/wordprocessingShape">
                          <wps:wsp>
                            <wps:cNvSpPr/>
                            <wps:spPr>
                              <a:xfrm>
                                <a:off x="0" y="0"/>
                                <a:ext cx="654685" cy="41148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18"/>
                                      <w:szCs w:val="18"/>
                                    </w:rPr>
                                  </w:pPr>
                                  <w:r>
                                    <w:rPr>
                                      <w:rFonts w:hint="eastAsia"/>
                                      <w:sz w:val="18"/>
                                      <w:szCs w:val="18"/>
                                    </w:rPr>
                                    <w:t>试剂盒</w:t>
                                  </w:r>
                                </w:p>
                                <w:p>
                                  <w:pPr>
                                    <w:jc w:val="center"/>
                                    <w:rPr>
                                      <w:sz w:val="18"/>
                                      <w:szCs w:val="18"/>
                                    </w:rPr>
                                  </w:pPr>
                                  <w:r>
                                    <w:rPr>
                                      <w:rFonts w:hint="eastAsia"/>
                                      <w:sz w:val="18"/>
                                      <w:szCs w:val="18"/>
                                    </w:rPr>
                                    <w:t>废液</w:t>
                                  </w:r>
                                </w:p>
                              </w:txbxContent>
                            </wps:txbx>
                            <wps:bodyPr upright="1"/>
                          </wps:wsp>
                        </a:graphicData>
                      </a:graphic>
                    </wp:anchor>
                  </w:drawing>
                </mc:Choice>
                <mc:Fallback>
                  <w:pict>
                    <v:shape id="自选图形 90" o:spid="_x0000_s1026" o:spt="109" type="#_x0000_t109" style="position:absolute;left:0pt;margin-left:86.2pt;margin-top:2.15pt;height:32.4pt;width:51.55pt;z-index:251699200;mso-width-relative:page;mso-height-relative:page;" fillcolor="#FFFFFF" filled="t" stroked="t" coordsize="21600,21600" o:gfxdata="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JpOQz3YAAAACAEAAA8AAAAA&#10;AAAAAQAgAAAAIgAAAGRycy9kb3ducmV2LnhtbFBLAQIUABQAAAAIAIdO4kCohMKNFAIAADwEAAAO&#10;AAAAAAAAAAEAIAAAACcBAABkcnMvZTJvRG9jLnhtbFBLBQYAAAAABgAGAFkBAACtBQAAAAA=&#10;">
                      <v:fill on="t" focussize="0,0"/>
                      <v:stroke color="#000000" joinstyle="miter"/>
                      <v:imagedata o:title=""/>
                      <o:lock v:ext="edit" aspectratio="f"/>
                      <v:textbox>
                        <w:txbxContent>
                          <w:p>
                            <w:pPr>
                              <w:jc w:val="center"/>
                              <w:rPr>
                                <w:sz w:val="18"/>
                                <w:szCs w:val="18"/>
                              </w:rPr>
                            </w:pPr>
                            <w:r>
                              <w:rPr>
                                <w:rFonts w:hint="eastAsia"/>
                                <w:sz w:val="18"/>
                                <w:szCs w:val="18"/>
                              </w:rPr>
                              <w:t>试剂盒</w:t>
                            </w:r>
                          </w:p>
                          <w:p>
                            <w:pPr>
                              <w:jc w:val="center"/>
                              <w:rPr>
                                <w:sz w:val="18"/>
                                <w:szCs w:val="18"/>
                              </w:rPr>
                            </w:pPr>
                            <w:r>
                              <w:rPr>
                                <w:rFonts w:hint="eastAsia"/>
                                <w:sz w:val="18"/>
                                <w:szCs w:val="18"/>
                              </w:rPr>
                              <w:t>废液</w:t>
                            </w:r>
                          </w:p>
                        </w:txbxContent>
                      </v:textbox>
                    </v:shap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2023745</wp:posOffset>
                      </wp:positionH>
                      <wp:positionV relativeFrom="paragraph">
                        <wp:posOffset>68580</wp:posOffset>
                      </wp:positionV>
                      <wp:extent cx="1162050" cy="292100"/>
                      <wp:effectExtent l="4445" t="4445" r="14605" b="8255"/>
                      <wp:wrapNone/>
                      <wp:docPr id="40" name="自选图形 70"/>
                      <wp:cNvGraphicFramePr/>
                      <a:graphic xmlns:a="http://schemas.openxmlformats.org/drawingml/2006/main">
                        <a:graphicData uri="http://schemas.microsoft.com/office/word/2010/wordprocessingShape">
                          <wps:wsp>
                            <wps:cNvSpPr/>
                            <wps:spPr>
                              <a:xfrm>
                                <a:off x="0" y="0"/>
                                <a:ext cx="1162050" cy="29210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18"/>
                                      <w:szCs w:val="18"/>
                                    </w:rPr>
                                  </w:pPr>
                                  <w:r>
                                    <w:rPr>
                                      <w:rFonts w:hint="eastAsia"/>
                                      <w:sz w:val="18"/>
                                      <w:szCs w:val="18"/>
                                    </w:rPr>
                                    <w:t>样品上仪器检测</w:t>
                                  </w:r>
                                </w:p>
                              </w:txbxContent>
                            </wps:txbx>
                            <wps:bodyPr upright="1"/>
                          </wps:wsp>
                        </a:graphicData>
                      </a:graphic>
                    </wp:anchor>
                  </w:drawing>
                </mc:Choice>
                <mc:Fallback>
                  <w:pict>
                    <v:shape id="自选图形 70" o:spid="_x0000_s1026" o:spt="109" type="#_x0000_t109" style="position:absolute;left:0pt;margin-left:159.35pt;margin-top:5.4pt;height:23pt;width:91.5pt;z-index:251696128;mso-width-relative:page;mso-height-relative:page;" fillcolor="#FFFFFF" filled="t" stroked="t" coordsize="21600,21600" o:gfxdata="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L1r362AAAAAkBAAAPAAAA&#10;AAAAAAEAIAAAACIAAABkcnMvZG93bnJldi54bWxQSwECFAAUAAAACACHTuJADY3o9BUCAAA9BAAA&#10;DgAAAAAAAAABACAAAAAnAQAAZHJzL2Uyb0RvYy54bWxQSwUGAAAAAAYABgBZAQAArgUAAAAA&#10;">
                      <v:fill on="t" focussize="0,0"/>
                      <v:stroke color="#000000" joinstyle="miter"/>
                      <v:imagedata o:title=""/>
                      <o:lock v:ext="edit" aspectratio="f"/>
                      <v:textbox>
                        <w:txbxContent>
                          <w:p>
                            <w:pPr>
                              <w:jc w:val="center"/>
                              <w:rPr>
                                <w:sz w:val="18"/>
                                <w:szCs w:val="18"/>
                              </w:rPr>
                            </w:pPr>
                            <w:r>
                              <w:rPr>
                                <w:rFonts w:hint="eastAsia"/>
                                <w:sz w:val="18"/>
                                <w:szCs w:val="18"/>
                              </w:rPr>
                              <w:t>样品上仪器检测</w:t>
                            </w:r>
                          </w:p>
                        </w:txbxContent>
                      </v:textbox>
                    </v:shape>
                  </w:pict>
                </mc:Fallback>
              </mc:AlternateContent>
            </w:r>
          </w:p>
          <w:p>
            <w:pPr>
              <w:spacing w:line="360" w:lineRule="auto"/>
              <w:ind w:firstLine="420" w:firstLineChars="200"/>
              <w:rPr>
                <w:kern w:val="21"/>
                <w:szCs w:val="21"/>
              </w:rPr>
            </w:pPr>
            <w:r>
              <mc:AlternateContent>
                <mc:Choice Requires="wps">
                  <w:drawing>
                    <wp:anchor distT="0" distB="0" distL="114300" distR="114300" simplePos="0" relativeHeight="251689984" behindDoc="0" locked="0" layoutInCell="1" allowOverlap="1">
                      <wp:simplePos x="0" y="0"/>
                      <wp:positionH relativeFrom="column">
                        <wp:posOffset>2590800</wp:posOffset>
                      </wp:positionH>
                      <wp:positionV relativeFrom="paragraph">
                        <wp:posOffset>154305</wp:posOffset>
                      </wp:positionV>
                      <wp:extent cx="635" cy="298450"/>
                      <wp:effectExtent l="48895" t="0" r="64770" b="6350"/>
                      <wp:wrapNone/>
                      <wp:docPr id="31" name="直线 78"/>
                      <wp:cNvGraphicFramePr/>
                      <a:graphic xmlns:a="http://schemas.openxmlformats.org/drawingml/2006/main">
                        <a:graphicData uri="http://schemas.microsoft.com/office/word/2010/wordprocessingShape">
                          <wps:wsp>
                            <wps:cNvCnPr/>
                            <wps:spPr>
                              <a:xfrm>
                                <a:off x="0" y="0"/>
                                <a:ext cx="635" cy="29845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78" o:spid="_x0000_s1026" o:spt="20" style="position:absolute;left:0pt;margin-left:204pt;margin-top:12.15pt;height:23.5pt;width:0.05pt;z-index:251689984;mso-width-relative:page;mso-height-relative:page;" filled="f" stroked="t" coordsize="21600,21600" o:gfxdata="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Ns9f/ZAAAACQEAAA8AAAAAAAAAAQAgAAAAIgAAAGRycy9kb3ducmV2LnhtbFBLAQIU&#10;ABQAAAAIAIdO4kBKc4Tx8gEAAN8DAAAOAAAAAAAAAAEAIAAAACgBAABkcnMvZTJvRG9jLnhtbFBL&#10;BQYAAAAABgAGAFkBAACMBQAAAAA=&#10;">
                      <v:fill on="f" focussize="0,0"/>
                      <v:stroke color="#000000" joinstyle="round" endarrow="open"/>
                      <v:imagedata o:title=""/>
                      <o:lock v:ext="edit" aspectratio="f"/>
                    </v:line>
                  </w:pict>
                </mc:Fallback>
              </mc:AlternateContent>
            </w:r>
            <w:r>
              <mc:AlternateContent>
                <mc:Choice Requires="wps">
                  <w:drawing>
                    <wp:anchor distT="0" distB="0" distL="114300" distR="114300" simplePos="0" relativeHeight="251684864" behindDoc="0" locked="0" layoutInCell="1" allowOverlap="1">
                      <wp:simplePos x="0" y="0"/>
                      <wp:positionH relativeFrom="column">
                        <wp:posOffset>1765300</wp:posOffset>
                      </wp:positionH>
                      <wp:positionV relativeFrom="paragraph">
                        <wp:posOffset>10160</wp:posOffset>
                      </wp:positionV>
                      <wp:extent cx="209550" cy="635"/>
                      <wp:effectExtent l="0" t="48895" r="0" b="64770"/>
                      <wp:wrapNone/>
                      <wp:docPr id="25" name="直线 89"/>
                      <wp:cNvGraphicFramePr/>
                      <a:graphic xmlns:a="http://schemas.openxmlformats.org/drawingml/2006/main">
                        <a:graphicData uri="http://schemas.microsoft.com/office/word/2010/wordprocessingShape">
                          <wps:wsp>
                            <wps:cNvCnPr/>
                            <wps:spPr>
                              <a:xfrm flipH="1">
                                <a:off x="0" y="0"/>
                                <a:ext cx="209550" cy="635"/>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89" o:spid="_x0000_s1026" o:spt="20" style="position:absolute;left:0pt;flip:x;margin-left:139pt;margin-top:0.8pt;height:0.05pt;width:16.5pt;z-index:251684864;mso-width-relative:page;mso-height-relative:page;" filled="f" stroked="t" coordsize="21600,21600" o:gfxdata="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O2OTPUAAAABwEAAA8AAAAAAAAAAQAgAAAAIgAAAGRycy9kb3ducmV2LnhtbFBLAQIU&#10;ABQAAAAIAIdO4kAz3vu09wEAAOkDAAAOAAAAAAAAAAEAIAAAACMBAABkcnMvZTJvRG9jLnhtbFBL&#10;BQYAAAAABgAGAFkBAACMBQAAAAA=&#10;">
                      <v:fill on="f" focussize="0,0"/>
                      <v:stroke color="#000000" joinstyle="round" endarrow="open"/>
                      <v:imagedata o:title=""/>
                      <o:lock v:ext="edit" aspectratio="f"/>
                    </v:line>
                  </w:pict>
                </mc:Fallback>
              </mc:AlternateContent>
            </w:r>
          </w:p>
          <w:p>
            <w:pPr>
              <w:spacing w:line="360" w:lineRule="auto"/>
              <w:ind w:firstLine="420" w:firstLineChars="200"/>
              <w:rPr>
                <w:kern w:val="21"/>
                <w:szCs w:val="21"/>
              </w:rPr>
            </w:pPr>
          </w:p>
          <w:p>
            <w:pPr>
              <w:spacing w:line="360" w:lineRule="auto"/>
              <w:ind w:firstLine="420" w:firstLineChars="200"/>
              <w:rPr>
                <w:kern w:val="21"/>
                <w:szCs w:val="21"/>
              </w:rPr>
            </w:pPr>
            <w:r>
              <mc:AlternateContent>
                <mc:Choice Requires="wps">
                  <w:drawing>
                    <wp:anchor distT="0" distB="0" distL="114300" distR="114300" simplePos="0" relativeHeight="251697152" behindDoc="0" locked="0" layoutInCell="1" allowOverlap="1">
                      <wp:simplePos x="0" y="0"/>
                      <wp:positionH relativeFrom="column">
                        <wp:posOffset>1930400</wp:posOffset>
                      </wp:positionH>
                      <wp:positionV relativeFrom="paragraph">
                        <wp:posOffset>1270</wp:posOffset>
                      </wp:positionV>
                      <wp:extent cx="1263015" cy="292100"/>
                      <wp:effectExtent l="4445" t="4445" r="8890" b="8255"/>
                      <wp:wrapNone/>
                      <wp:docPr id="41" name="自选图形 71"/>
                      <wp:cNvGraphicFramePr/>
                      <a:graphic xmlns:a="http://schemas.openxmlformats.org/drawingml/2006/main">
                        <a:graphicData uri="http://schemas.microsoft.com/office/word/2010/wordprocessingShape">
                          <wps:wsp>
                            <wps:cNvSpPr/>
                            <wps:spPr>
                              <a:xfrm>
                                <a:off x="0" y="0"/>
                                <a:ext cx="1263015" cy="29210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18"/>
                                      <w:szCs w:val="18"/>
                                    </w:rPr>
                                  </w:pPr>
                                  <w:r>
                                    <w:rPr>
                                      <w:rFonts w:hint="eastAsia"/>
                                      <w:sz w:val="18"/>
                                      <w:szCs w:val="18"/>
                                    </w:rPr>
                                    <w:t>审核及填写原始记录</w:t>
                                  </w:r>
                                </w:p>
                              </w:txbxContent>
                            </wps:txbx>
                            <wps:bodyPr upright="1"/>
                          </wps:wsp>
                        </a:graphicData>
                      </a:graphic>
                    </wp:anchor>
                  </w:drawing>
                </mc:Choice>
                <mc:Fallback>
                  <w:pict>
                    <v:shape id="自选图形 71" o:spid="_x0000_s1026" o:spt="109" type="#_x0000_t109" style="position:absolute;left:0pt;margin-left:152pt;margin-top:0.1pt;height:23pt;width:99.45pt;z-index:251697152;mso-width-relative:page;mso-height-relative:page;" fillcolor="#FFFFFF" filled="t" stroked="t" coordsize="21600,21600" o:gfxdata="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3QsMJtcAAAAHAQAADwAA&#10;AAAAAAABACAAAAAiAAAAZHJzL2Rvd25yZXYueG1sUEsBAhQAFAAAAAgAh07iQIxpxCgXAgAAPQQA&#10;AA4AAAAAAAAAAQAgAAAAJgEAAGRycy9lMm9Eb2MueG1sUEsFBgAAAAAGAAYAWQEAAK8FAAAAAA==&#10;">
                      <v:fill on="t" focussize="0,0"/>
                      <v:stroke color="#000000" joinstyle="miter"/>
                      <v:imagedata o:title=""/>
                      <o:lock v:ext="edit" aspectratio="f"/>
                      <v:textbox>
                        <w:txbxContent>
                          <w:p>
                            <w:pPr>
                              <w:jc w:val="center"/>
                              <w:rPr>
                                <w:sz w:val="18"/>
                                <w:szCs w:val="18"/>
                              </w:rPr>
                            </w:pPr>
                            <w:r>
                              <w:rPr>
                                <w:rFonts w:hint="eastAsia"/>
                                <w:sz w:val="18"/>
                                <w:szCs w:val="18"/>
                              </w:rPr>
                              <w:t>审核及填写原始记录</w:t>
                            </w:r>
                          </w:p>
                        </w:txbxContent>
                      </v:textbox>
                    </v:shape>
                  </w:pict>
                </mc:Fallback>
              </mc:AlternateContent>
            </w:r>
          </w:p>
          <w:p>
            <w:pPr>
              <w:spacing w:line="360" w:lineRule="auto"/>
              <w:ind w:firstLine="420" w:firstLineChars="200"/>
              <w:rPr>
                <w:kern w:val="21"/>
                <w:szCs w:val="21"/>
              </w:rPr>
            </w:pPr>
            <w:r>
              <mc:AlternateContent>
                <mc:Choice Requires="wps">
                  <w:drawing>
                    <wp:anchor distT="0" distB="0" distL="114300" distR="114300" simplePos="0" relativeHeight="251691008" behindDoc="0" locked="0" layoutInCell="1" allowOverlap="1">
                      <wp:simplePos x="0" y="0"/>
                      <wp:positionH relativeFrom="column">
                        <wp:posOffset>2585085</wp:posOffset>
                      </wp:positionH>
                      <wp:positionV relativeFrom="paragraph">
                        <wp:posOffset>93345</wp:posOffset>
                      </wp:positionV>
                      <wp:extent cx="635" cy="349250"/>
                      <wp:effectExtent l="48895" t="0" r="64770" b="12700"/>
                      <wp:wrapNone/>
                      <wp:docPr id="32" name="直线 79"/>
                      <wp:cNvGraphicFramePr/>
                      <a:graphic xmlns:a="http://schemas.openxmlformats.org/drawingml/2006/main">
                        <a:graphicData uri="http://schemas.microsoft.com/office/word/2010/wordprocessingShape">
                          <wps:wsp>
                            <wps:cNvCnPr/>
                            <wps:spPr>
                              <a:xfrm>
                                <a:off x="0" y="0"/>
                                <a:ext cx="635" cy="349250"/>
                              </a:xfrm>
                              <a:prstGeom prst="line">
                                <a:avLst/>
                              </a:prstGeom>
                              <a:ln w="9525" cap="flat" cmpd="sng">
                                <a:solidFill>
                                  <a:srgbClr val="000000"/>
                                </a:solidFill>
                                <a:prstDash val="solid"/>
                                <a:headEnd type="none" w="med" len="med"/>
                                <a:tailEnd type="arrow" w="med" len="med"/>
                              </a:ln>
                            </wps:spPr>
                            <wps:bodyPr upright="1"/>
                          </wps:wsp>
                        </a:graphicData>
                      </a:graphic>
                    </wp:anchor>
                  </w:drawing>
                </mc:Choice>
                <mc:Fallback>
                  <w:pict>
                    <v:line id="直线 79" o:spid="_x0000_s1026" o:spt="20" style="position:absolute;left:0pt;margin-left:203.55pt;margin-top:7.35pt;height:27.5pt;width:0.05pt;z-index:251691008;mso-width-relative:page;mso-height-relative:page;" filled="f" stroked="t" coordsize="21600,21600" o:gfxdata="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Hbm2DHZAAAACQEAAA8AAAAAAAAAAQAgAAAAIgAAAGRycy9kb3ducmV2LnhtbFBLAQIU&#10;ABQAAAAIAIdO4kAF+1xw8gEAAN8DAAAOAAAAAAAAAAEAIAAAACgBAABkcnMvZTJvRG9jLnhtbFBL&#10;BQYAAAAABgAGAFkBAACMBQAAAAA=&#10;">
                      <v:fill on="f" focussize="0,0"/>
                      <v:stroke color="#000000" joinstyle="round" endarrow="open"/>
                      <v:imagedata o:title=""/>
                      <o:lock v:ext="edit" aspectratio="f"/>
                    </v:line>
                  </w:pict>
                </mc:Fallback>
              </mc:AlternateContent>
            </w:r>
          </w:p>
          <w:p>
            <w:pPr>
              <w:spacing w:line="360" w:lineRule="auto"/>
              <w:ind w:firstLine="420" w:firstLineChars="200"/>
              <w:rPr>
                <w:kern w:val="21"/>
                <w:szCs w:val="21"/>
              </w:rPr>
            </w:pPr>
          </w:p>
          <w:p>
            <w:pPr>
              <w:spacing w:line="360" w:lineRule="auto"/>
              <w:ind w:firstLine="420" w:firstLineChars="200"/>
              <w:rPr>
                <w:kern w:val="21"/>
                <w:szCs w:val="21"/>
              </w:rPr>
            </w:pPr>
            <w:r>
              <mc:AlternateContent>
                <mc:Choice Requires="wps">
                  <w:drawing>
                    <wp:anchor distT="0" distB="0" distL="114300" distR="114300" simplePos="0" relativeHeight="251698176" behindDoc="0" locked="0" layoutInCell="1" allowOverlap="1">
                      <wp:simplePos x="0" y="0"/>
                      <wp:positionH relativeFrom="column">
                        <wp:posOffset>1971675</wp:posOffset>
                      </wp:positionH>
                      <wp:positionV relativeFrom="paragraph">
                        <wp:posOffset>5715</wp:posOffset>
                      </wp:positionV>
                      <wp:extent cx="1162050" cy="292100"/>
                      <wp:effectExtent l="4445" t="4445" r="14605" b="8255"/>
                      <wp:wrapNone/>
                      <wp:docPr id="44" name="自选图形 72"/>
                      <wp:cNvGraphicFramePr/>
                      <a:graphic xmlns:a="http://schemas.openxmlformats.org/drawingml/2006/main">
                        <a:graphicData uri="http://schemas.microsoft.com/office/word/2010/wordprocessingShape">
                          <wps:wsp>
                            <wps:cNvSpPr/>
                            <wps:spPr>
                              <a:xfrm>
                                <a:off x="0" y="0"/>
                                <a:ext cx="1162050" cy="29210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18"/>
                                      <w:szCs w:val="18"/>
                                    </w:rPr>
                                  </w:pPr>
                                  <w:r>
                                    <w:rPr>
                                      <w:rFonts w:hint="eastAsia"/>
                                      <w:sz w:val="18"/>
                                      <w:szCs w:val="18"/>
                                    </w:rPr>
                                    <w:t>出具检验结果</w:t>
                                  </w:r>
                                </w:p>
                              </w:txbxContent>
                            </wps:txbx>
                            <wps:bodyPr upright="1"/>
                          </wps:wsp>
                        </a:graphicData>
                      </a:graphic>
                    </wp:anchor>
                  </w:drawing>
                </mc:Choice>
                <mc:Fallback>
                  <w:pict>
                    <v:shape id="自选图形 72" o:spid="_x0000_s1026" o:spt="109" type="#_x0000_t109" style="position:absolute;left:0pt;margin-left:155.25pt;margin-top:0.45pt;height:23pt;width:91.5pt;z-index:251698176;mso-width-relative:page;mso-height-relative:page;" fillcolor="#FFFFFF" filled="t" stroked="t" coordsize="21600,21600" o:gfxdata="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CedLG7XAAAABwEAAA8A&#10;AAAAAAAAAQAgAAAAIgAAAGRycy9kb3ducmV2LnhtbFBLAQIUABQAAAAIAIdO4kDkl5ILGAIAAD0E&#10;AAAOAAAAAAAAAAEAIAAAACYBAABkcnMvZTJvRG9jLnhtbFBLBQYAAAAABgAGAFkBAACwBQAAAAA=&#10;">
                      <v:fill on="t" focussize="0,0"/>
                      <v:stroke color="#000000" joinstyle="miter"/>
                      <v:imagedata o:title=""/>
                      <o:lock v:ext="edit" aspectratio="f"/>
                      <v:textbox>
                        <w:txbxContent>
                          <w:p>
                            <w:pPr>
                              <w:jc w:val="center"/>
                              <w:rPr>
                                <w:sz w:val="18"/>
                                <w:szCs w:val="18"/>
                              </w:rPr>
                            </w:pPr>
                            <w:r>
                              <w:rPr>
                                <w:rFonts w:hint="eastAsia"/>
                                <w:sz w:val="18"/>
                                <w:szCs w:val="18"/>
                              </w:rPr>
                              <w:t>出具检验结果</w:t>
                            </w:r>
                          </w:p>
                        </w:txbxContent>
                      </v:textbox>
                    </v:shape>
                  </w:pict>
                </mc:Fallback>
              </mc:AlternateContent>
            </w:r>
          </w:p>
          <w:p>
            <w:pPr>
              <w:spacing w:line="360" w:lineRule="auto"/>
              <w:ind w:firstLine="420" w:firstLineChars="200"/>
              <w:rPr>
                <w:kern w:val="21"/>
                <w:szCs w:val="21"/>
              </w:rPr>
            </w:pPr>
          </w:p>
          <w:p>
            <w:pPr>
              <w:spacing w:line="360" w:lineRule="auto"/>
              <w:ind w:firstLine="420" w:firstLineChars="200"/>
              <w:rPr>
                <w:kern w:val="21"/>
                <w:szCs w:val="21"/>
              </w:rPr>
            </w:pPr>
          </w:p>
          <w:p>
            <w:pPr>
              <w:spacing w:line="360" w:lineRule="auto"/>
              <w:ind w:firstLine="420" w:firstLineChars="200"/>
              <w:rPr>
                <w:kern w:val="21"/>
                <w:szCs w:val="21"/>
              </w:rPr>
            </w:pPr>
          </w:p>
          <w:p>
            <w:pPr>
              <w:spacing w:line="360" w:lineRule="auto"/>
              <w:ind w:firstLine="420" w:firstLineChars="200"/>
              <w:rPr>
                <w:kern w:val="21"/>
                <w:szCs w:val="21"/>
              </w:rPr>
            </w:pPr>
          </w:p>
          <w:p>
            <w:pPr>
              <w:spacing w:line="360" w:lineRule="auto"/>
              <w:ind w:firstLine="420" w:firstLineChars="200"/>
              <w:rPr>
                <w:kern w:val="21"/>
                <w:szCs w:val="21"/>
              </w:rPr>
            </w:pPr>
          </w:p>
          <w:p>
            <w:pPr>
              <w:spacing w:line="360" w:lineRule="auto"/>
              <w:ind w:firstLine="420" w:firstLineChars="200"/>
              <w:rPr>
                <w:kern w:val="21"/>
                <w:szCs w:val="21"/>
              </w:rPr>
            </w:pPr>
          </w:p>
          <w:p>
            <w:pPr>
              <w:spacing w:line="360" w:lineRule="auto"/>
              <w:ind w:firstLine="420" w:firstLineChars="200"/>
              <w:rPr>
                <w:kern w:val="21"/>
                <w:szCs w:val="21"/>
              </w:rPr>
            </w:pPr>
          </w:p>
          <w:p>
            <w:pPr>
              <w:spacing w:line="360" w:lineRule="auto"/>
              <w:ind w:firstLine="420" w:firstLineChars="200"/>
              <w:rPr>
                <w:kern w:val="21"/>
                <w:szCs w:val="21"/>
              </w:rPr>
            </w:pPr>
          </w:p>
          <w:p>
            <w:pPr>
              <w:spacing w:line="360" w:lineRule="auto"/>
              <w:ind w:firstLine="420" w:firstLineChars="200"/>
              <w:rPr>
                <w:kern w:val="21"/>
                <w:szCs w:val="21"/>
              </w:rPr>
            </w:pPr>
          </w:p>
          <w:p>
            <w:pPr>
              <w:spacing w:line="360" w:lineRule="auto"/>
              <w:ind w:firstLine="420" w:firstLineChars="200"/>
              <w:rPr>
                <w:kern w:val="21"/>
                <w:szCs w:val="21"/>
              </w:rPr>
            </w:pPr>
          </w:p>
          <w:p>
            <w:pPr>
              <w:spacing w:line="360" w:lineRule="auto"/>
              <w:ind w:firstLine="420" w:firstLineChars="200"/>
              <w:rPr>
                <w:kern w:val="21"/>
                <w:szCs w:val="21"/>
              </w:rPr>
            </w:pPr>
          </w:p>
          <w:p>
            <w:pPr>
              <w:spacing w:line="360" w:lineRule="auto"/>
              <w:ind w:firstLine="420" w:firstLineChars="200"/>
              <w:rPr>
                <w:kern w:val="21"/>
                <w:szCs w:val="21"/>
              </w:rPr>
            </w:pPr>
          </w:p>
          <w:p>
            <w:pPr>
              <w:spacing w:line="360" w:lineRule="auto"/>
              <w:ind w:firstLine="420" w:firstLineChars="200"/>
              <w:rPr>
                <w:kern w:val="21"/>
                <w:szCs w:val="21"/>
              </w:rPr>
            </w:pPr>
            <w:r>
              <w:rPr>
                <w:rFonts w:hint="eastAsia"/>
                <w:kern w:val="21"/>
                <w:szCs w:val="21"/>
              </w:rPr>
              <w:t>（3）主要产排污环节</w:t>
            </w:r>
          </w:p>
          <w:p>
            <w:pPr>
              <w:spacing w:line="360" w:lineRule="auto"/>
              <w:ind w:firstLine="420" w:firstLineChars="200"/>
              <w:rPr>
                <w:kern w:val="21"/>
                <w:szCs w:val="21"/>
              </w:rPr>
            </w:pPr>
            <w:r>
              <w:rPr>
                <w:rFonts w:hint="eastAsia"/>
                <w:kern w:val="21"/>
                <w:szCs w:val="21"/>
              </w:rPr>
              <w:t>①废气</w:t>
            </w:r>
          </w:p>
          <w:p>
            <w:pPr>
              <w:spacing w:line="360" w:lineRule="auto"/>
              <w:ind w:firstLine="420" w:firstLineChars="200"/>
              <w:rPr>
                <w:rFonts w:hint="default" w:eastAsia="宋体"/>
                <w:kern w:val="21"/>
                <w:szCs w:val="21"/>
                <w:lang w:val="en-US" w:eastAsia="zh-CN"/>
              </w:rPr>
            </w:pPr>
            <w:r>
              <w:rPr>
                <w:rFonts w:hint="eastAsia"/>
                <w:kern w:val="21"/>
                <w:szCs w:val="21"/>
              </w:rPr>
              <w:t>项目废气主要为临床细胞分子遗传学实验室样品制备（样本处理和核酸提取）过程产生的含致病菌的废气及污水处理间恶臭气体</w:t>
            </w:r>
            <w:r>
              <w:rPr>
                <w:rFonts w:hint="eastAsia"/>
                <w:kern w:val="21"/>
                <w:szCs w:val="21"/>
                <w:lang w:eastAsia="zh-CN"/>
              </w:rPr>
              <w:t>，</w:t>
            </w:r>
            <w:r>
              <w:rPr>
                <w:rFonts w:hint="eastAsia"/>
                <w:kern w:val="21"/>
                <w:szCs w:val="21"/>
                <w:lang w:val="en-US" w:eastAsia="zh-CN"/>
              </w:rPr>
              <w:t>质谱实验室运营过程产生的有机废气。</w:t>
            </w:r>
          </w:p>
          <w:p>
            <w:pPr>
              <w:spacing w:line="360" w:lineRule="auto"/>
              <w:ind w:firstLine="420" w:firstLineChars="200"/>
              <w:rPr>
                <w:kern w:val="21"/>
                <w:szCs w:val="21"/>
              </w:rPr>
            </w:pPr>
            <w:r>
              <w:rPr>
                <w:rFonts w:hint="eastAsia"/>
                <w:kern w:val="21"/>
                <w:szCs w:val="21"/>
              </w:rPr>
              <w:t>②废水</w:t>
            </w:r>
          </w:p>
          <w:p>
            <w:pPr>
              <w:spacing w:line="360" w:lineRule="auto"/>
              <w:ind w:firstLine="420" w:firstLineChars="200"/>
              <w:rPr>
                <w:kern w:val="21"/>
                <w:szCs w:val="21"/>
              </w:rPr>
            </w:pPr>
            <w:r>
              <w:rPr>
                <w:rFonts w:hint="eastAsia"/>
                <w:kern w:val="21"/>
                <w:szCs w:val="21"/>
              </w:rPr>
              <w:t>项目废水主要为纯水制备产生废水、实验室检测人员洗手废水、医疗废物高压消毒废水、实验室地面清洁废水及办公区生活污水。</w:t>
            </w:r>
          </w:p>
          <w:p>
            <w:pPr>
              <w:spacing w:line="360" w:lineRule="auto"/>
              <w:ind w:firstLine="420" w:firstLineChars="200"/>
              <w:rPr>
                <w:kern w:val="21"/>
                <w:szCs w:val="21"/>
              </w:rPr>
            </w:pPr>
            <w:r>
              <w:rPr>
                <w:rFonts w:hint="eastAsia"/>
                <w:kern w:val="21"/>
                <w:szCs w:val="21"/>
              </w:rPr>
              <w:t>③噪声</w:t>
            </w:r>
          </w:p>
          <w:p>
            <w:pPr>
              <w:spacing w:line="360" w:lineRule="auto"/>
              <w:ind w:firstLine="420" w:firstLineChars="200"/>
              <w:rPr>
                <w:kern w:val="21"/>
                <w:szCs w:val="21"/>
              </w:rPr>
            </w:pPr>
            <w:r>
              <w:rPr>
                <w:rFonts w:hint="eastAsia"/>
                <w:kern w:val="21"/>
                <w:szCs w:val="21"/>
              </w:rPr>
              <w:t>项目噪声主要试验设备运行噪声、空调系统、送排风系统设备运行噪声。</w:t>
            </w:r>
          </w:p>
          <w:p>
            <w:pPr>
              <w:spacing w:line="360" w:lineRule="auto"/>
              <w:ind w:firstLine="420" w:firstLineChars="200"/>
              <w:rPr>
                <w:kern w:val="21"/>
                <w:szCs w:val="21"/>
              </w:rPr>
            </w:pPr>
            <w:r>
              <w:rPr>
                <w:rFonts w:hint="eastAsia"/>
                <w:kern w:val="21"/>
                <w:szCs w:val="21"/>
              </w:rPr>
              <w:t>④固废</w:t>
            </w:r>
          </w:p>
          <w:p>
            <w:pPr>
              <w:spacing w:line="360" w:lineRule="auto"/>
              <w:ind w:firstLine="420" w:firstLineChars="200"/>
            </w:pPr>
            <w:r>
              <w:rPr>
                <w:rFonts w:hint="eastAsia"/>
                <w:kern w:val="21"/>
                <w:szCs w:val="21"/>
              </w:rPr>
              <w:t>项目固废主要为实验室人员办公生活垃圾、试验室分析检测过程中产生的废一次性防护服和一次性手套、核酸检测废试剂盒、废样本、废弃实验室耗材（废移液器吸头等），通风系统及生物安全柜产生的废HEPA滤网</w:t>
            </w:r>
            <w:r>
              <w:rPr>
                <w:rFonts w:hint="eastAsia"/>
                <w:kern w:val="21"/>
                <w:szCs w:val="21"/>
                <w:lang w:eastAsia="zh-CN"/>
              </w:rPr>
              <w:t>，</w:t>
            </w:r>
            <w:r>
              <w:rPr>
                <w:rFonts w:hint="eastAsia"/>
                <w:kern w:val="21"/>
                <w:szCs w:val="21"/>
                <w:lang w:val="en-US" w:eastAsia="zh-CN"/>
              </w:rPr>
              <w:t>活性炭吸附装置定期更换的废活性炭、质谱实验室运营过程产生的有机废液</w:t>
            </w:r>
            <w:r>
              <w:rPr>
                <w:rFonts w:hint="eastAsia"/>
                <w:kern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27" w:hRule="atLeast"/>
          <w:jc w:val="center"/>
        </w:trPr>
        <w:tc>
          <w:tcPr>
            <w:tcW w:w="247" w:type="pct"/>
            <w:vAlign w:val="center"/>
          </w:tcPr>
          <w:p>
            <w:pPr>
              <w:adjustRightInd w:val="0"/>
              <w:snapToGrid w:val="0"/>
              <w:jc w:val="center"/>
              <w:rPr>
                <w:rFonts w:cs="宋体"/>
              </w:rPr>
            </w:pPr>
            <w:r>
              <w:rPr>
                <w:rFonts w:hint="eastAsia" w:cs="宋体"/>
                <w:bCs/>
              </w:rPr>
              <w:t>与项目有关的原有环境污染问题</w:t>
            </w:r>
          </w:p>
        </w:tc>
        <w:tc>
          <w:tcPr>
            <w:tcW w:w="4752" w:type="pct"/>
          </w:tcPr>
          <w:p>
            <w:pPr>
              <w:pStyle w:val="42"/>
              <w:ind w:firstLine="420"/>
            </w:pPr>
            <w:r>
              <w:rPr>
                <w:rFonts w:hint="eastAsia"/>
              </w:rPr>
              <w:t xml:space="preserve">本项目为新建项目，无原有环境污染问题。 </w:t>
            </w:r>
          </w:p>
          <w:p>
            <w:pPr>
              <w:pStyle w:val="42"/>
              <w:ind w:firstLine="420"/>
            </w:pPr>
          </w:p>
        </w:tc>
      </w:tr>
    </w:tbl>
    <w:p>
      <w:pPr>
        <w:jc w:val="center"/>
        <w:rPr>
          <w:snapToGrid w:val="0"/>
          <w:sz w:val="36"/>
          <w:szCs w:val="36"/>
        </w:rPr>
        <w:sectPr>
          <w:pgSz w:w="11906" w:h="16838"/>
          <w:pgMar w:top="1440" w:right="1440" w:bottom="1440" w:left="1440" w:header="851" w:footer="851" w:gutter="0"/>
          <w:pgBorders>
            <w:top w:val="none" w:sz="0" w:space="0"/>
            <w:left w:val="none" w:sz="0" w:space="0"/>
            <w:bottom w:val="none" w:sz="0" w:space="0"/>
            <w:right w:val="none" w:sz="0" w:space="0"/>
          </w:pgBorders>
          <w:cols w:space="720" w:num="1"/>
          <w:docGrid w:linePitch="312" w:charSpace="0"/>
        </w:sectPr>
      </w:pPr>
    </w:p>
    <w:p>
      <w:pPr>
        <w:adjustRightInd w:val="0"/>
        <w:snapToGrid w:val="0"/>
        <w:spacing w:line="14" w:lineRule="auto"/>
        <w:jc w:val="center"/>
        <w:rPr>
          <w:snapToGrid w:val="0"/>
          <w:sz w:val="30"/>
          <w:szCs w:val="30"/>
        </w:rPr>
      </w:pPr>
    </w:p>
    <w:p>
      <w:pPr>
        <w:pStyle w:val="43"/>
        <w:spacing w:before="240" w:after="240"/>
        <w:outlineLvl w:val="0"/>
      </w:pPr>
      <w:r>
        <w:rPr>
          <w:rFonts w:hint="eastAsia"/>
        </w:rPr>
        <w:t>三、区域环境质量现状、环境保护目标及评价标准</w:t>
      </w:r>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34" w:hRule="atLeast"/>
          <w:jc w:val="center"/>
        </w:trPr>
        <w:tc>
          <w:tcPr>
            <w:tcW w:w="800" w:type="dxa"/>
            <w:vAlign w:val="center"/>
          </w:tcPr>
          <w:p>
            <w:pPr>
              <w:adjustRightInd w:val="0"/>
              <w:snapToGrid w:val="0"/>
              <w:jc w:val="center"/>
              <w:rPr>
                <w:rFonts w:cs="宋体"/>
                <w:kern w:val="0"/>
                <w:sz w:val="24"/>
                <w:szCs w:val="21"/>
              </w:rPr>
            </w:pPr>
            <w:r>
              <w:rPr>
                <w:rFonts w:hint="eastAsia" w:cs="宋体"/>
                <w:kern w:val="0"/>
                <w:sz w:val="24"/>
                <w:szCs w:val="21"/>
              </w:rPr>
              <w:t>区域</w:t>
            </w:r>
          </w:p>
          <w:p>
            <w:pPr>
              <w:adjustRightInd w:val="0"/>
              <w:snapToGrid w:val="0"/>
              <w:jc w:val="center"/>
              <w:rPr>
                <w:rFonts w:cs="宋体"/>
                <w:kern w:val="0"/>
                <w:sz w:val="24"/>
                <w:szCs w:val="21"/>
              </w:rPr>
            </w:pPr>
            <w:r>
              <w:rPr>
                <w:rFonts w:hint="eastAsia" w:cs="宋体"/>
                <w:kern w:val="0"/>
                <w:sz w:val="24"/>
                <w:szCs w:val="21"/>
              </w:rPr>
              <w:t>环境</w:t>
            </w:r>
          </w:p>
          <w:p>
            <w:pPr>
              <w:adjustRightInd w:val="0"/>
              <w:snapToGrid w:val="0"/>
              <w:jc w:val="center"/>
              <w:rPr>
                <w:rFonts w:cs="宋体"/>
                <w:kern w:val="0"/>
                <w:sz w:val="24"/>
                <w:szCs w:val="21"/>
              </w:rPr>
            </w:pPr>
            <w:r>
              <w:rPr>
                <w:rFonts w:hint="eastAsia" w:cs="宋体"/>
                <w:kern w:val="0"/>
                <w:sz w:val="24"/>
                <w:szCs w:val="21"/>
              </w:rPr>
              <w:t>质量</w:t>
            </w:r>
          </w:p>
          <w:p>
            <w:pPr>
              <w:adjustRightInd w:val="0"/>
              <w:snapToGrid w:val="0"/>
              <w:jc w:val="center"/>
              <w:rPr>
                <w:rFonts w:cs="宋体"/>
                <w:kern w:val="0"/>
                <w:sz w:val="24"/>
                <w:szCs w:val="21"/>
              </w:rPr>
            </w:pPr>
            <w:r>
              <w:rPr>
                <w:rFonts w:hint="eastAsia" w:cs="宋体"/>
                <w:kern w:val="0"/>
                <w:sz w:val="24"/>
                <w:szCs w:val="21"/>
              </w:rPr>
              <w:t>现状</w:t>
            </w:r>
          </w:p>
        </w:tc>
        <w:tc>
          <w:tcPr>
            <w:tcW w:w="8190" w:type="dxa"/>
            <w:vAlign w:val="center"/>
          </w:tcPr>
          <w:p>
            <w:pPr>
              <w:pStyle w:val="42"/>
              <w:ind w:firstLine="420"/>
            </w:pPr>
            <w:r>
              <w:t>1、环境空气质量</w:t>
            </w:r>
          </w:p>
          <w:p>
            <w:pPr>
              <w:pStyle w:val="42"/>
              <w:ind w:firstLine="420"/>
            </w:pPr>
            <w:r>
              <w:t>（1）常规污染物</w:t>
            </w:r>
          </w:p>
          <w:p>
            <w:pPr>
              <w:spacing w:line="360" w:lineRule="auto"/>
              <w:ind w:firstLine="420" w:firstLineChars="200"/>
              <w:rPr>
                <w:szCs w:val="21"/>
              </w:rPr>
            </w:pPr>
            <w:r>
              <w:rPr>
                <w:rFonts w:hint="eastAsia"/>
                <w:szCs w:val="21"/>
              </w:rPr>
              <w:t>根据《哈尔滨市生态环境质量报告书2021年》中哈尔滨市环境空气质量数据，2021年哈尔滨市环境空气质量有效监测天数365天，达标310天，达标率84.9%。其中优135天，良175天。超标55天，其中轻度污染40天，中度污染10天，重度污染5天。超标天数中首要污染物42天为细颗粒物，11天为臭氧，1天为可吸入颗粒物，1天为二氧化氮。年度综合指数4.02。哈尔滨市环境空气质量现状详见下表。</w:t>
            </w:r>
          </w:p>
          <w:p>
            <w:pPr>
              <w:pStyle w:val="32"/>
              <w:rPr>
                <w:rFonts w:ascii="Times New Roman" w:hAnsi="Times New Roman" w:eastAsia="宋体" w:cs="Times New Roman"/>
              </w:rPr>
            </w:pPr>
            <w:r>
              <w:rPr>
                <w:rFonts w:ascii="Times New Roman" w:hAnsi="Times New Roman" w:eastAsia="宋体" w:cs="Times New Roman"/>
              </w:rPr>
              <w:t>哈尔滨市环境空气质量统计表</w:t>
            </w:r>
          </w:p>
          <w:tbl>
            <w:tblPr>
              <w:tblStyle w:val="26"/>
              <w:tblW w:w="499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8"/>
              <w:gridCol w:w="3118"/>
              <w:gridCol w:w="1094"/>
              <w:gridCol w:w="1088"/>
              <w:gridCol w:w="895"/>
              <w:gridCol w:w="8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5" w:type="pct"/>
                  <w:tcBorders>
                    <w:top w:val="single" w:color="auto" w:sz="12" w:space="0"/>
                    <w:left w:val="nil"/>
                    <w:bottom w:val="single" w:color="auto" w:sz="4" w:space="0"/>
                    <w:right w:val="single" w:color="auto" w:sz="4" w:space="0"/>
                  </w:tcBorders>
                  <w:noWrap/>
                  <w:vAlign w:val="center"/>
                </w:tcPr>
                <w:p>
                  <w:pPr>
                    <w:jc w:val="center"/>
                    <w:rPr>
                      <w:szCs w:val="21"/>
                    </w:rPr>
                  </w:pPr>
                  <w:r>
                    <w:rPr>
                      <w:szCs w:val="21"/>
                    </w:rPr>
                    <w:t>污染物</w:t>
                  </w:r>
                </w:p>
              </w:tc>
              <w:tc>
                <w:tcPr>
                  <w:tcW w:w="1957" w:type="pct"/>
                  <w:tcBorders>
                    <w:top w:val="single" w:color="auto" w:sz="12" w:space="0"/>
                    <w:left w:val="single" w:color="auto" w:sz="4" w:space="0"/>
                    <w:bottom w:val="single" w:color="auto" w:sz="4" w:space="0"/>
                    <w:right w:val="single" w:color="auto" w:sz="4" w:space="0"/>
                  </w:tcBorders>
                  <w:noWrap/>
                  <w:vAlign w:val="center"/>
                </w:tcPr>
                <w:p>
                  <w:pPr>
                    <w:jc w:val="center"/>
                    <w:rPr>
                      <w:szCs w:val="21"/>
                    </w:rPr>
                  </w:pPr>
                  <w:r>
                    <w:rPr>
                      <w:szCs w:val="21"/>
                    </w:rPr>
                    <w:t>年评价指标</w:t>
                  </w:r>
                </w:p>
              </w:tc>
              <w:tc>
                <w:tcPr>
                  <w:tcW w:w="687" w:type="pct"/>
                  <w:tcBorders>
                    <w:top w:val="single" w:color="auto" w:sz="12" w:space="0"/>
                    <w:left w:val="single" w:color="auto" w:sz="4" w:space="0"/>
                    <w:bottom w:val="single" w:color="auto" w:sz="4" w:space="0"/>
                    <w:right w:val="single" w:color="auto" w:sz="4" w:space="0"/>
                  </w:tcBorders>
                  <w:noWrap/>
                  <w:vAlign w:val="center"/>
                </w:tcPr>
                <w:p>
                  <w:pPr>
                    <w:jc w:val="center"/>
                    <w:rPr>
                      <w:szCs w:val="21"/>
                    </w:rPr>
                  </w:pPr>
                  <w:r>
                    <w:rPr>
                      <w:szCs w:val="21"/>
                    </w:rPr>
                    <w:t>现状浓度</w:t>
                  </w:r>
                </w:p>
                <w:p>
                  <w:pPr>
                    <w:jc w:val="center"/>
                    <w:rPr>
                      <w:szCs w:val="21"/>
                    </w:rPr>
                  </w:pPr>
                  <w:r>
                    <w:rPr>
                      <w:szCs w:val="21"/>
                    </w:rPr>
                    <w:t>（μg/m</w:t>
                  </w:r>
                  <w:r>
                    <w:rPr>
                      <w:szCs w:val="21"/>
                      <w:vertAlign w:val="superscript"/>
                    </w:rPr>
                    <w:t>3</w:t>
                  </w:r>
                  <w:r>
                    <w:rPr>
                      <w:szCs w:val="21"/>
                    </w:rPr>
                    <w:t>）</w:t>
                  </w:r>
                </w:p>
              </w:tc>
              <w:tc>
                <w:tcPr>
                  <w:tcW w:w="683" w:type="pct"/>
                  <w:tcBorders>
                    <w:top w:val="single" w:color="auto" w:sz="12" w:space="0"/>
                    <w:left w:val="single" w:color="auto" w:sz="4" w:space="0"/>
                    <w:bottom w:val="single" w:color="auto" w:sz="4" w:space="0"/>
                    <w:right w:val="single" w:color="auto" w:sz="4" w:space="0"/>
                  </w:tcBorders>
                  <w:noWrap/>
                  <w:vAlign w:val="center"/>
                </w:tcPr>
                <w:p>
                  <w:pPr>
                    <w:jc w:val="center"/>
                    <w:rPr>
                      <w:szCs w:val="21"/>
                    </w:rPr>
                  </w:pPr>
                  <w:r>
                    <w:rPr>
                      <w:szCs w:val="21"/>
                    </w:rPr>
                    <w:t>标准值</w:t>
                  </w:r>
                </w:p>
                <w:p>
                  <w:pPr>
                    <w:jc w:val="center"/>
                    <w:rPr>
                      <w:szCs w:val="21"/>
                    </w:rPr>
                  </w:pPr>
                  <w:r>
                    <w:rPr>
                      <w:szCs w:val="21"/>
                    </w:rPr>
                    <w:t>（μg/m</w:t>
                  </w:r>
                  <w:r>
                    <w:rPr>
                      <w:szCs w:val="21"/>
                      <w:vertAlign w:val="superscript"/>
                    </w:rPr>
                    <w:t>3</w:t>
                  </w:r>
                  <w:r>
                    <w:rPr>
                      <w:szCs w:val="21"/>
                    </w:rPr>
                    <w:t>）</w:t>
                  </w:r>
                </w:p>
              </w:tc>
              <w:tc>
                <w:tcPr>
                  <w:tcW w:w="562" w:type="pct"/>
                  <w:tcBorders>
                    <w:top w:val="single" w:color="auto" w:sz="12" w:space="0"/>
                    <w:left w:val="single" w:color="auto" w:sz="4" w:space="0"/>
                    <w:bottom w:val="single" w:color="auto" w:sz="4" w:space="0"/>
                    <w:right w:val="single" w:color="auto" w:sz="4" w:space="0"/>
                  </w:tcBorders>
                  <w:noWrap/>
                  <w:vAlign w:val="center"/>
                </w:tcPr>
                <w:p>
                  <w:pPr>
                    <w:jc w:val="center"/>
                    <w:rPr>
                      <w:szCs w:val="21"/>
                    </w:rPr>
                  </w:pPr>
                  <w:r>
                    <w:rPr>
                      <w:szCs w:val="21"/>
                    </w:rPr>
                    <w:t>占标率</w:t>
                  </w:r>
                </w:p>
                <w:p>
                  <w:pPr>
                    <w:jc w:val="center"/>
                    <w:rPr>
                      <w:szCs w:val="21"/>
                    </w:rPr>
                  </w:pPr>
                  <w:r>
                    <w:rPr>
                      <w:szCs w:val="21"/>
                    </w:rPr>
                    <w:t>（%）</w:t>
                  </w:r>
                </w:p>
              </w:tc>
              <w:tc>
                <w:tcPr>
                  <w:tcW w:w="563" w:type="pct"/>
                  <w:tcBorders>
                    <w:top w:val="single" w:color="auto" w:sz="12" w:space="0"/>
                    <w:left w:val="single" w:color="auto" w:sz="4" w:space="0"/>
                    <w:bottom w:val="single" w:color="auto" w:sz="4" w:space="0"/>
                    <w:right w:val="nil"/>
                  </w:tcBorders>
                  <w:noWrap/>
                  <w:vAlign w:val="center"/>
                </w:tcPr>
                <w:p>
                  <w:pPr>
                    <w:jc w:val="center"/>
                    <w:rPr>
                      <w:szCs w:val="21"/>
                    </w:rPr>
                  </w:pPr>
                  <w:r>
                    <w:rPr>
                      <w:szCs w:val="21"/>
                    </w:rPr>
                    <w:t>达标</w:t>
                  </w:r>
                </w:p>
                <w:p>
                  <w:pPr>
                    <w:jc w:val="center"/>
                    <w:rPr>
                      <w:szCs w:val="21"/>
                    </w:rPr>
                  </w:pPr>
                  <w:r>
                    <w:rPr>
                      <w:szCs w:val="21"/>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5" w:type="pct"/>
                  <w:vMerge w:val="restart"/>
                  <w:tcBorders>
                    <w:top w:val="single" w:color="auto" w:sz="4" w:space="0"/>
                    <w:left w:val="nil"/>
                    <w:bottom w:val="single" w:color="auto" w:sz="4" w:space="0"/>
                    <w:right w:val="single" w:color="auto" w:sz="4" w:space="0"/>
                  </w:tcBorders>
                  <w:noWrap/>
                  <w:vAlign w:val="center"/>
                </w:tcPr>
                <w:p>
                  <w:pPr>
                    <w:jc w:val="center"/>
                    <w:rPr>
                      <w:szCs w:val="21"/>
                    </w:rPr>
                  </w:pPr>
                  <w:r>
                    <w:rPr>
                      <w:szCs w:val="21"/>
                    </w:rPr>
                    <w:t>SO</w:t>
                  </w:r>
                  <w:r>
                    <w:rPr>
                      <w:szCs w:val="21"/>
                      <w:vertAlign w:val="subscript"/>
                    </w:rPr>
                    <w:t>2</w:t>
                  </w:r>
                </w:p>
              </w:tc>
              <w:tc>
                <w:tcPr>
                  <w:tcW w:w="1957"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年平均质量浓度</w:t>
                  </w:r>
                </w:p>
              </w:tc>
              <w:tc>
                <w:tcPr>
                  <w:tcW w:w="687"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17</w:t>
                  </w:r>
                </w:p>
              </w:tc>
              <w:tc>
                <w:tcPr>
                  <w:tcW w:w="683"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60</w:t>
                  </w:r>
                </w:p>
              </w:tc>
              <w:tc>
                <w:tcPr>
                  <w:tcW w:w="562"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28.3</w:t>
                  </w:r>
                </w:p>
              </w:tc>
              <w:tc>
                <w:tcPr>
                  <w:tcW w:w="563" w:type="pct"/>
                  <w:tcBorders>
                    <w:top w:val="single" w:color="auto" w:sz="4" w:space="0"/>
                    <w:left w:val="single" w:color="auto" w:sz="4" w:space="0"/>
                    <w:bottom w:val="single" w:color="auto" w:sz="4" w:space="0"/>
                    <w:right w:val="nil"/>
                  </w:tcBorders>
                  <w:noWrap/>
                  <w:vAlign w:val="center"/>
                </w:tcPr>
                <w:p>
                  <w:pPr>
                    <w:jc w:val="center"/>
                    <w:rPr>
                      <w:szCs w:val="21"/>
                    </w:rPr>
                  </w:pPr>
                  <w:r>
                    <w:rPr>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5" w:type="pct"/>
                  <w:vMerge w:val="continue"/>
                  <w:tcBorders>
                    <w:top w:val="single" w:color="auto" w:sz="4" w:space="0"/>
                    <w:left w:val="nil"/>
                    <w:bottom w:val="single" w:color="auto" w:sz="4" w:space="0"/>
                    <w:right w:val="single" w:color="auto" w:sz="4" w:space="0"/>
                  </w:tcBorders>
                  <w:noWrap/>
                  <w:vAlign w:val="center"/>
                </w:tcPr>
                <w:p>
                  <w:pPr>
                    <w:jc w:val="center"/>
                    <w:rPr>
                      <w:szCs w:val="21"/>
                    </w:rPr>
                  </w:pPr>
                </w:p>
              </w:tc>
              <w:tc>
                <w:tcPr>
                  <w:tcW w:w="1957"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第98位百分位数24小时平均浓度值</w:t>
                  </w:r>
                </w:p>
              </w:tc>
              <w:tc>
                <w:tcPr>
                  <w:tcW w:w="687"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rFonts w:hint="eastAsia"/>
                      <w:szCs w:val="21"/>
                    </w:rPr>
                    <w:t>50</w:t>
                  </w:r>
                </w:p>
              </w:tc>
              <w:tc>
                <w:tcPr>
                  <w:tcW w:w="683"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150</w:t>
                  </w:r>
                </w:p>
              </w:tc>
              <w:tc>
                <w:tcPr>
                  <w:tcW w:w="562"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rFonts w:hint="eastAsia"/>
                      <w:szCs w:val="21"/>
                    </w:rPr>
                    <w:t>33.3</w:t>
                  </w:r>
                </w:p>
              </w:tc>
              <w:tc>
                <w:tcPr>
                  <w:tcW w:w="563" w:type="pct"/>
                  <w:tcBorders>
                    <w:top w:val="single" w:color="auto" w:sz="4" w:space="0"/>
                    <w:left w:val="single" w:color="auto" w:sz="4" w:space="0"/>
                    <w:bottom w:val="single" w:color="auto" w:sz="4" w:space="0"/>
                    <w:right w:val="nil"/>
                  </w:tcBorders>
                  <w:noWrap/>
                  <w:vAlign w:val="center"/>
                </w:tcPr>
                <w:p>
                  <w:pPr>
                    <w:jc w:val="center"/>
                    <w:rPr>
                      <w:szCs w:val="21"/>
                    </w:rPr>
                  </w:pPr>
                  <w:r>
                    <w:rPr>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5" w:type="pct"/>
                  <w:vMerge w:val="restart"/>
                  <w:tcBorders>
                    <w:top w:val="single" w:color="auto" w:sz="4" w:space="0"/>
                    <w:left w:val="nil"/>
                    <w:bottom w:val="single" w:color="auto" w:sz="4" w:space="0"/>
                    <w:right w:val="single" w:color="auto" w:sz="4" w:space="0"/>
                  </w:tcBorders>
                  <w:noWrap/>
                  <w:vAlign w:val="center"/>
                </w:tcPr>
                <w:p>
                  <w:pPr>
                    <w:jc w:val="center"/>
                    <w:rPr>
                      <w:szCs w:val="21"/>
                    </w:rPr>
                  </w:pPr>
                  <w:r>
                    <w:rPr>
                      <w:szCs w:val="21"/>
                    </w:rPr>
                    <w:t>NO</w:t>
                  </w:r>
                  <w:r>
                    <w:rPr>
                      <w:szCs w:val="21"/>
                      <w:vertAlign w:val="subscript"/>
                    </w:rPr>
                    <w:t>2</w:t>
                  </w:r>
                </w:p>
              </w:tc>
              <w:tc>
                <w:tcPr>
                  <w:tcW w:w="1957"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年平均质量浓度</w:t>
                  </w:r>
                </w:p>
              </w:tc>
              <w:tc>
                <w:tcPr>
                  <w:tcW w:w="687"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32</w:t>
                  </w:r>
                </w:p>
              </w:tc>
              <w:tc>
                <w:tcPr>
                  <w:tcW w:w="683"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40</w:t>
                  </w:r>
                </w:p>
              </w:tc>
              <w:tc>
                <w:tcPr>
                  <w:tcW w:w="562"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80.0</w:t>
                  </w:r>
                </w:p>
              </w:tc>
              <w:tc>
                <w:tcPr>
                  <w:tcW w:w="563" w:type="pct"/>
                  <w:tcBorders>
                    <w:top w:val="single" w:color="auto" w:sz="4" w:space="0"/>
                    <w:left w:val="single" w:color="auto" w:sz="4" w:space="0"/>
                    <w:bottom w:val="single" w:color="auto" w:sz="4" w:space="0"/>
                    <w:right w:val="nil"/>
                  </w:tcBorders>
                  <w:noWrap/>
                  <w:vAlign w:val="center"/>
                </w:tcPr>
                <w:p>
                  <w:pPr>
                    <w:jc w:val="center"/>
                    <w:rPr>
                      <w:szCs w:val="21"/>
                    </w:rPr>
                  </w:pPr>
                  <w:r>
                    <w:rPr>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5" w:type="pct"/>
                  <w:vMerge w:val="continue"/>
                  <w:tcBorders>
                    <w:top w:val="single" w:color="auto" w:sz="4" w:space="0"/>
                    <w:left w:val="nil"/>
                    <w:bottom w:val="single" w:color="auto" w:sz="4" w:space="0"/>
                    <w:right w:val="single" w:color="auto" w:sz="4" w:space="0"/>
                  </w:tcBorders>
                  <w:noWrap/>
                  <w:vAlign w:val="center"/>
                </w:tcPr>
                <w:p>
                  <w:pPr>
                    <w:jc w:val="center"/>
                    <w:rPr>
                      <w:szCs w:val="21"/>
                    </w:rPr>
                  </w:pPr>
                </w:p>
              </w:tc>
              <w:tc>
                <w:tcPr>
                  <w:tcW w:w="1957"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第98位百分位数24小时平均浓度值</w:t>
                  </w:r>
                </w:p>
              </w:tc>
              <w:tc>
                <w:tcPr>
                  <w:tcW w:w="687"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rFonts w:hint="eastAsia"/>
                      <w:szCs w:val="21"/>
                    </w:rPr>
                    <w:t>79</w:t>
                  </w:r>
                </w:p>
              </w:tc>
              <w:tc>
                <w:tcPr>
                  <w:tcW w:w="683"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80</w:t>
                  </w:r>
                </w:p>
              </w:tc>
              <w:tc>
                <w:tcPr>
                  <w:tcW w:w="562"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rFonts w:hint="eastAsia"/>
                      <w:szCs w:val="21"/>
                    </w:rPr>
                    <w:t>98.8</w:t>
                  </w:r>
                </w:p>
              </w:tc>
              <w:tc>
                <w:tcPr>
                  <w:tcW w:w="563" w:type="pct"/>
                  <w:tcBorders>
                    <w:top w:val="single" w:color="auto" w:sz="4" w:space="0"/>
                    <w:left w:val="single" w:color="auto" w:sz="4" w:space="0"/>
                    <w:bottom w:val="single" w:color="auto" w:sz="4" w:space="0"/>
                    <w:right w:val="nil"/>
                  </w:tcBorders>
                  <w:noWrap/>
                  <w:vAlign w:val="center"/>
                </w:tcPr>
                <w:p>
                  <w:pPr>
                    <w:jc w:val="center"/>
                    <w:rPr>
                      <w:szCs w:val="21"/>
                    </w:rPr>
                  </w:pPr>
                  <w:r>
                    <w:rPr>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5" w:type="pct"/>
                  <w:vMerge w:val="restart"/>
                  <w:tcBorders>
                    <w:top w:val="single" w:color="auto" w:sz="4" w:space="0"/>
                    <w:left w:val="nil"/>
                    <w:bottom w:val="single" w:color="auto" w:sz="4" w:space="0"/>
                    <w:right w:val="single" w:color="auto" w:sz="4" w:space="0"/>
                  </w:tcBorders>
                  <w:noWrap/>
                  <w:vAlign w:val="center"/>
                </w:tcPr>
                <w:p>
                  <w:pPr>
                    <w:jc w:val="center"/>
                    <w:rPr>
                      <w:szCs w:val="21"/>
                    </w:rPr>
                  </w:pPr>
                  <w:r>
                    <w:rPr>
                      <w:szCs w:val="21"/>
                    </w:rPr>
                    <w:t>PM</w:t>
                  </w:r>
                  <w:r>
                    <w:rPr>
                      <w:szCs w:val="21"/>
                      <w:vertAlign w:val="subscript"/>
                    </w:rPr>
                    <w:t>10</w:t>
                  </w:r>
                </w:p>
              </w:tc>
              <w:tc>
                <w:tcPr>
                  <w:tcW w:w="1957"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年平均质量浓度</w:t>
                  </w:r>
                </w:p>
              </w:tc>
              <w:tc>
                <w:tcPr>
                  <w:tcW w:w="687"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rFonts w:hint="eastAsia"/>
                      <w:szCs w:val="21"/>
                    </w:rPr>
                    <w:t>64</w:t>
                  </w:r>
                </w:p>
              </w:tc>
              <w:tc>
                <w:tcPr>
                  <w:tcW w:w="683"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70</w:t>
                  </w:r>
                </w:p>
              </w:tc>
              <w:tc>
                <w:tcPr>
                  <w:tcW w:w="562"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rFonts w:hint="eastAsia"/>
                      <w:szCs w:val="21"/>
                    </w:rPr>
                    <w:t>91.4</w:t>
                  </w:r>
                </w:p>
              </w:tc>
              <w:tc>
                <w:tcPr>
                  <w:tcW w:w="563" w:type="pct"/>
                  <w:tcBorders>
                    <w:top w:val="single" w:color="auto" w:sz="4" w:space="0"/>
                    <w:left w:val="single" w:color="auto" w:sz="4" w:space="0"/>
                    <w:bottom w:val="single" w:color="auto" w:sz="4" w:space="0"/>
                    <w:right w:val="nil"/>
                  </w:tcBorders>
                  <w:noWrap/>
                  <w:vAlign w:val="center"/>
                </w:tcPr>
                <w:p>
                  <w:pPr>
                    <w:jc w:val="center"/>
                    <w:rPr>
                      <w:szCs w:val="21"/>
                    </w:rPr>
                  </w:pPr>
                  <w:r>
                    <w:rPr>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5" w:type="pct"/>
                  <w:vMerge w:val="continue"/>
                  <w:tcBorders>
                    <w:top w:val="single" w:color="auto" w:sz="4" w:space="0"/>
                    <w:left w:val="nil"/>
                    <w:bottom w:val="single" w:color="auto" w:sz="4" w:space="0"/>
                    <w:right w:val="single" w:color="auto" w:sz="4" w:space="0"/>
                  </w:tcBorders>
                  <w:noWrap/>
                  <w:vAlign w:val="center"/>
                </w:tcPr>
                <w:p>
                  <w:pPr>
                    <w:jc w:val="center"/>
                    <w:rPr>
                      <w:szCs w:val="21"/>
                    </w:rPr>
                  </w:pPr>
                </w:p>
              </w:tc>
              <w:tc>
                <w:tcPr>
                  <w:tcW w:w="1957"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第95位百分位数24小时平均浓度值</w:t>
                  </w:r>
                </w:p>
              </w:tc>
              <w:tc>
                <w:tcPr>
                  <w:tcW w:w="687"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17</w:t>
                  </w:r>
                  <w:r>
                    <w:rPr>
                      <w:rFonts w:hint="eastAsia"/>
                      <w:szCs w:val="21"/>
                    </w:rPr>
                    <w:t>9</w:t>
                  </w:r>
                </w:p>
              </w:tc>
              <w:tc>
                <w:tcPr>
                  <w:tcW w:w="683"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150</w:t>
                  </w:r>
                </w:p>
              </w:tc>
              <w:tc>
                <w:tcPr>
                  <w:tcW w:w="562"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rFonts w:hint="eastAsia"/>
                      <w:szCs w:val="21"/>
                    </w:rPr>
                    <w:t>1.19</w:t>
                  </w:r>
                </w:p>
              </w:tc>
              <w:tc>
                <w:tcPr>
                  <w:tcW w:w="563" w:type="pct"/>
                  <w:tcBorders>
                    <w:top w:val="single" w:color="auto" w:sz="4" w:space="0"/>
                    <w:left w:val="single" w:color="auto" w:sz="4" w:space="0"/>
                    <w:bottom w:val="single" w:color="auto" w:sz="4" w:space="0"/>
                    <w:right w:val="nil"/>
                  </w:tcBorders>
                  <w:noWrap/>
                  <w:vAlign w:val="center"/>
                </w:tcPr>
                <w:p>
                  <w:pPr>
                    <w:jc w:val="center"/>
                    <w:rPr>
                      <w:szCs w:val="21"/>
                    </w:rPr>
                  </w:pPr>
                  <w:r>
                    <w:rPr>
                      <w:szCs w:val="21"/>
                    </w:rPr>
                    <w:t>不达标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5" w:type="pct"/>
                  <w:vMerge w:val="restart"/>
                  <w:tcBorders>
                    <w:top w:val="single" w:color="auto" w:sz="4" w:space="0"/>
                    <w:left w:val="nil"/>
                    <w:bottom w:val="single" w:color="auto" w:sz="4" w:space="0"/>
                    <w:right w:val="single" w:color="auto" w:sz="4" w:space="0"/>
                  </w:tcBorders>
                  <w:noWrap/>
                  <w:vAlign w:val="center"/>
                </w:tcPr>
                <w:p>
                  <w:pPr>
                    <w:jc w:val="center"/>
                    <w:rPr>
                      <w:szCs w:val="21"/>
                    </w:rPr>
                  </w:pPr>
                  <w:r>
                    <w:rPr>
                      <w:szCs w:val="21"/>
                    </w:rPr>
                    <w:t>PM</w:t>
                  </w:r>
                  <w:r>
                    <w:rPr>
                      <w:szCs w:val="21"/>
                      <w:vertAlign w:val="subscript"/>
                    </w:rPr>
                    <w:t>2.5</w:t>
                  </w:r>
                </w:p>
              </w:tc>
              <w:tc>
                <w:tcPr>
                  <w:tcW w:w="1957"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年平均质量浓度</w:t>
                  </w:r>
                </w:p>
              </w:tc>
              <w:tc>
                <w:tcPr>
                  <w:tcW w:w="687"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rFonts w:hint="eastAsia"/>
                      <w:szCs w:val="21"/>
                    </w:rPr>
                    <w:t>47</w:t>
                  </w:r>
                </w:p>
              </w:tc>
              <w:tc>
                <w:tcPr>
                  <w:tcW w:w="683"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35</w:t>
                  </w:r>
                </w:p>
              </w:tc>
              <w:tc>
                <w:tcPr>
                  <w:tcW w:w="562"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rFonts w:hint="eastAsia"/>
                      <w:szCs w:val="21"/>
                    </w:rPr>
                    <w:t>1.34</w:t>
                  </w:r>
                </w:p>
              </w:tc>
              <w:tc>
                <w:tcPr>
                  <w:tcW w:w="563" w:type="pct"/>
                  <w:tcBorders>
                    <w:top w:val="single" w:color="auto" w:sz="4" w:space="0"/>
                    <w:left w:val="single" w:color="auto" w:sz="4" w:space="0"/>
                    <w:bottom w:val="single" w:color="auto" w:sz="4" w:space="0"/>
                    <w:right w:val="nil"/>
                  </w:tcBorders>
                  <w:noWrap/>
                  <w:vAlign w:val="center"/>
                </w:tcPr>
                <w:p>
                  <w:pPr>
                    <w:jc w:val="center"/>
                    <w:rPr>
                      <w:szCs w:val="21"/>
                    </w:rPr>
                  </w:pPr>
                  <w:r>
                    <w:rPr>
                      <w:szCs w:val="21"/>
                    </w:rPr>
                    <w:t>不达标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5" w:type="pct"/>
                  <w:vMerge w:val="continue"/>
                  <w:tcBorders>
                    <w:top w:val="single" w:color="auto" w:sz="4" w:space="0"/>
                    <w:left w:val="nil"/>
                    <w:bottom w:val="single" w:color="auto" w:sz="4" w:space="0"/>
                    <w:right w:val="single" w:color="auto" w:sz="4" w:space="0"/>
                  </w:tcBorders>
                  <w:noWrap/>
                  <w:vAlign w:val="center"/>
                </w:tcPr>
                <w:p>
                  <w:pPr>
                    <w:jc w:val="center"/>
                    <w:rPr>
                      <w:szCs w:val="21"/>
                    </w:rPr>
                  </w:pPr>
                </w:p>
              </w:tc>
              <w:tc>
                <w:tcPr>
                  <w:tcW w:w="1957"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第95位百分位数24小时平均浓度值</w:t>
                  </w:r>
                </w:p>
              </w:tc>
              <w:tc>
                <w:tcPr>
                  <w:tcW w:w="687"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rFonts w:hint="eastAsia"/>
                      <w:szCs w:val="21"/>
                    </w:rPr>
                    <w:t>157</w:t>
                  </w:r>
                </w:p>
              </w:tc>
              <w:tc>
                <w:tcPr>
                  <w:tcW w:w="683"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75</w:t>
                  </w:r>
                </w:p>
              </w:tc>
              <w:tc>
                <w:tcPr>
                  <w:tcW w:w="562"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rFonts w:hint="eastAsia"/>
                      <w:szCs w:val="21"/>
                    </w:rPr>
                    <w:t>2.09</w:t>
                  </w:r>
                </w:p>
              </w:tc>
              <w:tc>
                <w:tcPr>
                  <w:tcW w:w="563" w:type="pct"/>
                  <w:tcBorders>
                    <w:top w:val="single" w:color="auto" w:sz="4" w:space="0"/>
                    <w:left w:val="single" w:color="auto" w:sz="4" w:space="0"/>
                    <w:bottom w:val="single" w:color="auto" w:sz="4" w:space="0"/>
                    <w:right w:val="nil"/>
                  </w:tcBorders>
                  <w:noWrap/>
                  <w:vAlign w:val="center"/>
                </w:tcPr>
                <w:p>
                  <w:pPr>
                    <w:jc w:val="center"/>
                    <w:rPr>
                      <w:szCs w:val="21"/>
                    </w:rPr>
                  </w:pPr>
                  <w:r>
                    <w:rPr>
                      <w:szCs w:val="21"/>
                    </w:rPr>
                    <w:t>不达标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45" w:type="pct"/>
                  <w:tcBorders>
                    <w:top w:val="single" w:color="auto" w:sz="4" w:space="0"/>
                    <w:left w:val="nil"/>
                    <w:bottom w:val="single" w:color="auto" w:sz="4" w:space="0"/>
                    <w:right w:val="single" w:color="auto" w:sz="4" w:space="0"/>
                  </w:tcBorders>
                  <w:noWrap/>
                  <w:vAlign w:val="center"/>
                </w:tcPr>
                <w:p>
                  <w:pPr>
                    <w:jc w:val="center"/>
                    <w:rPr>
                      <w:szCs w:val="21"/>
                    </w:rPr>
                  </w:pPr>
                  <w:r>
                    <w:rPr>
                      <w:szCs w:val="21"/>
                    </w:rPr>
                    <w:t>CO</w:t>
                  </w:r>
                </w:p>
              </w:tc>
              <w:tc>
                <w:tcPr>
                  <w:tcW w:w="1957"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第95百分位数24小时平均浓度值</w:t>
                  </w:r>
                </w:p>
              </w:tc>
              <w:tc>
                <w:tcPr>
                  <w:tcW w:w="687"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1400</w:t>
                  </w:r>
                </w:p>
              </w:tc>
              <w:tc>
                <w:tcPr>
                  <w:tcW w:w="683"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4000</w:t>
                  </w:r>
                </w:p>
              </w:tc>
              <w:tc>
                <w:tcPr>
                  <w:tcW w:w="562" w:type="pct"/>
                  <w:tcBorders>
                    <w:top w:val="single" w:color="auto" w:sz="4" w:space="0"/>
                    <w:left w:val="single" w:color="auto" w:sz="4" w:space="0"/>
                    <w:bottom w:val="single" w:color="auto" w:sz="4" w:space="0"/>
                    <w:right w:val="single" w:color="auto" w:sz="4" w:space="0"/>
                  </w:tcBorders>
                  <w:noWrap/>
                  <w:vAlign w:val="center"/>
                </w:tcPr>
                <w:p>
                  <w:pPr>
                    <w:jc w:val="center"/>
                    <w:rPr>
                      <w:szCs w:val="21"/>
                    </w:rPr>
                  </w:pPr>
                  <w:r>
                    <w:rPr>
                      <w:szCs w:val="21"/>
                    </w:rPr>
                    <w:t>35.0</w:t>
                  </w:r>
                </w:p>
              </w:tc>
              <w:tc>
                <w:tcPr>
                  <w:tcW w:w="563" w:type="pct"/>
                  <w:tcBorders>
                    <w:top w:val="single" w:color="auto" w:sz="4" w:space="0"/>
                    <w:left w:val="single" w:color="auto" w:sz="4" w:space="0"/>
                    <w:bottom w:val="single" w:color="auto" w:sz="4" w:space="0"/>
                    <w:right w:val="nil"/>
                  </w:tcBorders>
                  <w:noWrap/>
                  <w:vAlign w:val="center"/>
                </w:tcPr>
                <w:p>
                  <w:pPr>
                    <w:jc w:val="center"/>
                    <w:rPr>
                      <w:szCs w:val="21"/>
                    </w:rPr>
                  </w:pPr>
                  <w:r>
                    <w:rPr>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545" w:type="pct"/>
                  <w:tcBorders>
                    <w:top w:val="single" w:color="auto" w:sz="4" w:space="0"/>
                    <w:left w:val="nil"/>
                    <w:bottom w:val="single" w:color="auto" w:sz="12" w:space="0"/>
                    <w:right w:val="single" w:color="auto" w:sz="4" w:space="0"/>
                  </w:tcBorders>
                  <w:noWrap/>
                  <w:vAlign w:val="center"/>
                </w:tcPr>
                <w:p>
                  <w:pPr>
                    <w:jc w:val="center"/>
                    <w:rPr>
                      <w:szCs w:val="21"/>
                    </w:rPr>
                  </w:pPr>
                  <w:r>
                    <w:rPr>
                      <w:szCs w:val="21"/>
                    </w:rPr>
                    <w:t>O</w:t>
                  </w:r>
                  <w:r>
                    <w:rPr>
                      <w:szCs w:val="21"/>
                      <w:vertAlign w:val="subscript"/>
                    </w:rPr>
                    <w:t>3</w:t>
                  </w:r>
                </w:p>
              </w:tc>
              <w:tc>
                <w:tcPr>
                  <w:tcW w:w="1957" w:type="pct"/>
                  <w:tcBorders>
                    <w:top w:val="single" w:color="auto" w:sz="4" w:space="0"/>
                    <w:left w:val="single" w:color="auto" w:sz="4" w:space="0"/>
                    <w:bottom w:val="single" w:color="auto" w:sz="12" w:space="0"/>
                    <w:right w:val="single" w:color="auto" w:sz="4" w:space="0"/>
                  </w:tcBorders>
                  <w:noWrap/>
                  <w:vAlign w:val="center"/>
                </w:tcPr>
                <w:p>
                  <w:pPr>
                    <w:jc w:val="center"/>
                    <w:rPr>
                      <w:szCs w:val="21"/>
                    </w:rPr>
                  </w:pPr>
                  <w:r>
                    <w:rPr>
                      <w:szCs w:val="21"/>
                    </w:rPr>
                    <w:t>第90百分位数日最大8小时平均浓度值</w:t>
                  </w:r>
                </w:p>
              </w:tc>
              <w:tc>
                <w:tcPr>
                  <w:tcW w:w="687" w:type="pct"/>
                  <w:tcBorders>
                    <w:top w:val="single" w:color="auto" w:sz="4" w:space="0"/>
                    <w:left w:val="single" w:color="auto" w:sz="4" w:space="0"/>
                    <w:bottom w:val="single" w:color="auto" w:sz="12" w:space="0"/>
                    <w:right w:val="single" w:color="auto" w:sz="4" w:space="0"/>
                  </w:tcBorders>
                  <w:noWrap/>
                  <w:vAlign w:val="center"/>
                </w:tcPr>
                <w:p>
                  <w:pPr>
                    <w:jc w:val="center"/>
                    <w:rPr>
                      <w:szCs w:val="21"/>
                    </w:rPr>
                  </w:pPr>
                  <w:r>
                    <w:rPr>
                      <w:rFonts w:hint="eastAsia"/>
                      <w:szCs w:val="21"/>
                    </w:rPr>
                    <w:t>121</w:t>
                  </w:r>
                </w:p>
              </w:tc>
              <w:tc>
                <w:tcPr>
                  <w:tcW w:w="683" w:type="pct"/>
                  <w:tcBorders>
                    <w:top w:val="single" w:color="auto" w:sz="4" w:space="0"/>
                    <w:left w:val="single" w:color="auto" w:sz="4" w:space="0"/>
                    <w:bottom w:val="single" w:color="auto" w:sz="12" w:space="0"/>
                    <w:right w:val="single" w:color="auto" w:sz="4" w:space="0"/>
                  </w:tcBorders>
                  <w:noWrap/>
                  <w:vAlign w:val="center"/>
                </w:tcPr>
                <w:p>
                  <w:pPr>
                    <w:jc w:val="center"/>
                    <w:rPr>
                      <w:szCs w:val="21"/>
                    </w:rPr>
                  </w:pPr>
                  <w:r>
                    <w:rPr>
                      <w:szCs w:val="21"/>
                    </w:rPr>
                    <w:t>160</w:t>
                  </w:r>
                </w:p>
              </w:tc>
              <w:tc>
                <w:tcPr>
                  <w:tcW w:w="562" w:type="pct"/>
                  <w:tcBorders>
                    <w:top w:val="single" w:color="auto" w:sz="4" w:space="0"/>
                    <w:left w:val="single" w:color="auto" w:sz="4" w:space="0"/>
                    <w:bottom w:val="single" w:color="auto" w:sz="12" w:space="0"/>
                    <w:right w:val="single" w:color="auto" w:sz="4" w:space="0"/>
                  </w:tcBorders>
                  <w:noWrap/>
                  <w:vAlign w:val="center"/>
                </w:tcPr>
                <w:p>
                  <w:pPr>
                    <w:jc w:val="center"/>
                    <w:rPr>
                      <w:szCs w:val="21"/>
                    </w:rPr>
                  </w:pPr>
                  <w:r>
                    <w:rPr>
                      <w:rFonts w:hint="eastAsia"/>
                      <w:szCs w:val="21"/>
                    </w:rPr>
                    <w:t>75.6</w:t>
                  </w:r>
                </w:p>
              </w:tc>
              <w:tc>
                <w:tcPr>
                  <w:tcW w:w="563" w:type="pct"/>
                  <w:tcBorders>
                    <w:top w:val="single" w:color="auto" w:sz="4" w:space="0"/>
                    <w:left w:val="single" w:color="auto" w:sz="4" w:space="0"/>
                    <w:bottom w:val="single" w:color="auto" w:sz="12" w:space="0"/>
                    <w:right w:val="nil"/>
                  </w:tcBorders>
                  <w:noWrap/>
                  <w:vAlign w:val="center"/>
                </w:tcPr>
                <w:p>
                  <w:pPr>
                    <w:jc w:val="center"/>
                    <w:rPr>
                      <w:szCs w:val="21"/>
                    </w:rPr>
                  </w:pPr>
                  <w:r>
                    <w:rPr>
                      <w:szCs w:val="21"/>
                    </w:rPr>
                    <w:t>达标</w:t>
                  </w:r>
                </w:p>
              </w:tc>
            </w:tr>
          </w:tbl>
          <w:p>
            <w:pPr>
              <w:pStyle w:val="42"/>
              <w:ind w:firstLine="420"/>
              <w:rPr>
                <w:rFonts w:hint="eastAsia"/>
              </w:rPr>
            </w:pPr>
            <w:r>
              <w:rPr>
                <w:rFonts w:hint="eastAsia"/>
              </w:rPr>
              <w:t>根据上表统计结果，区域基本污染物可吸入颗粒物、二氧化硫、二氧化氮相应百分位数日平均质量浓度值及年平均质量浓度值、一氧化碳相应百分位数日平均浓度值及臭氧相应百分位数日最大8小时平均值符合《环境空气质量标准》（GB3095-2012）及其修改单中二级标准要求，细颗粒物相应百分位数日平均质量浓度值及年平均质量浓度值不符合二级标准要求，区域属于环境空气质量不达标区。</w:t>
            </w:r>
          </w:p>
          <w:p>
            <w:pPr>
              <w:pStyle w:val="42"/>
              <w:ind w:firstLine="420"/>
            </w:pPr>
            <w:r>
              <w:t>（</w:t>
            </w:r>
            <w:r>
              <w:rPr>
                <w:rFonts w:hint="eastAsia"/>
              </w:rPr>
              <w:t>2</w:t>
            </w:r>
            <w:r>
              <w:t>）特征污染物</w:t>
            </w:r>
          </w:p>
          <w:p>
            <w:pPr>
              <w:pStyle w:val="42"/>
              <w:ind w:firstLine="420"/>
            </w:pPr>
            <w:r>
              <w:t>本项目排放的特征污染物包括</w:t>
            </w:r>
            <w:r>
              <w:rPr>
                <w:rFonts w:hint="eastAsia"/>
              </w:rPr>
              <w:t>氨和硫化氢</w:t>
            </w:r>
            <w:r>
              <w:t>，</w:t>
            </w:r>
            <w:r>
              <w:rPr>
                <w:rFonts w:hint="eastAsia"/>
              </w:rPr>
              <w:t>特征污染物现状监测数据引用《黑龙江艾迪康医学检验实验室有限公司建设项目环境影响报告表》于2021年10月10日-12日的监测数据。该项目位于本项目西南侧3100m处，周边环境质量状况相近，监测数据引用合理。满足《建设</w:t>
            </w:r>
            <w:r>
              <w:t>项目环境影响报告表编制技术指南</w:t>
            </w:r>
            <w:r>
              <w:rPr>
                <w:rFonts w:hint="eastAsia"/>
              </w:rPr>
              <w:t>（污染</w:t>
            </w:r>
            <w:r>
              <w:t>影响类</w:t>
            </w:r>
            <w:r>
              <w:rPr>
                <w:rFonts w:hint="eastAsia"/>
              </w:rPr>
              <w:t>）（试行）》中“引用建设项目周边5千米范围内近3年的现有监测数据”要求。</w:t>
            </w:r>
          </w:p>
          <w:p>
            <w:pPr>
              <w:pStyle w:val="42"/>
              <w:ind w:firstLine="420"/>
            </w:pPr>
            <w:r>
              <w:t>①监测点位基本信息</w:t>
            </w:r>
          </w:p>
          <w:p>
            <w:pPr>
              <w:pStyle w:val="42"/>
              <w:ind w:firstLine="420"/>
            </w:pPr>
            <w:r>
              <w:t>本项目</w:t>
            </w:r>
            <w:r>
              <w:rPr>
                <w:rFonts w:hint="eastAsia"/>
              </w:rPr>
              <w:t>所在地当季主导风向为西南风向，</w:t>
            </w:r>
            <w:r>
              <w:t>特征污染物监测点位基本信息</w:t>
            </w:r>
            <w:r>
              <w:rPr>
                <w:rFonts w:hint="eastAsia"/>
              </w:rPr>
              <w:t>如下</w:t>
            </w:r>
            <w:r>
              <w:t>。</w:t>
            </w:r>
          </w:p>
          <w:p>
            <w:pPr>
              <w:pStyle w:val="32"/>
            </w:pPr>
            <w:r>
              <w:t>特征污染物监测点位基本信息表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5"/>
              <w:gridCol w:w="1483"/>
              <w:gridCol w:w="1371"/>
              <w:gridCol w:w="718"/>
              <w:gridCol w:w="1816"/>
              <w:gridCol w:w="844"/>
              <w:gridCol w:w="8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17" w:hRule="atLeast"/>
                <w:jc w:val="center"/>
              </w:trPr>
              <w:tc>
                <w:tcPr>
                  <w:tcW w:w="561" w:type="pct"/>
                  <w:vMerge w:val="restart"/>
                  <w:tcBorders>
                    <w:top w:val="single" w:color="auto" w:sz="12" w:space="0"/>
                    <w:left w:val="nil"/>
                    <w:bottom w:val="single" w:color="auto" w:sz="4" w:space="0"/>
                    <w:right w:val="single" w:color="auto" w:sz="4" w:space="0"/>
                  </w:tcBorders>
                  <w:vAlign w:val="center"/>
                </w:tcPr>
                <w:p>
                  <w:pPr>
                    <w:pStyle w:val="33"/>
                  </w:pPr>
                  <w:r>
                    <w:t>监测点位</w:t>
                  </w:r>
                </w:p>
              </w:tc>
              <w:tc>
                <w:tcPr>
                  <w:tcW w:w="1788" w:type="pct"/>
                  <w:gridSpan w:val="2"/>
                  <w:tcBorders>
                    <w:top w:val="single" w:color="auto" w:sz="12" w:space="0"/>
                    <w:left w:val="single" w:color="auto" w:sz="4" w:space="0"/>
                    <w:bottom w:val="single" w:color="auto" w:sz="4" w:space="0"/>
                    <w:right w:val="single" w:color="auto" w:sz="4" w:space="0"/>
                  </w:tcBorders>
                  <w:vAlign w:val="center"/>
                </w:tcPr>
                <w:p>
                  <w:pPr>
                    <w:pStyle w:val="33"/>
                  </w:pPr>
                  <w:r>
                    <w:rPr>
                      <w:rFonts w:hint="eastAsia"/>
                    </w:rPr>
                    <w:t>经纬度坐标°</w:t>
                  </w:r>
                </w:p>
              </w:tc>
              <w:tc>
                <w:tcPr>
                  <w:tcW w:w="450" w:type="pct"/>
                  <w:vMerge w:val="restart"/>
                  <w:tcBorders>
                    <w:top w:val="single" w:color="auto" w:sz="12" w:space="0"/>
                    <w:left w:val="single" w:color="auto" w:sz="4" w:space="0"/>
                    <w:bottom w:val="single" w:color="auto" w:sz="4" w:space="0"/>
                    <w:right w:val="single" w:color="auto" w:sz="4" w:space="0"/>
                  </w:tcBorders>
                  <w:vAlign w:val="center"/>
                </w:tcPr>
                <w:p>
                  <w:pPr>
                    <w:pStyle w:val="33"/>
                  </w:pPr>
                  <w:r>
                    <w:t>监测因子</w:t>
                  </w:r>
                </w:p>
              </w:tc>
              <w:tc>
                <w:tcPr>
                  <w:tcW w:w="1138" w:type="pct"/>
                  <w:vMerge w:val="restart"/>
                  <w:tcBorders>
                    <w:top w:val="single" w:color="auto" w:sz="12" w:space="0"/>
                    <w:left w:val="single" w:color="auto" w:sz="4" w:space="0"/>
                    <w:bottom w:val="single" w:color="auto" w:sz="4" w:space="0"/>
                    <w:right w:val="single" w:color="auto" w:sz="4" w:space="0"/>
                  </w:tcBorders>
                  <w:vAlign w:val="center"/>
                </w:tcPr>
                <w:p>
                  <w:pPr>
                    <w:pStyle w:val="33"/>
                  </w:pPr>
                  <w:r>
                    <w:t>监测时段</w:t>
                  </w:r>
                </w:p>
              </w:tc>
              <w:tc>
                <w:tcPr>
                  <w:tcW w:w="529" w:type="pct"/>
                  <w:vMerge w:val="restart"/>
                  <w:tcBorders>
                    <w:top w:val="single" w:color="auto" w:sz="12" w:space="0"/>
                    <w:left w:val="single" w:color="auto" w:sz="4" w:space="0"/>
                    <w:bottom w:val="single" w:color="auto" w:sz="4" w:space="0"/>
                    <w:right w:val="single" w:color="auto" w:sz="4" w:space="0"/>
                  </w:tcBorders>
                  <w:vAlign w:val="center"/>
                </w:tcPr>
                <w:p>
                  <w:pPr>
                    <w:pStyle w:val="33"/>
                  </w:pPr>
                  <w:r>
                    <w:t>相对厂址方位</w:t>
                  </w:r>
                </w:p>
              </w:tc>
              <w:tc>
                <w:tcPr>
                  <w:tcW w:w="530" w:type="pct"/>
                  <w:vMerge w:val="restart"/>
                  <w:tcBorders>
                    <w:top w:val="single" w:color="auto" w:sz="12" w:space="0"/>
                    <w:left w:val="single" w:color="auto" w:sz="4" w:space="0"/>
                    <w:bottom w:val="single" w:color="auto" w:sz="4" w:space="0"/>
                    <w:right w:val="nil"/>
                  </w:tcBorders>
                  <w:vAlign w:val="center"/>
                </w:tcPr>
                <w:p>
                  <w:pPr>
                    <w:pStyle w:val="33"/>
                  </w:pPr>
                  <w:r>
                    <w:t>相对厂界距离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5" w:hRule="atLeast"/>
                <w:jc w:val="center"/>
              </w:trPr>
              <w:tc>
                <w:tcPr>
                  <w:tcW w:w="561" w:type="pct"/>
                  <w:vMerge w:val="continue"/>
                  <w:tcBorders>
                    <w:top w:val="single" w:color="auto" w:sz="12" w:space="0"/>
                    <w:left w:val="nil"/>
                    <w:bottom w:val="single" w:color="auto" w:sz="4" w:space="0"/>
                    <w:right w:val="single" w:color="auto" w:sz="4" w:space="0"/>
                  </w:tcBorders>
                  <w:vAlign w:val="center"/>
                </w:tcPr>
                <w:p>
                  <w:pPr>
                    <w:pStyle w:val="33"/>
                  </w:pPr>
                </w:p>
              </w:tc>
              <w:tc>
                <w:tcPr>
                  <w:tcW w:w="929"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经度</w:t>
                  </w:r>
                </w:p>
              </w:tc>
              <w:tc>
                <w:tcPr>
                  <w:tcW w:w="859" w:type="pct"/>
                  <w:tcBorders>
                    <w:top w:val="single" w:color="auto" w:sz="4" w:space="0"/>
                    <w:left w:val="single" w:color="auto" w:sz="4" w:space="0"/>
                    <w:bottom w:val="single" w:color="auto" w:sz="4" w:space="0"/>
                    <w:right w:val="single" w:color="auto" w:sz="4" w:space="0"/>
                  </w:tcBorders>
                  <w:vAlign w:val="center"/>
                </w:tcPr>
                <w:p>
                  <w:pPr>
                    <w:pStyle w:val="33"/>
                  </w:pPr>
                  <w:r>
                    <w:rPr>
                      <w:rFonts w:hint="eastAsia"/>
                    </w:rPr>
                    <w:t>纬度</w:t>
                  </w:r>
                </w:p>
              </w:tc>
              <w:tc>
                <w:tcPr>
                  <w:tcW w:w="450" w:type="pct"/>
                  <w:vMerge w:val="continue"/>
                  <w:tcBorders>
                    <w:top w:val="single" w:color="auto" w:sz="12" w:space="0"/>
                    <w:left w:val="single" w:color="auto" w:sz="4" w:space="0"/>
                    <w:bottom w:val="single" w:color="auto" w:sz="4" w:space="0"/>
                    <w:right w:val="single" w:color="auto" w:sz="4" w:space="0"/>
                  </w:tcBorders>
                  <w:vAlign w:val="center"/>
                </w:tcPr>
                <w:p>
                  <w:pPr>
                    <w:pStyle w:val="33"/>
                  </w:pPr>
                </w:p>
              </w:tc>
              <w:tc>
                <w:tcPr>
                  <w:tcW w:w="1138" w:type="pct"/>
                  <w:vMerge w:val="continue"/>
                  <w:tcBorders>
                    <w:top w:val="single" w:color="auto" w:sz="12" w:space="0"/>
                    <w:left w:val="single" w:color="auto" w:sz="4" w:space="0"/>
                    <w:bottom w:val="single" w:color="auto" w:sz="4" w:space="0"/>
                    <w:right w:val="single" w:color="auto" w:sz="4" w:space="0"/>
                  </w:tcBorders>
                  <w:vAlign w:val="center"/>
                </w:tcPr>
                <w:p>
                  <w:pPr>
                    <w:pStyle w:val="33"/>
                  </w:pPr>
                </w:p>
              </w:tc>
              <w:tc>
                <w:tcPr>
                  <w:tcW w:w="529" w:type="pct"/>
                  <w:vMerge w:val="continue"/>
                  <w:tcBorders>
                    <w:top w:val="single" w:color="auto" w:sz="12" w:space="0"/>
                    <w:left w:val="single" w:color="auto" w:sz="4" w:space="0"/>
                    <w:bottom w:val="single" w:color="auto" w:sz="4" w:space="0"/>
                    <w:right w:val="single" w:color="auto" w:sz="4" w:space="0"/>
                  </w:tcBorders>
                  <w:vAlign w:val="center"/>
                </w:tcPr>
                <w:p>
                  <w:pPr>
                    <w:pStyle w:val="33"/>
                  </w:pPr>
                </w:p>
              </w:tc>
              <w:tc>
                <w:tcPr>
                  <w:tcW w:w="530" w:type="pct"/>
                  <w:vMerge w:val="continue"/>
                  <w:tcBorders>
                    <w:top w:val="single" w:color="auto" w:sz="12" w:space="0"/>
                    <w:left w:val="single" w:color="auto" w:sz="4" w:space="0"/>
                    <w:bottom w:val="single" w:color="auto" w:sz="4" w:space="0"/>
                    <w:right w:val="nil"/>
                  </w:tcBorders>
                  <w:vAlign w:val="center"/>
                </w:tcPr>
                <w:p>
                  <w:pPr>
                    <w:pStyle w:val="33"/>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561" w:type="pct"/>
                  <w:tcBorders>
                    <w:top w:val="single" w:color="auto" w:sz="4" w:space="0"/>
                    <w:left w:val="nil"/>
                    <w:bottom w:val="single" w:color="auto" w:sz="12" w:space="0"/>
                    <w:right w:val="single" w:color="auto" w:sz="4" w:space="0"/>
                  </w:tcBorders>
                  <w:vAlign w:val="center"/>
                </w:tcPr>
                <w:p>
                  <w:pPr>
                    <w:pStyle w:val="33"/>
                  </w:pPr>
                  <w:r>
                    <w:t>厂区下风向</w:t>
                  </w:r>
                </w:p>
              </w:tc>
              <w:tc>
                <w:tcPr>
                  <w:tcW w:w="929" w:type="pct"/>
                  <w:tcBorders>
                    <w:top w:val="single" w:color="auto" w:sz="4" w:space="0"/>
                    <w:left w:val="single" w:color="auto" w:sz="4" w:space="0"/>
                    <w:bottom w:val="single" w:color="auto" w:sz="12" w:space="0"/>
                    <w:right w:val="single" w:color="auto" w:sz="4" w:space="0"/>
                  </w:tcBorders>
                  <w:vAlign w:val="center"/>
                </w:tcPr>
                <w:p>
                  <w:pPr>
                    <w:pStyle w:val="33"/>
                  </w:pPr>
                  <w:r>
                    <w:t>126.46594048</w:t>
                  </w:r>
                </w:p>
              </w:tc>
              <w:tc>
                <w:tcPr>
                  <w:tcW w:w="859" w:type="pct"/>
                  <w:tcBorders>
                    <w:top w:val="single" w:color="auto" w:sz="4" w:space="0"/>
                    <w:left w:val="single" w:color="auto" w:sz="4" w:space="0"/>
                    <w:bottom w:val="single" w:color="auto" w:sz="12" w:space="0"/>
                    <w:right w:val="single" w:color="auto" w:sz="4" w:space="0"/>
                  </w:tcBorders>
                  <w:vAlign w:val="center"/>
                </w:tcPr>
                <w:p>
                  <w:pPr>
                    <w:pStyle w:val="33"/>
                  </w:pPr>
                  <w:r>
                    <w:t>45.78425870</w:t>
                  </w:r>
                </w:p>
              </w:tc>
              <w:tc>
                <w:tcPr>
                  <w:tcW w:w="450" w:type="pct"/>
                  <w:tcBorders>
                    <w:top w:val="single" w:color="auto" w:sz="4" w:space="0"/>
                    <w:left w:val="single" w:color="auto" w:sz="4" w:space="0"/>
                    <w:bottom w:val="single" w:color="auto" w:sz="12" w:space="0"/>
                    <w:right w:val="single" w:color="auto" w:sz="4" w:space="0"/>
                  </w:tcBorders>
                  <w:vAlign w:val="center"/>
                </w:tcPr>
                <w:p>
                  <w:pPr>
                    <w:pStyle w:val="33"/>
                  </w:pPr>
                  <w:r>
                    <w:rPr>
                      <w:rFonts w:hint="eastAsia"/>
                    </w:rPr>
                    <w:t>氨、硫化氢</w:t>
                  </w:r>
                </w:p>
              </w:tc>
              <w:tc>
                <w:tcPr>
                  <w:tcW w:w="1138" w:type="pct"/>
                  <w:tcBorders>
                    <w:top w:val="single" w:color="auto" w:sz="4" w:space="0"/>
                    <w:left w:val="single" w:color="auto" w:sz="4" w:space="0"/>
                    <w:bottom w:val="single" w:color="auto" w:sz="12" w:space="0"/>
                    <w:right w:val="single" w:color="auto" w:sz="4" w:space="0"/>
                  </w:tcBorders>
                  <w:vAlign w:val="center"/>
                </w:tcPr>
                <w:p>
                  <w:pPr>
                    <w:pStyle w:val="33"/>
                  </w:pPr>
                  <w:r>
                    <w:t>202</w:t>
                  </w:r>
                  <w:r>
                    <w:rPr>
                      <w:rFonts w:hint="eastAsia"/>
                    </w:rPr>
                    <w:t>1</w:t>
                  </w:r>
                  <w:r>
                    <w:t>年</w:t>
                  </w:r>
                  <w:r>
                    <w:rPr>
                      <w:rFonts w:hint="eastAsia"/>
                    </w:rPr>
                    <w:t>10</w:t>
                  </w:r>
                  <w:r>
                    <w:t>月</w:t>
                  </w:r>
                  <w:r>
                    <w:rPr>
                      <w:rFonts w:hint="eastAsia"/>
                    </w:rPr>
                    <w:t>10</w:t>
                  </w:r>
                  <w:r>
                    <w:t>日-202</w:t>
                  </w:r>
                  <w:r>
                    <w:rPr>
                      <w:rFonts w:hint="eastAsia"/>
                    </w:rPr>
                    <w:t>1</w:t>
                  </w:r>
                  <w:r>
                    <w:t>年</w:t>
                  </w:r>
                  <w:r>
                    <w:rPr>
                      <w:rFonts w:hint="eastAsia"/>
                    </w:rPr>
                    <w:t>10</w:t>
                  </w:r>
                  <w:r>
                    <w:t>月</w:t>
                  </w:r>
                  <w:r>
                    <w:rPr>
                      <w:rFonts w:hint="eastAsia"/>
                    </w:rPr>
                    <w:t>12</w:t>
                  </w:r>
                  <w:r>
                    <w:t>日</w:t>
                  </w:r>
                </w:p>
              </w:tc>
              <w:tc>
                <w:tcPr>
                  <w:tcW w:w="529" w:type="pct"/>
                  <w:tcBorders>
                    <w:top w:val="single" w:color="auto" w:sz="4" w:space="0"/>
                    <w:left w:val="single" w:color="auto" w:sz="4" w:space="0"/>
                    <w:bottom w:val="single" w:color="auto" w:sz="12" w:space="0"/>
                    <w:right w:val="single" w:color="auto" w:sz="4" w:space="0"/>
                  </w:tcBorders>
                  <w:vAlign w:val="center"/>
                </w:tcPr>
                <w:p>
                  <w:pPr>
                    <w:pStyle w:val="33"/>
                  </w:pPr>
                  <w:r>
                    <w:rPr>
                      <w:rFonts w:hint="eastAsia"/>
                    </w:rPr>
                    <w:t>西南侧</w:t>
                  </w:r>
                </w:p>
              </w:tc>
              <w:tc>
                <w:tcPr>
                  <w:tcW w:w="530" w:type="pct"/>
                  <w:tcBorders>
                    <w:top w:val="single" w:color="auto" w:sz="4" w:space="0"/>
                    <w:left w:val="single" w:color="auto" w:sz="4" w:space="0"/>
                    <w:bottom w:val="single" w:color="auto" w:sz="12" w:space="0"/>
                    <w:right w:val="nil"/>
                  </w:tcBorders>
                  <w:vAlign w:val="center"/>
                </w:tcPr>
                <w:p>
                  <w:pPr>
                    <w:pStyle w:val="33"/>
                  </w:pPr>
                  <w:r>
                    <w:rPr>
                      <w:rFonts w:hint="eastAsia"/>
                    </w:rPr>
                    <w:t>3100</w:t>
                  </w:r>
                  <w:r>
                    <w:t>m</w:t>
                  </w:r>
                </w:p>
              </w:tc>
            </w:tr>
          </w:tbl>
          <w:p>
            <w:pPr>
              <w:tabs>
                <w:tab w:val="left" w:pos="2160"/>
              </w:tabs>
              <w:adjustRightInd w:val="0"/>
              <w:snapToGrid w:val="0"/>
              <w:spacing w:line="360" w:lineRule="auto"/>
              <w:jc w:val="center"/>
              <w:rPr>
                <w:sz w:val="24"/>
                <w:highlight w:val="yellow"/>
              </w:rPr>
            </w:pPr>
            <w:r>
              <w:rPr>
                <w:sz w:val="24"/>
              </w:rPr>
              <mc:AlternateContent>
                <mc:Choice Requires="wps">
                  <w:drawing>
                    <wp:anchor distT="0" distB="0" distL="114300" distR="114300" simplePos="0" relativeHeight="251673600" behindDoc="0" locked="0" layoutInCell="1" allowOverlap="1">
                      <wp:simplePos x="0" y="0"/>
                      <wp:positionH relativeFrom="column">
                        <wp:posOffset>3342005</wp:posOffset>
                      </wp:positionH>
                      <wp:positionV relativeFrom="paragraph">
                        <wp:posOffset>920115</wp:posOffset>
                      </wp:positionV>
                      <wp:extent cx="152400" cy="152400"/>
                      <wp:effectExtent l="4445" t="4445" r="14605" b="14605"/>
                      <wp:wrapNone/>
                      <wp:docPr id="11" name="椭圆 52"/>
                      <wp:cNvGraphicFramePr/>
                      <a:graphic xmlns:a="http://schemas.openxmlformats.org/drawingml/2006/main">
                        <a:graphicData uri="http://schemas.microsoft.com/office/word/2010/wordprocessingShape">
                          <wps:wsp>
                            <wps:cNvSpPr/>
                            <wps:spPr>
                              <a:xfrm>
                                <a:off x="0" y="0"/>
                                <a:ext cx="152400" cy="152400"/>
                              </a:xfrm>
                              <a:prstGeom prst="ellipse">
                                <a:avLst/>
                              </a:prstGeom>
                              <a:solidFill>
                                <a:srgbClr val="FF0000"/>
                              </a:solidFill>
                              <a:ln w="9525" cap="flat" cmpd="sng">
                                <a:solidFill>
                                  <a:srgbClr val="000000"/>
                                </a:solidFill>
                                <a:prstDash val="solid"/>
                                <a:headEnd type="none" w="med" len="med"/>
                                <a:tailEnd type="none" w="med" len="med"/>
                              </a:ln>
                            </wps:spPr>
                            <wps:bodyPr upright="1"/>
                          </wps:wsp>
                        </a:graphicData>
                      </a:graphic>
                    </wp:anchor>
                  </w:drawing>
                </mc:Choice>
                <mc:Fallback>
                  <w:pict>
                    <v:shape id="椭圆 52" o:spid="_x0000_s1026" o:spt="3" type="#_x0000_t3" style="position:absolute;left:0pt;margin-left:263.15pt;margin-top:72.45pt;height:12pt;width:12pt;z-index:251673600;mso-width-relative:page;mso-height-relative:page;" fillcolor="#FF0000" filled="t" stroked="t" coordsize="21600,21600" o:gfxdata="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WrCaa2QAAAAsBAAAPAAAAAAAAAAEAIAAAACIAAABkcnMvZG93bnJldi54bWxQ&#10;SwECFAAUAAAACACHTuJAXrwN5fYBAAAYBAAADgAAAAAAAAABACAAAAAoAQAAZHJzL2Uyb0RvYy54&#10;bWxQSwUGAAAAAAYABgBZAQAAkAUAAAAA&#10;">
                      <v:fill on="t" focussize="0,0"/>
                      <v:stroke color="#000000" joinstyle="round"/>
                      <v:imagedata o:title=""/>
                      <o:lock v:ext="edit" aspectratio="f"/>
                    </v:shape>
                  </w:pict>
                </mc:Fallback>
              </mc:AlternateContent>
            </w:r>
            <w:r>
              <w:drawing>
                <wp:anchor distT="0" distB="0" distL="114300" distR="114300" simplePos="0" relativeHeight="251660288" behindDoc="0" locked="0" layoutInCell="1" allowOverlap="1">
                  <wp:simplePos x="0" y="0"/>
                  <wp:positionH relativeFrom="column">
                    <wp:posOffset>20320</wp:posOffset>
                  </wp:positionH>
                  <wp:positionV relativeFrom="paragraph">
                    <wp:posOffset>-4445</wp:posOffset>
                  </wp:positionV>
                  <wp:extent cx="753110" cy="852170"/>
                  <wp:effectExtent l="19050" t="0" r="8890" b="0"/>
                  <wp:wrapNone/>
                  <wp:docPr id="23" name="图片 47" descr="360截图2021051016091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7" descr="360截图20210510160912399"/>
                          <pic:cNvPicPr>
                            <a:picLocks noChangeAspect="1"/>
                          </pic:cNvPicPr>
                        </pic:nvPicPr>
                        <pic:blipFill>
                          <a:blip r:embed="rId16"/>
                          <a:stretch>
                            <a:fillRect/>
                          </a:stretch>
                        </pic:blipFill>
                        <pic:spPr>
                          <a:xfrm>
                            <a:off x="0" y="0"/>
                            <a:ext cx="753110" cy="852170"/>
                          </a:xfrm>
                          <a:prstGeom prst="rect">
                            <a:avLst/>
                          </a:prstGeom>
                          <a:noFill/>
                          <a:ln>
                            <a:noFill/>
                          </a:ln>
                        </pic:spPr>
                      </pic:pic>
                    </a:graphicData>
                  </a:graphic>
                </wp:anchor>
              </w:drawing>
            </w:r>
            <w:r>
              <mc:AlternateContent>
                <mc:Choice Requires="wps">
                  <w:drawing>
                    <wp:anchor distT="0" distB="0" distL="114300" distR="114300" simplePos="0" relativeHeight="251676672" behindDoc="0" locked="0" layoutInCell="1" allowOverlap="1">
                      <wp:simplePos x="0" y="0"/>
                      <wp:positionH relativeFrom="column">
                        <wp:posOffset>2084705</wp:posOffset>
                      </wp:positionH>
                      <wp:positionV relativeFrom="paragraph">
                        <wp:posOffset>4130040</wp:posOffset>
                      </wp:positionV>
                      <wp:extent cx="1021715" cy="447040"/>
                      <wp:effectExtent l="4445" t="5080" r="21590" b="5080"/>
                      <wp:wrapNone/>
                      <wp:docPr id="16" name="文本框 55"/>
                      <wp:cNvGraphicFramePr/>
                      <a:graphic xmlns:a="http://schemas.openxmlformats.org/drawingml/2006/main">
                        <a:graphicData uri="http://schemas.microsoft.com/office/word/2010/wordprocessingShape">
                          <wps:wsp>
                            <wps:cNvSpPr txBox="1"/>
                            <wps:spPr>
                              <a:xfrm>
                                <a:off x="0" y="0"/>
                                <a:ext cx="1021715" cy="44704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引用监测点位</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55" o:spid="_x0000_s1026" o:spt="202" type="#_x0000_t202" style="position:absolute;left:0pt;margin-left:164.15pt;margin-top:325.2pt;height:35.2pt;width:80.45pt;z-index:251676672;mso-width-relative:page;mso-height-relative:margin;mso-height-percent:200;" fillcolor="#FFFFFF" filled="t" stroked="t" coordsize="21600,21600" o:gfxdata="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c37hz2AAAAAsBAAAP&#10;AAAAAAAAAAEAIAAAACIAAABkcnMvZG93bnJldi54bWxQSwECFAAUAAAACACHTuJANPrIExgCAABS&#10;BAAADgAAAAAAAAABACAAAAAnAQAAZHJzL2Uyb0RvYy54bWxQSwUGAAAAAAYABgBZAQAAsQUAAAAA&#10;">
                      <v:fill on="t" focussize="0,0"/>
                      <v:stroke color="#000000" joinstyle="miter"/>
                      <v:imagedata o:title=""/>
                      <o:lock v:ext="edit" aspectratio="f"/>
                      <v:textbox style="mso-fit-shape-to-text:t;">
                        <w:txbxContent>
                          <w:p>
                            <w:r>
                              <w:rPr>
                                <w:rFonts w:hint="eastAsia"/>
                              </w:rPr>
                              <w:t>引用监测点位</w:t>
                            </w:r>
                          </w:p>
                        </w:txbxContent>
                      </v:textbox>
                    </v:shape>
                  </w:pict>
                </mc:Fallback>
              </mc:AlternateContent>
            </w:r>
            <w:r>
              <mc:AlternateContent>
                <mc:Choice Requires="wps">
                  <w:drawing>
                    <wp:anchor distT="0" distB="0" distL="114300" distR="114300" simplePos="0" relativeHeight="251675648" behindDoc="0" locked="0" layoutInCell="1" allowOverlap="1">
                      <wp:simplePos x="0" y="0"/>
                      <wp:positionH relativeFrom="column">
                        <wp:posOffset>2415540</wp:posOffset>
                      </wp:positionH>
                      <wp:positionV relativeFrom="paragraph">
                        <wp:posOffset>721995</wp:posOffset>
                      </wp:positionV>
                      <wp:extent cx="896620" cy="273685"/>
                      <wp:effectExtent l="4445" t="4445" r="13335" b="7620"/>
                      <wp:wrapNone/>
                      <wp:docPr id="14" name="文本框 54"/>
                      <wp:cNvGraphicFramePr/>
                      <a:graphic xmlns:a="http://schemas.openxmlformats.org/drawingml/2006/main">
                        <a:graphicData uri="http://schemas.microsoft.com/office/word/2010/wordprocessingShape">
                          <wps:wsp>
                            <wps:cNvSpPr txBox="1"/>
                            <wps:spPr>
                              <a:xfrm>
                                <a:off x="0" y="0"/>
                                <a:ext cx="896620" cy="273685"/>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本项目位置</w:t>
                                  </w:r>
                                </w:p>
                              </w:txbxContent>
                            </wps:txbx>
                            <wps:bodyPr upright="1">
                              <a:spAutoFit/>
                            </wps:bodyPr>
                          </wps:wsp>
                        </a:graphicData>
                      </a:graphic>
                      <wp14:sizeRelH relativeFrom="page">
                        <wp14:pctWidth>0</wp14:pctWidth>
                      </wp14:sizeRelH>
                      <wp14:sizeRelV relativeFrom="margin">
                        <wp14:pctHeight>20000</wp14:pctHeight>
                      </wp14:sizeRelV>
                    </wp:anchor>
                  </w:drawing>
                </mc:Choice>
                <mc:Fallback>
                  <w:pict>
                    <v:shape id="文本框 54" o:spid="_x0000_s1026" o:spt="202" type="#_x0000_t202" style="position:absolute;left:0pt;margin-left:190.2pt;margin-top:56.85pt;height:21.55pt;width:70.6pt;z-index:251675648;mso-width-relative:page;mso-height-relative:margin;mso-height-percent:200;" fillcolor="#FFFFFF" filled="t" stroked="t" coordsize="21600,21600" o:gfxdata="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PlRjRLYAAAACwEAAA8A&#10;AAAAAAAAAQAgAAAAIgAAAGRycy9kb3ducmV2LnhtbFBLAQIUABQAAAAIAIdO4kD/2oraFwIAAFEE&#10;AAAOAAAAAAAAAAEAIAAAACcBAABkcnMvZTJvRG9jLnhtbFBLBQYAAAAABgAGAFkBAACwBQAAAAA=&#10;">
                      <v:fill on="t" focussize="0,0"/>
                      <v:stroke color="#000000" joinstyle="miter"/>
                      <v:imagedata o:title=""/>
                      <o:lock v:ext="edit" aspectratio="f"/>
                      <v:textbox style="mso-fit-shape-to-text:t;">
                        <w:txbxContent>
                          <w:p>
                            <w:r>
                              <w:rPr>
                                <w:rFonts w:hint="eastAsia"/>
                              </w:rPr>
                              <w:t>本项目位置</w:t>
                            </w:r>
                          </w:p>
                        </w:txbxContent>
                      </v:textbox>
                    </v:shape>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2347595</wp:posOffset>
                      </wp:positionH>
                      <wp:positionV relativeFrom="paragraph">
                        <wp:posOffset>3869055</wp:posOffset>
                      </wp:positionV>
                      <wp:extent cx="133350" cy="133350"/>
                      <wp:effectExtent l="4445" t="4445" r="14605" b="14605"/>
                      <wp:wrapNone/>
                      <wp:docPr id="13" name="椭圆 53"/>
                      <wp:cNvGraphicFramePr/>
                      <a:graphic xmlns:a="http://schemas.openxmlformats.org/drawingml/2006/main">
                        <a:graphicData uri="http://schemas.microsoft.com/office/word/2010/wordprocessingShape">
                          <wps:wsp>
                            <wps:cNvSpPr/>
                            <wps:spPr>
                              <a:xfrm>
                                <a:off x="0" y="0"/>
                                <a:ext cx="133350" cy="133350"/>
                              </a:xfrm>
                              <a:prstGeom prst="ellipse">
                                <a:avLst/>
                              </a:prstGeom>
                              <a:solidFill>
                                <a:srgbClr val="FFFF00"/>
                              </a:solidFill>
                              <a:ln w="9525" cap="flat" cmpd="sng">
                                <a:solidFill>
                                  <a:srgbClr val="000000"/>
                                </a:solidFill>
                                <a:prstDash val="solid"/>
                                <a:headEnd type="none" w="med" len="med"/>
                                <a:tailEnd type="none" w="med" len="med"/>
                              </a:ln>
                            </wps:spPr>
                            <wps:bodyPr upright="1"/>
                          </wps:wsp>
                        </a:graphicData>
                      </a:graphic>
                    </wp:anchor>
                  </w:drawing>
                </mc:Choice>
                <mc:Fallback>
                  <w:pict>
                    <v:shape id="椭圆 53" o:spid="_x0000_s1026" o:spt="3" type="#_x0000_t3" style="position:absolute;left:0pt;margin-left:184.85pt;margin-top:304.65pt;height:10.5pt;width:10.5pt;z-index:251674624;mso-width-relative:page;mso-height-relative:page;" fillcolor="#FFFF00" filled="t" stroked="t" coordsize="21600,21600" o:gfxdata="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bm6a+9gAAAALAQAADwAAAAAAAAABACAAAAAiAAAAZHJzL2Rvd25yZXYueG1s&#10;UEsBAhQAFAAAAAgAh07iQIGu+Pb4AQAAGAQAAA4AAAAAAAAAAQAgAAAAJwEAAGRycy9lMm9Eb2Mu&#10;eG1sUEsFBgAAAAAGAAYAWQEAAJEFAAAAAA==&#10;">
                      <v:fill on="t" focussize="0,0"/>
                      <v:stroke color="#000000" joinstyle="round"/>
                      <v:imagedata o:title=""/>
                      <o:lock v:ext="edit" aspectratio="f"/>
                    </v:shape>
                  </w:pict>
                </mc:Fallback>
              </mc:AlternateContent>
            </w:r>
            <w:r>
              <w:rPr>
                <w:sz w:val="24"/>
              </w:rPr>
              <w:drawing>
                <wp:inline distT="0" distB="0" distL="0" distR="0">
                  <wp:extent cx="5734050" cy="4610100"/>
                  <wp:effectExtent l="19050" t="0" r="0" b="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noChangeArrowheads="1"/>
                          </pic:cNvPicPr>
                        </pic:nvPicPr>
                        <pic:blipFill>
                          <a:blip r:embed="rId17"/>
                          <a:srcRect/>
                          <a:stretch>
                            <a:fillRect/>
                          </a:stretch>
                        </pic:blipFill>
                        <pic:spPr>
                          <a:xfrm>
                            <a:off x="0" y="0"/>
                            <a:ext cx="5734050" cy="4610100"/>
                          </a:xfrm>
                          <a:prstGeom prst="rect">
                            <a:avLst/>
                          </a:prstGeom>
                          <a:noFill/>
                          <a:ln w="9525">
                            <a:noFill/>
                            <a:miter lim="800000"/>
                            <a:headEnd/>
                            <a:tailEnd/>
                          </a:ln>
                        </pic:spPr>
                      </pic:pic>
                    </a:graphicData>
                  </a:graphic>
                </wp:inline>
              </w:drawing>
            </w:r>
          </w:p>
          <w:p>
            <w:pPr>
              <w:pStyle w:val="31"/>
            </w:pPr>
            <w:r>
              <w:t>大气监测点位示意图</w:t>
            </w:r>
          </w:p>
          <w:p>
            <w:pPr>
              <w:pStyle w:val="42"/>
              <w:ind w:firstLine="420"/>
            </w:pPr>
            <w:r>
              <w:t>（2）特征污染物环境质量现状监测</w:t>
            </w:r>
          </w:p>
          <w:p>
            <w:pPr>
              <w:pStyle w:val="42"/>
              <w:ind w:firstLine="420"/>
            </w:pPr>
            <w:r>
              <w:t>本项目特征污染物环境质量现状监测结果见表</w:t>
            </w:r>
            <w:r>
              <w:rPr>
                <w:rFonts w:hint="eastAsia"/>
                <w:lang w:val="en-US" w:eastAsia="zh-CN"/>
              </w:rPr>
              <w:t>8</w:t>
            </w:r>
            <w:r>
              <w:t>。</w:t>
            </w:r>
          </w:p>
          <w:p>
            <w:pPr>
              <w:pStyle w:val="32"/>
            </w:pPr>
            <w:r>
              <w:t>特征污染物环境质量现状（监测结果）表</w:t>
            </w:r>
          </w:p>
          <w:tbl>
            <w:tblPr>
              <w:tblStyle w:val="26"/>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51"/>
              <w:gridCol w:w="1224"/>
              <w:gridCol w:w="904"/>
              <w:gridCol w:w="1008"/>
              <w:gridCol w:w="1177"/>
              <w:gridCol w:w="1111"/>
              <w:gridCol w:w="778"/>
              <w:gridCol w:w="7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0" w:type="pct"/>
                  <w:vMerge w:val="restart"/>
                  <w:vAlign w:val="center"/>
                </w:tcPr>
                <w:p>
                  <w:pPr>
                    <w:pStyle w:val="33"/>
                  </w:pPr>
                  <w:r>
                    <w:t>监测点位</w:t>
                  </w:r>
                </w:p>
              </w:tc>
              <w:tc>
                <w:tcPr>
                  <w:tcW w:w="768" w:type="pct"/>
                  <w:vMerge w:val="restart"/>
                  <w:vAlign w:val="center"/>
                </w:tcPr>
                <w:p>
                  <w:pPr>
                    <w:pStyle w:val="33"/>
                  </w:pPr>
                  <w:r>
                    <w:t>污染物</w:t>
                  </w:r>
                </w:p>
              </w:tc>
              <w:tc>
                <w:tcPr>
                  <w:tcW w:w="567" w:type="pct"/>
                  <w:vMerge w:val="restart"/>
                  <w:vAlign w:val="center"/>
                </w:tcPr>
                <w:p>
                  <w:pPr>
                    <w:pStyle w:val="33"/>
                  </w:pPr>
                  <w:r>
                    <w:t>平均时间</w:t>
                  </w:r>
                </w:p>
              </w:tc>
              <w:tc>
                <w:tcPr>
                  <w:tcW w:w="632" w:type="pct"/>
                  <w:vMerge w:val="restart"/>
                  <w:vAlign w:val="center"/>
                </w:tcPr>
                <w:p>
                  <w:pPr>
                    <w:pStyle w:val="33"/>
                  </w:pPr>
                  <w:r>
                    <w:t>评价标准</w:t>
                  </w:r>
                </w:p>
                <w:p>
                  <w:pPr>
                    <w:pStyle w:val="33"/>
                  </w:pPr>
                  <w:r>
                    <w:t>（</w:t>
                  </w:r>
                  <w:r>
                    <w:rPr>
                      <w:rFonts w:hint="eastAsia"/>
                    </w:rPr>
                    <w:t>m</w:t>
                  </w:r>
                  <w:r>
                    <w:t>g/m</w:t>
                  </w:r>
                  <w:r>
                    <w:rPr>
                      <w:vertAlign w:val="superscript"/>
                    </w:rPr>
                    <w:t>3</w:t>
                  </w:r>
                  <w:r>
                    <w:t>)</w:t>
                  </w:r>
                </w:p>
              </w:tc>
              <w:tc>
                <w:tcPr>
                  <w:tcW w:w="738" w:type="pct"/>
                  <w:vMerge w:val="restart"/>
                  <w:vAlign w:val="center"/>
                </w:tcPr>
                <w:p>
                  <w:pPr>
                    <w:pStyle w:val="33"/>
                  </w:pPr>
                  <w:r>
                    <w:t>监测浓度范围</w:t>
                  </w:r>
                </w:p>
                <w:p>
                  <w:pPr>
                    <w:pStyle w:val="33"/>
                  </w:pPr>
                  <w:r>
                    <w:t>(</w:t>
                  </w:r>
                  <w:r>
                    <w:rPr>
                      <w:rFonts w:hint="eastAsia"/>
                    </w:rPr>
                    <w:t>m</w:t>
                  </w:r>
                  <w:r>
                    <w:t>g/m</w:t>
                  </w:r>
                  <w:r>
                    <w:rPr>
                      <w:vertAlign w:val="superscript"/>
                    </w:rPr>
                    <w:t>3</w:t>
                  </w:r>
                  <w:r>
                    <w:t>)</w:t>
                  </w:r>
                </w:p>
              </w:tc>
              <w:tc>
                <w:tcPr>
                  <w:tcW w:w="697" w:type="pct"/>
                  <w:vMerge w:val="restart"/>
                  <w:vAlign w:val="center"/>
                </w:tcPr>
                <w:p>
                  <w:pPr>
                    <w:pStyle w:val="33"/>
                  </w:pPr>
                  <w:r>
                    <w:t>最大浓度占标率%</w:t>
                  </w:r>
                </w:p>
              </w:tc>
              <w:tc>
                <w:tcPr>
                  <w:tcW w:w="488" w:type="pct"/>
                  <w:vMerge w:val="restart"/>
                  <w:vAlign w:val="center"/>
                </w:tcPr>
                <w:p>
                  <w:pPr>
                    <w:pStyle w:val="33"/>
                  </w:pPr>
                  <w:r>
                    <w:t>超标率%</w:t>
                  </w:r>
                </w:p>
              </w:tc>
              <w:tc>
                <w:tcPr>
                  <w:tcW w:w="449" w:type="pct"/>
                  <w:vMerge w:val="restart"/>
                  <w:vAlign w:val="center"/>
                </w:tcPr>
                <w:p>
                  <w:pPr>
                    <w:pStyle w:val="33"/>
                  </w:pPr>
                  <w: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0" w:type="pct"/>
                  <w:vMerge w:val="continue"/>
                  <w:vAlign w:val="center"/>
                </w:tcPr>
                <w:p>
                  <w:pPr>
                    <w:pStyle w:val="33"/>
                  </w:pPr>
                </w:p>
              </w:tc>
              <w:tc>
                <w:tcPr>
                  <w:tcW w:w="768" w:type="pct"/>
                  <w:vMerge w:val="continue"/>
                  <w:vAlign w:val="center"/>
                </w:tcPr>
                <w:p>
                  <w:pPr>
                    <w:pStyle w:val="33"/>
                  </w:pPr>
                </w:p>
              </w:tc>
              <w:tc>
                <w:tcPr>
                  <w:tcW w:w="567" w:type="pct"/>
                  <w:vMerge w:val="continue"/>
                  <w:vAlign w:val="center"/>
                </w:tcPr>
                <w:p>
                  <w:pPr>
                    <w:pStyle w:val="33"/>
                  </w:pPr>
                </w:p>
              </w:tc>
              <w:tc>
                <w:tcPr>
                  <w:tcW w:w="632" w:type="pct"/>
                  <w:vMerge w:val="continue"/>
                  <w:vAlign w:val="center"/>
                </w:tcPr>
                <w:p>
                  <w:pPr>
                    <w:pStyle w:val="33"/>
                  </w:pPr>
                </w:p>
              </w:tc>
              <w:tc>
                <w:tcPr>
                  <w:tcW w:w="738" w:type="pct"/>
                  <w:vMerge w:val="continue"/>
                  <w:vAlign w:val="center"/>
                </w:tcPr>
                <w:p>
                  <w:pPr>
                    <w:pStyle w:val="33"/>
                  </w:pPr>
                </w:p>
              </w:tc>
              <w:tc>
                <w:tcPr>
                  <w:tcW w:w="697" w:type="pct"/>
                  <w:vMerge w:val="continue"/>
                  <w:vAlign w:val="center"/>
                </w:tcPr>
                <w:p>
                  <w:pPr>
                    <w:pStyle w:val="33"/>
                  </w:pPr>
                </w:p>
              </w:tc>
              <w:tc>
                <w:tcPr>
                  <w:tcW w:w="488" w:type="pct"/>
                  <w:vMerge w:val="continue"/>
                  <w:vAlign w:val="center"/>
                </w:tcPr>
                <w:p>
                  <w:pPr>
                    <w:pStyle w:val="33"/>
                  </w:pPr>
                </w:p>
              </w:tc>
              <w:tc>
                <w:tcPr>
                  <w:tcW w:w="449" w:type="pct"/>
                  <w:vMerge w:val="continue"/>
                  <w:vAlign w:val="center"/>
                </w:tcPr>
                <w:p>
                  <w:pPr>
                    <w:pStyle w:val="33"/>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660" w:type="pct"/>
                  <w:vMerge w:val="restart"/>
                  <w:vAlign w:val="center"/>
                </w:tcPr>
                <w:p>
                  <w:pPr>
                    <w:pStyle w:val="33"/>
                  </w:pPr>
                  <w:r>
                    <w:t>厂区下风向</w:t>
                  </w:r>
                </w:p>
              </w:tc>
              <w:tc>
                <w:tcPr>
                  <w:tcW w:w="768" w:type="pct"/>
                  <w:vAlign w:val="center"/>
                </w:tcPr>
                <w:p>
                  <w:pPr>
                    <w:pStyle w:val="33"/>
                  </w:pPr>
                  <w:r>
                    <w:rPr>
                      <w:rFonts w:hint="eastAsia"/>
                    </w:rPr>
                    <w:t>氨</w:t>
                  </w:r>
                </w:p>
              </w:tc>
              <w:tc>
                <w:tcPr>
                  <w:tcW w:w="567" w:type="pct"/>
                  <w:vAlign w:val="center"/>
                </w:tcPr>
                <w:p>
                  <w:pPr>
                    <w:pStyle w:val="33"/>
                  </w:pPr>
                  <w:r>
                    <w:rPr>
                      <w:rFonts w:hint="eastAsia"/>
                    </w:rPr>
                    <w:t>日均值</w:t>
                  </w:r>
                </w:p>
              </w:tc>
              <w:tc>
                <w:tcPr>
                  <w:tcW w:w="632" w:type="pct"/>
                  <w:vAlign w:val="center"/>
                </w:tcPr>
                <w:p>
                  <w:pPr>
                    <w:pStyle w:val="33"/>
                  </w:pPr>
                  <w:r>
                    <w:rPr>
                      <w:rFonts w:hint="eastAsia"/>
                    </w:rPr>
                    <w:t>0.2</w:t>
                  </w:r>
                </w:p>
              </w:tc>
              <w:tc>
                <w:tcPr>
                  <w:tcW w:w="738" w:type="pct"/>
                  <w:vAlign w:val="center"/>
                </w:tcPr>
                <w:p>
                  <w:pPr>
                    <w:pStyle w:val="33"/>
                  </w:pPr>
                  <w:r>
                    <w:rPr>
                      <w:rFonts w:hint="eastAsia"/>
                    </w:rPr>
                    <w:t>0.08-0.09</w:t>
                  </w:r>
                </w:p>
              </w:tc>
              <w:tc>
                <w:tcPr>
                  <w:tcW w:w="697" w:type="pct"/>
                  <w:vAlign w:val="center"/>
                </w:tcPr>
                <w:p>
                  <w:pPr>
                    <w:pStyle w:val="33"/>
                  </w:pPr>
                  <w:r>
                    <w:rPr>
                      <w:rFonts w:hint="eastAsia"/>
                    </w:rPr>
                    <w:t>45</w:t>
                  </w:r>
                </w:p>
              </w:tc>
              <w:tc>
                <w:tcPr>
                  <w:tcW w:w="488" w:type="pct"/>
                  <w:vAlign w:val="center"/>
                </w:tcPr>
                <w:p>
                  <w:pPr>
                    <w:pStyle w:val="33"/>
                  </w:pPr>
                  <w:r>
                    <w:rPr>
                      <w:rFonts w:hint="eastAsia"/>
                    </w:rPr>
                    <w:t>0</w:t>
                  </w:r>
                </w:p>
              </w:tc>
              <w:tc>
                <w:tcPr>
                  <w:tcW w:w="449" w:type="pct"/>
                  <w:vAlign w:val="center"/>
                </w:tcPr>
                <w:p>
                  <w:pPr>
                    <w:pStyle w:val="33"/>
                  </w:pPr>
                  <w: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0" w:type="pct"/>
                  <w:vMerge w:val="continue"/>
                  <w:vAlign w:val="center"/>
                </w:tcPr>
                <w:p>
                  <w:pPr>
                    <w:pStyle w:val="33"/>
                  </w:pPr>
                </w:p>
              </w:tc>
              <w:tc>
                <w:tcPr>
                  <w:tcW w:w="768" w:type="pct"/>
                  <w:vAlign w:val="center"/>
                </w:tcPr>
                <w:p>
                  <w:pPr>
                    <w:pStyle w:val="33"/>
                  </w:pPr>
                  <w:r>
                    <w:rPr>
                      <w:rFonts w:hint="eastAsia"/>
                    </w:rPr>
                    <w:t>硫化氢</w:t>
                  </w:r>
                </w:p>
              </w:tc>
              <w:tc>
                <w:tcPr>
                  <w:tcW w:w="567" w:type="pct"/>
                  <w:vAlign w:val="center"/>
                </w:tcPr>
                <w:p>
                  <w:pPr>
                    <w:pStyle w:val="33"/>
                  </w:pPr>
                  <w:r>
                    <w:rPr>
                      <w:rFonts w:hint="eastAsia"/>
                    </w:rPr>
                    <w:t>日均值</w:t>
                  </w:r>
                </w:p>
              </w:tc>
              <w:tc>
                <w:tcPr>
                  <w:tcW w:w="632" w:type="pct"/>
                  <w:vAlign w:val="center"/>
                </w:tcPr>
                <w:p>
                  <w:pPr>
                    <w:pStyle w:val="33"/>
                  </w:pPr>
                  <w:r>
                    <w:rPr>
                      <w:rFonts w:hint="eastAsia"/>
                    </w:rPr>
                    <w:t>0.01</w:t>
                  </w:r>
                </w:p>
              </w:tc>
              <w:tc>
                <w:tcPr>
                  <w:tcW w:w="738" w:type="pct"/>
                  <w:vAlign w:val="center"/>
                </w:tcPr>
                <w:p>
                  <w:pPr>
                    <w:pStyle w:val="33"/>
                  </w:pPr>
                  <w:r>
                    <w:rPr>
                      <w:rFonts w:hint="eastAsia"/>
                    </w:rPr>
                    <w:t>0.001L</w:t>
                  </w:r>
                </w:p>
              </w:tc>
              <w:tc>
                <w:tcPr>
                  <w:tcW w:w="697" w:type="pct"/>
                  <w:vAlign w:val="center"/>
                </w:tcPr>
                <w:p>
                  <w:pPr>
                    <w:pStyle w:val="33"/>
                  </w:pPr>
                  <w:r>
                    <w:rPr>
                      <w:rFonts w:hint="eastAsia"/>
                    </w:rPr>
                    <w:t>10</w:t>
                  </w:r>
                </w:p>
              </w:tc>
              <w:tc>
                <w:tcPr>
                  <w:tcW w:w="488" w:type="pct"/>
                  <w:vAlign w:val="center"/>
                </w:tcPr>
                <w:p>
                  <w:pPr>
                    <w:pStyle w:val="33"/>
                  </w:pPr>
                  <w:r>
                    <w:rPr>
                      <w:rFonts w:hint="eastAsia"/>
                    </w:rPr>
                    <w:t>0</w:t>
                  </w:r>
                </w:p>
              </w:tc>
              <w:tc>
                <w:tcPr>
                  <w:tcW w:w="449" w:type="pct"/>
                  <w:vAlign w:val="center"/>
                </w:tcPr>
                <w:p>
                  <w:pPr>
                    <w:pStyle w:val="33"/>
                  </w:pPr>
                  <w:r>
                    <w:rPr>
                      <w:rFonts w:hint="eastAsia"/>
                    </w:rPr>
                    <w:t>达标</w:t>
                  </w:r>
                </w:p>
              </w:tc>
            </w:tr>
          </w:tbl>
          <w:p>
            <w:pPr>
              <w:spacing w:line="360" w:lineRule="auto"/>
              <w:ind w:firstLine="480"/>
              <w:rPr>
                <w:snapToGrid w:val="0"/>
              </w:rPr>
            </w:pPr>
            <w:r>
              <w:rPr>
                <w:snapToGrid w:val="0"/>
              </w:rPr>
              <w:t>由</w:t>
            </w:r>
            <w:r>
              <w:rPr>
                <w:rFonts w:hint="eastAsia"/>
                <w:snapToGrid w:val="0"/>
              </w:rPr>
              <w:t>上表</w:t>
            </w:r>
            <w:r>
              <w:rPr>
                <w:snapToGrid w:val="0"/>
              </w:rPr>
              <w:t>可知，</w:t>
            </w:r>
            <w:r>
              <w:rPr>
                <w:rFonts w:hint="eastAsia"/>
                <w:snapToGrid w:val="0"/>
              </w:rPr>
              <w:t>氨的最大浓度值为 0.08mg/m</w:t>
            </w:r>
            <w:r>
              <w:rPr>
                <w:rFonts w:hint="eastAsia"/>
                <w:snapToGrid w:val="0"/>
                <w:vertAlign w:val="superscript"/>
              </w:rPr>
              <w:t>3</w:t>
            </w:r>
            <w:r>
              <w:rPr>
                <w:rFonts w:hint="eastAsia"/>
                <w:snapToGrid w:val="0"/>
              </w:rPr>
              <w:t>，硫化氢浓度低于检出限，满足《环境影响评价技术导则 大气环境》（HJ2.2-2018）附录 D 中限值要求。</w:t>
            </w:r>
          </w:p>
          <w:p>
            <w:pPr>
              <w:pStyle w:val="42"/>
              <w:ind w:firstLine="420"/>
            </w:pPr>
            <w:r>
              <w:t>2、水环境质量</w:t>
            </w:r>
          </w:p>
          <w:p>
            <w:pPr>
              <w:pStyle w:val="42"/>
              <w:ind w:firstLine="420"/>
              <w:rPr>
                <w:szCs w:val="21"/>
              </w:rPr>
            </w:pPr>
            <w:r>
              <w:rPr>
                <w:szCs w:val="21"/>
              </w:rPr>
              <w:t>根据《2016-2020年哈尔滨市生态环境质量报告书》</w:t>
            </w:r>
            <w:r>
              <w:rPr>
                <w:rFonts w:hint="eastAsia"/>
                <w:szCs w:val="21"/>
              </w:rPr>
              <w:t>中</w:t>
            </w:r>
            <w:r>
              <w:rPr>
                <w:szCs w:val="21"/>
              </w:rPr>
              <w:t>，</w:t>
            </w:r>
            <w:r>
              <w:rPr>
                <w:rFonts w:hint="eastAsia"/>
                <w:szCs w:val="21"/>
              </w:rPr>
              <w:t>地表水水质评价指标为《</w:t>
            </w:r>
            <w:r>
              <w:rPr>
                <w:szCs w:val="21"/>
              </w:rPr>
              <w:t>地表水环境质量标准</w:t>
            </w:r>
            <w:r>
              <w:rPr>
                <w:rFonts w:hint="eastAsia"/>
                <w:szCs w:val="21"/>
              </w:rPr>
              <w:t>》</w:t>
            </w:r>
            <w:r>
              <w:rPr>
                <w:szCs w:val="21"/>
              </w:rPr>
              <w:t>（GB3838-2002）</w:t>
            </w:r>
            <w:r>
              <w:rPr>
                <w:rFonts w:hint="eastAsia"/>
                <w:szCs w:val="21"/>
              </w:rPr>
              <w:t>，</w:t>
            </w:r>
            <w:r>
              <w:rPr>
                <w:szCs w:val="21"/>
              </w:rPr>
              <w:t>“十三五”期间，松花江哈尔滨江段水质类别总体相对稳定，朱顺屯、大顶子山、摆渡镇、佳木斯上4个点位水质稳定为Ⅲ类；阿什河口下和呼兰河口下点位2016、2017年水质为Ⅲ类，2018-2020年水质为Ⅳ类，水质类别有所下降；宏克力点位2016-2018年水质为Ⅲ类，2019年水质下降为Ⅳ类，超过水质目标，2020年恢复至Ⅲ类；牡丹江口下点位2016-2018年水质为Ⅲ类，2019、2020年水质下降为Ⅳ类，超过水质目标</w:t>
            </w:r>
            <w:r>
              <w:rPr>
                <w:rFonts w:hint="eastAsia"/>
                <w:szCs w:val="21"/>
              </w:rPr>
              <w:t>；</w:t>
            </w:r>
            <w:r>
              <w:rPr>
                <w:szCs w:val="21"/>
              </w:rPr>
              <w:t>牡丹江口上点位2016、2017年水质为Ⅲ类，2018-2020年水质为Ⅳ类，超过水质目标。“十三五”期间，松花江哈尔滨江段主要超标指标为化学需氧量。</w:t>
            </w:r>
          </w:p>
          <w:p>
            <w:pPr>
              <w:pStyle w:val="42"/>
              <w:ind w:firstLine="420"/>
            </w:pPr>
            <w:r>
              <w:t>3、声环境质量现状</w:t>
            </w:r>
          </w:p>
          <w:p>
            <w:pPr>
              <w:pStyle w:val="4"/>
              <w:spacing w:before="0" w:after="0" w:line="360" w:lineRule="auto"/>
              <w:ind w:left="0" w:firstLine="420" w:firstLineChars="200"/>
              <w:rPr>
                <w:rFonts w:eastAsia="宋体"/>
                <w:b w:val="0"/>
                <w:bCs w:val="0"/>
                <w:color w:val="auto"/>
                <w:kern w:val="2"/>
                <w:sz w:val="21"/>
                <w:szCs w:val="21"/>
              </w:rPr>
            </w:pPr>
            <w:r>
              <w:rPr>
                <w:rFonts w:eastAsia="宋体"/>
                <w:b w:val="0"/>
                <w:bCs w:val="0"/>
                <w:color w:val="auto"/>
                <w:kern w:val="2"/>
                <w:sz w:val="21"/>
                <w:szCs w:val="21"/>
              </w:rPr>
              <w:t>2020</w:t>
            </w:r>
            <w:r>
              <w:rPr>
                <w:rFonts w:hint="eastAsia" w:eastAsia="宋体"/>
                <w:b w:val="0"/>
                <w:bCs w:val="0"/>
                <w:color w:val="auto"/>
                <w:kern w:val="2"/>
                <w:sz w:val="21"/>
                <w:szCs w:val="21"/>
              </w:rPr>
              <w:t>年哈尔滨市城区区域声环境监测面积</w:t>
            </w:r>
            <w:r>
              <w:rPr>
                <w:rFonts w:eastAsia="宋体"/>
                <w:b w:val="0"/>
                <w:bCs w:val="0"/>
                <w:color w:val="auto"/>
                <w:kern w:val="2"/>
                <w:sz w:val="21"/>
                <w:szCs w:val="21"/>
              </w:rPr>
              <w:t>105.84</w:t>
            </w:r>
            <w:r>
              <w:rPr>
                <w:rFonts w:hint="eastAsia" w:eastAsia="宋体"/>
                <w:b w:val="0"/>
                <w:bCs w:val="0"/>
                <w:color w:val="auto"/>
                <w:kern w:val="2"/>
                <w:sz w:val="21"/>
                <w:szCs w:val="21"/>
              </w:rPr>
              <w:t>平方千米，其中</w:t>
            </w:r>
            <w:r>
              <w:rPr>
                <w:rFonts w:eastAsia="宋体"/>
                <w:b w:val="0"/>
                <w:bCs w:val="0"/>
                <w:color w:val="auto"/>
                <w:kern w:val="2"/>
                <w:sz w:val="21"/>
                <w:szCs w:val="21"/>
              </w:rPr>
              <w:t>1</w:t>
            </w:r>
            <w:r>
              <w:rPr>
                <w:rFonts w:hint="eastAsia" w:eastAsia="宋体"/>
                <w:b w:val="0"/>
                <w:bCs w:val="0"/>
                <w:color w:val="auto"/>
                <w:kern w:val="2"/>
                <w:sz w:val="21"/>
                <w:szCs w:val="21"/>
              </w:rPr>
              <w:t>类区域平均等效声级为</w:t>
            </w:r>
            <w:r>
              <w:rPr>
                <w:rFonts w:eastAsia="宋体"/>
                <w:b w:val="0"/>
                <w:bCs w:val="0"/>
                <w:color w:val="auto"/>
                <w:kern w:val="2"/>
                <w:sz w:val="21"/>
                <w:szCs w:val="21"/>
              </w:rPr>
              <w:t>55.5</w:t>
            </w:r>
            <w:r>
              <w:rPr>
                <w:rFonts w:hint="eastAsia" w:eastAsia="宋体"/>
                <w:b w:val="0"/>
                <w:bCs w:val="0"/>
                <w:color w:val="auto"/>
                <w:kern w:val="2"/>
                <w:sz w:val="21"/>
                <w:szCs w:val="21"/>
              </w:rPr>
              <w:t>分贝，超过国家标准</w:t>
            </w:r>
            <w:r>
              <w:rPr>
                <w:rFonts w:eastAsia="宋体"/>
                <w:b w:val="0"/>
                <w:bCs w:val="0"/>
                <w:color w:val="auto"/>
                <w:kern w:val="2"/>
                <w:sz w:val="21"/>
                <w:szCs w:val="21"/>
              </w:rPr>
              <w:t>0.5</w:t>
            </w:r>
            <w:r>
              <w:rPr>
                <w:rFonts w:hint="eastAsia" w:eastAsia="宋体"/>
                <w:b w:val="0"/>
                <w:bCs w:val="0"/>
                <w:color w:val="auto"/>
                <w:kern w:val="2"/>
                <w:sz w:val="21"/>
                <w:szCs w:val="21"/>
              </w:rPr>
              <w:t>分贝，</w:t>
            </w:r>
            <w:r>
              <w:rPr>
                <w:rFonts w:eastAsia="宋体"/>
                <w:b w:val="0"/>
                <w:bCs w:val="0"/>
                <w:color w:val="auto"/>
                <w:kern w:val="2"/>
                <w:sz w:val="21"/>
                <w:szCs w:val="21"/>
              </w:rPr>
              <w:t>2</w:t>
            </w:r>
            <w:r>
              <w:rPr>
                <w:rFonts w:hint="eastAsia" w:eastAsia="宋体"/>
                <w:b w:val="0"/>
                <w:bCs w:val="0"/>
                <w:color w:val="auto"/>
                <w:kern w:val="2"/>
                <w:sz w:val="21"/>
                <w:szCs w:val="21"/>
              </w:rPr>
              <w:t>类、</w:t>
            </w:r>
            <w:r>
              <w:rPr>
                <w:rFonts w:eastAsia="宋体"/>
                <w:b w:val="0"/>
                <w:bCs w:val="0"/>
                <w:color w:val="auto"/>
                <w:kern w:val="2"/>
                <w:sz w:val="21"/>
                <w:szCs w:val="21"/>
              </w:rPr>
              <w:t>3</w:t>
            </w:r>
            <w:r>
              <w:rPr>
                <w:rFonts w:hint="eastAsia" w:eastAsia="宋体"/>
                <w:b w:val="0"/>
                <w:bCs w:val="0"/>
                <w:color w:val="auto"/>
                <w:kern w:val="2"/>
                <w:sz w:val="21"/>
                <w:szCs w:val="21"/>
              </w:rPr>
              <w:t>类、</w:t>
            </w:r>
            <w:r>
              <w:rPr>
                <w:rFonts w:eastAsia="宋体"/>
                <w:b w:val="0"/>
                <w:bCs w:val="0"/>
                <w:color w:val="auto"/>
                <w:kern w:val="2"/>
                <w:sz w:val="21"/>
                <w:szCs w:val="21"/>
              </w:rPr>
              <w:t>4</w:t>
            </w:r>
            <w:r>
              <w:rPr>
                <w:rFonts w:hint="eastAsia" w:eastAsia="宋体"/>
                <w:b w:val="0"/>
                <w:bCs w:val="0"/>
                <w:color w:val="auto"/>
                <w:kern w:val="2"/>
                <w:sz w:val="21"/>
                <w:szCs w:val="21"/>
              </w:rPr>
              <w:t>类区域平均等效声级均达标。城区区域声环境达标总面积为</w:t>
            </w:r>
            <w:r>
              <w:rPr>
                <w:rFonts w:eastAsia="宋体"/>
                <w:b w:val="0"/>
                <w:bCs w:val="0"/>
                <w:color w:val="auto"/>
                <w:kern w:val="2"/>
                <w:sz w:val="21"/>
                <w:szCs w:val="21"/>
              </w:rPr>
              <w:t>84.28</w:t>
            </w:r>
            <w:r>
              <w:rPr>
                <w:rFonts w:hint="eastAsia" w:eastAsia="宋体"/>
                <w:b w:val="0"/>
                <w:bCs w:val="0"/>
                <w:color w:val="auto"/>
                <w:kern w:val="2"/>
                <w:sz w:val="21"/>
                <w:szCs w:val="21"/>
              </w:rPr>
              <w:t>平方千米，占监测面积的</w:t>
            </w:r>
            <w:r>
              <w:rPr>
                <w:rFonts w:eastAsia="宋体"/>
                <w:b w:val="0"/>
                <w:bCs w:val="0"/>
                <w:color w:val="auto"/>
                <w:kern w:val="2"/>
                <w:sz w:val="21"/>
                <w:szCs w:val="21"/>
              </w:rPr>
              <w:t>79.6%</w:t>
            </w:r>
            <w:r>
              <w:rPr>
                <w:rFonts w:hint="eastAsia" w:eastAsia="宋体"/>
                <w:b w:val="0"/>
                <w:bCs w:val="0"/>
                <w:color w:val="auto"/>
                <w:kern w:val="2"/>
                <w:sz w:val="21"/>
                <w:szCs w:val="21"/>
              </w:rPr>
              <w:t>，同比上升</w:t>
            </w:r>
            <w:r>
              <w:rPr>
                <w:rFonts w:eastAsia="宋体"/>
                <w:b w:val="0"/>
                <w:bCs w:val="0"/>
                <w:color w:val="auto"/>
                <w:kern w:val="2"/>
                <w:sz w:val="21"/>
                <w:szCs w:val="21"/>
              </w:rPr>
              <w:t>14.8</w:t>
            </w:r>
            <w:r>
              <w:rPr>
                <w:rFonts w:hint="eastAsia" w:eastAsia="宋体"/>
                <w:b w:val="0"/>
                <w:bCs w:val="0"/>
                <w:color w:val="auto"/>
                <w:kern w:val="2"/>
                <w:sz w:val="21"/>
                <w:szCs w:val="21"/>
              </w:rPr>
              <w:t>个百分点。其中松北区昼间区域声环境平均等效声级为</w:t>
            </w:r>
            <w:r>
              <w:rPr>
                <w:rFonts w:eastAsia="宋体"/>
                <w:b w:val="0"/>
                <w:bCs w:val="0"/>
                <w:color w:val="auto"/>
                <w:kern w:val="2"/>
                <w:sz w:val="21"/>
                <w:szCs w:val="21"/>
              </w:rPr>
              <w:t>54.9</w:t>
            </w:r>
            <w:r>
              <w:rPr>
                <w:rFonts w:hint="eastAsia" w:eastAsia="宋体"/>
                <w:b w:val="0"/>
                <w:bCs w:val="0"/>
                <w:color w:val="auto"/>
                <w:kern w:val="2"/>
                <w:sz w:val="21"/>
                <w:szCs w:val="21"/>
              </w:rPr>
              <w:t>分贝。</w:t>
            </w:r>
          </w:p>
          <w:p>
            <w:pPr>
              <w:pStyle w:val="42"/>
              <w:ind w:firstLine="420"/>
              <w:rPr>
                <w:highlight w:val="yellow"/>
              </w:rPr>
            </w:pPr>
            <w:r>
              <w:rPr>
                <w:rFonts w:hint="eastAsia"/>
                <w:szCs w:val="21"/>
              </w:rPr>
              <w:t>根据哈政规〔</w:t>
            </w:r>
            <w:r>
              <w:rPr>
                <w:szCs w:val="21"/>
              </w:rPr>
              <w:t>2021</w:t>
            </w:r>
            <w:r>
              <w:rPr>
                <w:rFonts w:hint="eastAsia"/>
                <w:szCs w:val="21"/>
              </w:rPr>
              <w:t>〕</w:t>
            </w:r>
            <w:r>
              <w:rPr>
                <w:szCs w:val="21"/>
              </w:rPr>
              <w:t>3</w:t>
            </w:r>
            <w:r>
              <w:rPr>
                <w:rFonts w:hint="eastAsia"/>
                <w:szCs w:val="21"/>
              </w:rPr>
              <w:t>号《哈尔滨市人民政府关于调整城市区域环境噪声标准适用区域的通知》的哈尔滨市松北区声环境功能区划分图，本项目位于</w:t>
            </w:r>
            <w:r>
              <w:rPr>
                <w:szCs w:val="21"/>
              </w:rPr>
              <w:t>3</w:t>
            </w:r>
            <w:r>
              <w:rPr>
                <w:rFonts w:hint="eastAsia"/>
                <w:szCs w:val="21"/>
              </w:rPr>
              <w:t>类声环境功能区内，因此厂界四周执行《声环境质量标准》（</w:t>
            </w:r>
            <w:r>
              <w:rPr>
                <w:szCs w:val="21"/>
              </w:rPr>
              <w:t>GB3096-2008</w:t>
            </w:r>
            <w:r>
              <w:rPr>
                <w:rFonts w:hint="eastAsia"/>
                <w:szCs w:val="21"/>
              </w:rPr>
              <w:t>）</w:t>
            </w:r>
            <w:r>
              <w:rPr>
                <w:szCs w:val="21"/>
              </w:rPr>
              <w:t>3</w:t>
            </w:r>
            <w:r>
              <w:rPr>
                <w:rFonts w:hint="eastAsia"/>
                <w:szCs w:val="21"/>
              </w:rPr>
              <w:t>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0" w:hRule="atLeast"/>
          <w:jc w:val="center"/>
        </w:trPr>
        <w:tc>
          <w:tcPr>
            <w:tcW w:w="800" w:type="dxa"/>
            <w:vAlign w:val="center"/>
          </w:tcPr>
          <w:p>
            <w:pPr>
              <w:adjustRightInd w:val="0"/>
              <w:snapToGrid w:val="0"/>
              <w:jc w:val="center"/>
              <w:rPr>
                <w:rFonts w:cs="宋体"/>
                <w:kern w:val="0"/>
                <w:sz w:val="24"/>
              </w:rPr>
            </w:pPr>
            <w:r>
              <w:rPr>
                <w:rFonts w:hint="eastAsia" w:cs="宋体"/>
                <w:kern w:val="0"/>
                <w:sz w:val="24"/>
              </w:rPr>
              <w:t>环境</w:t>
            </w:r>
          </w:p>
          <w:p>
            <w:pPr>
              <w:adjustRightInd w:val="0"/>
              <w:snapToGrid w:val="0"/>
              <w:jc w:val="center"/>
              <w:rPr>
                <w:rFonts w:cs="宋体"/>
                <w:kern w:val="0"/>
                <w:sz w:val="24"/>
              </w:rPr>
            </w:pPr>
            <w:r>
              <w:rPr>
                <w:rFonts w:hint="eastAsia" w:cs="宋体"/>
                <w:kern w:val="0"/>
                <w:sz w:val="24"/>
              </w:rPr>
              <w:t>保护</w:t>
            </w:r>
          </w:p>
          <w:p>
            <w:pPr>
              <w:adjustRightInd w:val="0"/>
              <w:snapToGrid w:val="0"/>
              <w:jc w:val="center"/>
              <w:rPr>
                <w:rFonts w:cs="宋体"/>
                <w:kern w:val="0"/>
                <w:szCs w:val="21"/>
              </w:rPr>
            </w:pPr>
            <w:r>
              <w:rPr>
                <w:rFonts w:hint="eastAsia" w:cs="宋体"/>
                <w:kern w:val="0"/>
                <w:sz w:val="24"/>
              </w:rPr>
              <w:t>目标</w:t>
            </w:r>
          </w:p>
        </w:tc>
        <w:tc>
          <w:tcPr>
            <w:tcW w:w="8190" w:type="dxa"/>
            <w:vAlign w:val="center"/>
          </w:tcPr>
          <w:p>
            <w:pPr>
              <w:pStyle w:val="53"/>
              <w:keepNext w:val="0"/>
              <w:keepLines w:val="0"/>
              <w:pageBreakBefore w:val="0"/>
              <w:widowControl w:val="0"/>
              <w:numPr>
                <w:ilvl w:val="0"/>
                <w:numId w:val="0"/>
              </w:numPr>
              <w:tabs>
                <w:tab w:val="left" w:pos="294"/>
              </w:tabs>
              <w:kinsoku/>
              <w:wordWrap/>
              <w:overflowPunct/>
              <w:topLinePunct w:val="0"/>
              <w:autoSpaceDE w:val="0"/>
              <w:autoSpaceDN w:val="0"/>
              <w:bidi w:val="0"/>
              <w:adjustRightInd/>
              <w:snapToGrid/>
              <w:spacing w:line="360" w:lineRule="auto"/>
              <w:ind w:leftChars="200" w:right="0" w:rightChars="0"/>
              <w:textAlignment w:val="auto"/>
              <w:rPr>
                <w:rFonts w:hint="default" w:ascii="Times New Roman" w:hAnsi="Times New Roman" w:eastAsia="宋体" w:cs="Times New Roman"/>
                <w:b/>
                <w:color w:val="000000"/>
                <w:spacing w:val="0"/>
                <w:sz w:val="24"/>
                <w:szCs w:val="24"/>
                <w:highlight w:val="none"/>
              </w:rPr>
            </w:pPr>
            <w:r>
              <w:rPr>
                <w:rFonts w:hint="default" w:ascii="Times New Roman" w:hAnsi="Times New Roman" w:eastAsia="宋体" w:cs="Times New Roman"/>
                <w:b/>
                <w:color w:val="000000"/>
                <w:spacing w:val="0"/>
                <w:sz w:val="24"/>
                <w:szCs w:val="24"/>
                <w:highlight w:val="none"/>
                <w:lang w:val="en-US" w:eastAsia="zh-CN"/>
              </w:rPr>
              <w:t>1、</w:t>
            </w:r>
            <w:r>
              <w:rPr>
                <w:rFonts w:hint="default" w:ascii="Times New Roman" w:hAnsi="Times New Roman" w:eastAsia="宋体" w:cs="Times New Roman"/>
                <w:b/>
                <w:color w:val="000000"/>
                <w:spacing w:val="0"/>
                <w:sz w:val="24"/>
                <w:szCs w:val="24"/>
                <w:highlight w:val="none"/>
              </w:rPr>
              <w:t>大气环境</w:t>
            </w:r>
          </w:p>
          <w:p>
            <w:pPr>
              <w:pStyle w:val="53"/>
              <w:keepNext w:val="0"/>
              <w:keepLines w:val="0"/>
              <w:pageBreakBefore w:val="0"/>
              <w:widowControl w:val="0"/>
              <w:kinsoku/>
              <w:wordWrap/>
              <w:overflowPunct/>
              <w:topLinePunct w:val="0"/>
              <w:autoSpaceDE w:val="0"/>
              <w:autoSpaceDN w:val="0"/>
              <w:bidi w:val="0"/>
              <w:adjustRightInd/>
              <w:snapToGrid/>
              <w:spacing w:line="360" w:lineRule="auto"/>
              <w:ind w:right="0" w:firstLine="480" w:firstLineChars="200"/>
              <w:textAlignment w:val="auto"/>
              <w:rPr>
                <w:rFonts w:hint="eastAsia" w:ascii="Times New Roman" w:hAnsi="Times New Roman" w:eastAsia="宋体" w:cs="Times New Roman"/>
                <w:color w:val="000000"/>
                <w:spacing w:val="0"/>
                <w:sz w:val="24"/>
                <w:szCs w:val="24"/>
                <w:highlight w:val="none"/>
                <w:lang w:eastAsia="zh-CN"/>
              </w:rPr>
            </w:pPr>
            <w:r>
              <w:rPr>
                <w:rFonts w:hint="default" w:ascii="Times New Roman" w:hAnsi="Times New Roman" w:eastAsia="宋体" w:cs="Times New Roman"/>
                <w:color w:val="000000"/>
                <w:spacing w:val="0"/>
                <w:sz w:val="24"/>
                <w:szCs w:val="24"/>
                <w:highlight w:val="none"/>
              </w:rPr>
              <w:t>项目厂界外500米范围</w:t>
            </w:r>
            <w:r>
              <w:rPr>
                <w:rFonts w:hint="eastAsia" w:ascii="Times New Roman" w:hAnsi="Times New Roman" w:eastAsia="宋体" w:cs="Times New Roman"/>
                <w:color w:val="000000"/>
                <w:spacing w:val="0"/>
                <w:sz w:val="24"/>
                <w:szCs w:val="24"/>
                <w:highlight w:val="none"/>
                <w:lang w:val="en-US" w:eastAsia="zh-CN"/>
              </w:rPr>
              <w:t>内有</w:t>
            </w:r>
            <w:r>
              <w:rPr>
                <w:rFonts w:hint="eastAsia" w:ascii="Times New Roman" w:hAnsi="Times New Roman" w:eastAsia="宋体" w:cs="Times New Roman"/>
                <w:color w:val="000000"/>
                <w:spacing w:val="0"/>
                <w:sz w:val="24"/>
                <w:szCs w:val="24"/>
                <w:highlight w:val="none"/>
                <w:lang w:eastAsia="zh-CN"/>
              </w:rPr>
              <w:t>居住区，</w:t>
            </w:r>
            <w:r>
              <w:rPr>
                <w:rFonts w:hint="eastAsia" w:ascii="Times New Roman" w:hAnsi="Times New Roman" w:eastAsia="宋体" w:cs="Times New Roman"/>
                <w:color w:val="000000"/>
                <w:spacing w:val="0"/>
                <w:sz w:val="24"/>
                <w:szCs w:val="24"/>
                <w:highlight w:val="none"/>
                <w:lang w:val="en-US" w:eastAsia="zh-CN"/>
              </w:rPr>
              <w:t>大气保护目标见下表，大气保护目标图见附图</w:t>
            </w:r>
            <w:r>
              <w:rPr>
                <w:rFonts w:hint="eastAsia" w:ascii="Times New Roman" w:hAnsi="Times New Roman" w:eastAsia="宋体" w:cs="Times New Roman"/>
                <w:color w:val="000000"/>
                <w:spacing w:val="0"/>
                <w:sz w:val="24"/>
                <w:szCs w:val="24"/>
                <w:highlight w:val="none"/>
                <w:lang w:eastAsia="zh-CN"/>
              </w:rPr>
              <w:t>。</w:t>
            </w:r>
          </w:p>
          <w:p>
            <w:pPr>
              <w:pStyle w:val="32"/>
              <w:keepNext w:val="0"/>
              <w:keepLines w:val="0"/>
              <w:pageBreakBefore w:val="0"/>
              <w:widowControl/>
              <w:kinsoku/>
              <w:wordWrap/>
              <w:overflowPunct/>
              <w:topLinePunct w:val="0"/>
              <w:autoSpaceDE/>
              <w:autoSpaceDN/>
              <w:bidi w:val="0"/>
              <w:adjustRightInd/>
              <w:snapToGrid/>
              <w:ind w:left="0"/>
              <w:textAlignment w:val="auto"/>
              <w:rPr>
                <w:rFonts w:ascii="Times New Roman" w:hAnsi="Times New Roman" w:eastAsia="宋体" w:cs="Times New Roman"/>
              </w:rPr>
            </w:pPr>
            <w:r>
              <w:rPr>
                <w:rFonts w:ascii="Times New Roman" w:hAnsi="Times New Roman" w:eastAsia="宋体" w:cs="Times New Roman"/>
              </w:rPr>
              <w:t>大气环境保护目标</w:t>
            </w:r>
          </w:p>
          <w:tbl>
            <w:tblPr>
              <w:tblStyle w:val="2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8"/>
              <w:gridCol w:w="1613"/>
              <w:gridCol w:w="1462"/>
              <w:gridCol w:w="1314"/>
              <w:gridCol w:w="502"/>
              <w:gridCol w:w="800"/>
              <w:gridCol w:w="871"/>
              <w:gridCol w:w="8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6" w:type="pct"/>
                  <w:vMerge w:val="restart"/>
                  <w:noWrap w:val="0"/>
                  <w:vAlign w:val="center"/>
                </w:tcPr>
                <w:p>
                  <w:pPr>
                    <w:pStyle w:val="2"/>
                    <w:jc w:val="center"/>
                    <w:rPr>
                      <w:rFonts w:hint="default" w:ascii="Times New Roman" w:hAnsi="Times New Roman"/>
                      <w:color w:val="auto"/>
                      <w:sz w:val="21"/>
                      <w:szCs w:val="21"/>
                    </w:rPr>
                  </w:pPr>
                  <w:r>
                    <w:rPr>
                      <w:rFonts w:hint="default" w:ascii="Times New Roman" w:hAnsi="Times New Roman"/>
                      <w:color w:val="auto"/>
                      <w:sz w:val="21"/>
                      <w:szCs w:val="21"/>
                    </w:rPr>
                    <w:t>名称</w:t>
                  </w:r>
                </w:p>
              </w:tc>
              <w:tc>
                <w:tcPr>
                  <w:tcW w:w="1929" w:type="pct"/>
                  <w:gridSpan w:val="2"/>
                  <w:noWrap w:val="0"/>
                  <w:vAlign w:val="center"/>
                </w:tcPr>
                <w:p>
                  <w:pPr>
                    <w:pStyle w:val="2"/>
                    <w:jc w:val="center"/>
                    <w:rPr>
                      <w:rFonts w:hint="default" w:ascii="Times New Roman" w:hAnsi="Times New Roman"/>
                      <w:color w:val="auto"/>
                      <w:sz w:val="21"/>
                      <w:szCs w:val="21"/>
                    </w:rPr>
                  </w:pPr>
                  <w:r>
                    <w:rPr>
                      <w:rFonts w:hint="default" w:ascii="Times New Roman" w:hAnsi="Times New Roman"/>
                      <w:color w:val="auto"/>
                      <w:sz w:val="21"/>
                      <w:szCs w:val="21"/>
                    </w:rPr>
                    <w:t>坐标</w:t>
                  </w:r>
                </w:p>
              </w:tc>
              <w:tc>
                <w:tcPr>
                  <w:tcW w:w="824" w:type="pct"/>
                  <w:vMerge w:val="restart"/>
                  <w:noWrap w:val="0"/>
                  <w:vAlign w:val="center"/>
                </w:tcPr>
                <w:p>
                  <w:pPr>
                    <w:pStyle w:val="2"/>
                    <w:jc w:val="center"/>
                    <w:rPr>
                      <w:rFonts w:hint="default" w:ascii="Times New Roman" w:hAnsi="Times New Roman"/>
                      <w:color w:val="auto"/>
                      <w:sz w:val="21"/>
                      <w:szCs w:val="21"/>
                    </w:rPr>
                  </w:pPr>
                  <w:r>
                    <w:rPr>
                      <w:rFonts w:hint="default" w:ascii="Times New Roman" w:hAnsi="Times New Roman"/>
                      <w:color w:val="auto"/>
                      <w:sz w:val="21"/>
                      <w:szCs w:val="21"/>
                    </w:rPr>
                    <w:t>保护对象</w:t>
                  </w:r>
                </w:p>
              </w:tc>
              <w:tc>
                <w:tcPr>
                  <w:tcW w:w="314" w:type="pct"/>
                  <w:vMerge w:val="restart"/>
                  <w:noWrap w:val="0"/>
                  <w:vAlign w:val="center"/>
                </w:tcPr>
                <w:p>
                  <w:pPr>
                    <w:pStyle w:val="2"/>
                    <w:jc w:val="center"/>
                    <w:rPr>
                      <w:rFonts w:hint="default" w:ascii="Times New Roman" w:hAnsi="Times New Roman"/>
                      <w:color w:val="auto"/>
                      <w:sz w:val="21"/>
                      <w:szCs w:val="21"/>
                    </w:rPr>
                  </w:pPr>
                  <w:r>
                    <w:rPr>
                      <w:rFonts w:hint="default" w:ascii="Times New Roman" w:hAnsi="Times New Roman"/>
                      <w:color w:val="auto"/>
                      <w:sz w:val="21"/>
                      <w:szCs w:val="21"/>
                    </w:rPr>
                    <w:t>保护内容</w:t>
                  </w:r>
                </w:p>
              </w:tc>
              <w:tc>
                <w:tcPr>
                  <w:tcW w:w="501" w:type="pct"/>
                  <w:vMerge w:val="restart"/>
                  <w:noWrap w:val="0"/>
                  <w:vAlign w:val="center"/>
                </w:tcPr>
                <w:p>
                  <w:pPr>
                    <w:pStyle w:val="2"/>
                    <w:jc w:val="center"/>
                    <w:rPr>
                      <w:rFonts w:hint="default" w:ascii="Times New Roman" w:hAnsi="Times New Roman"/>
                      <w:color w:val="auto"/>
                      <w:sz w:val="21"/>
                      <w:szCs w:val="21"/>
                    </w:rPr>
                  </w:pPr>
                  <w:r>
                    <w:rPr>
                      <w:rFonts w:hint="default" w:ascii="Times New Roman" w:hAnsi="Times New Roman"/>
                      <w:color w:val="auto"/>
                      <w:sz w:val="21"/>
                      <w:szCs w:val="21"/>
                    </w:rPr>
                    <w:t>环境功能区</w:t>
                  </w:r>
                </w:p>
              </w:tc>
              <w:tc>
                <w:tcPr>
                  <w:tcW w:w="546" w:type="pct"/>
                  <w:vMerge w:val="restart"/>
                  <w:noWrap w:val="0"/>
                  <w:vAlign w:val="center"/>
                </w:tcPr>
                <w:p>
                  <w:pPr>
                    <w:pStyle w:val="2"/>
                    <w:jc w:val="center"/>
                    <w:rPr>
                      <w:rFonts w:hint="default" w:ascii="Times New Roman" w:hAnsi="Times New Roman"/>
                      <w:color w:val="auto"/>
                      <w:sz w:val="21"/>
                      <w:szCs w:val="21"/>
                    </w:rPr>
                  </w:pPr>
                  <w:r>
                    <w:rPr>
                      <w:rFonts w:hint="default" w:ascii="Times New Roman" w:hAnsi="Times New Roman"/>
                      <w:color w:val="auto"/>
                      <w:sz w:val="21"/>
                      <w:szCs w:val="21"/>
                    </w:rPr>
                    <w:t>相对厂址方位</w:t>
                  </w:r>
                </w:p>
              </w:tc>
              <w:tc>
                <w:tcPr>
                  <w:tcW w:w="526" w:type="pct"/>
                  <w:vMerge w:val="restart"/>
                  <w:noWrap w:val="0"/>
                  <w:vAlign w:val="center"/>
                </w:tcPr>
                <w:p>
                  <w:pPr>
                    <w:pStyle w:val="2"/>
                    <w:jc w:val="center"/>
                    <w:rPr>
                      <w:rFonts w:hint="default" w:ascii="Times New Roman" w:hAnsi="Times New Roman"/>
                      <w:color w:val="auto"/>
                      <w:sz w:val="21"/>
                      <w:szCs w:val="21"/>
                    </w:rPr>
                  </w:pPr>
                  <w:r>
                    <w:rPr>
                      <w:rFonts w:hint="default" w:ascii="Times New Roman" w:hAnsi="Times New Roman"/>
                      <w:color w:val="auto"/>
                      <w:sz w:val="21"/>
                      <w:szCs w:val="21"/>
                    </w:rPr>
                    <w:t>相对厂界距离（m）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56" w:type="pct"/>
                  <w:vMerge w:val="continue"/>
                  <w:noWrap w:val="0"/>
                  <w:vAlign w:val="center"/>
                </w:tcPr>
                <w:p>
                  <w:pPr>
                    <w:pStyle w:val="2"/>
                    <w:jc w:val="center"/>
                    <w:rPr>
                      <w:rFonts w:hint="default" w:ascii="Times New Roman" w:hAnsi="Times New Roman"/>
                      <w:color w:val="auto"/>
                      <w:sz w:val="21"/>
                      <w:szCs w:val="21"/>
                    </w:rPr>
                  </w:pPr>
                </w:p>
              </w:tc>
              <w:tc>
                <w:tcPr>
                  <w:tcW w:w="1012" w:type="pct"/>
                  <w:noWrap w:val="0"/>
                  <w:vAlign w:val="center"/>
                </w:tcPr>
                <w:p>
                  <w:pPr>
                    <w:pStyle w:val="2"/>
                    <w:jc w:val="center"/>
                    <w:rPr>
                      <w:rFonts w:hint="default" w:ascii="Times New Roman" w:hAnsi="Times New Roman"/>
                      <w:color w:val="auto"/>
                      <w:sz w:val="21"/>
                      <w:szCs w:val="21"/>
                    </w:rPr>
                  </w:pPr>
                  <w:r>
                    <w:rPr>
                      <w:rFonts w:hint="default" w:ascii="Times New Roman" w:hAnsi="Times New Roman"/>
                      <w:color w:val="auto"/>
                      <w:sz w:val="21"/>
                      <w:szCs w:val="21"/>
                    </w:rPr>
                    <w:t>东经</w:t>
                  </w:r>
                </w:p>
              </w:tc>
              <w:tc>
                <w:tcPr>
                  <w:tcW w:w="917" w:type="pct"/>
                  <w:noWrap w:val="0"/>
                  <w:vAlign w:val="center"/>
                </w:tcPr>
                <w:p>
                  <w:pPr>
                    <w:pStyle w:val="2"/>
                    <w:jc w:val="center"/>
                    <w:rPr>
                      <w:rFonts w:hint="default" w:ascii="Times New Roman" w:hAnsi="Times New Roman"/>
                      <w:color w:val="auto"/>
                      <w:sz w:val="21"/>
                      <w:szCs w:val="21"/>
                    </w:rPr>
                  </w:pPr>
                  <w:r>
                    <w:rPr>
                      <w:rFonts w:hint="default" w:ascii="Times New Roman" w:hAnsi="Times New Roman"/>
                      <w:color w:val="auto"/>
                      <w:sz w:val="21"/>
                      <w:szCs w:val="21"/>
                    </w:rPr>
                    <w:t>北纬</w:t>
                  </w:r>
                </w:p>
              </w:tc>
              <w:tc>
                <w:tcPr>
                  <w:tcW w:w="824" w:type="pct"/>
                  <w:vMerge w:val="continue"/>
                  <w:noWrap w:val="0"/>
                  <w:vAlign w:val="center"/>
                </w:tcPr>
                <w:p>
                  <w:pPr>
                    <w:pStyle w:val="2"/>
                    <w:jc w:val="center"/>
                    <w:rPr>
                      <w:rFonts w:hint="default" w:ascii="Times New Roman" w:hAnsi="Times New Roman"/>
                      <w:color w:val="auto"/>
                      <w:sz w:val="21"/>
                      <w:szCs w:val="21"/>
                    </w:rPr>
                  </w:pPr>
                </w:p>
              </w:tc>
              <w:tc>
                <w:tcPr>
                  <w:tcW w:w="314" w:type="pct"/>
                  <w:vMerge w:val="continue"/>
                  <w:noWrap w:val="0"/>
                  <w:vAlign w:val="center"/>
                </w:tcPr>
                <w:p>
                  <w:pPr>
                    <w:pStyle w:val="2"/>
                    <w:jc w:val="center"/>
                    <w:rPr>
                      <w:rFonts w:hint="default" w:ascii="Times New Roman" w:hAnsi="Times New Roman"/>
                      <w:color w:val="auto"/>
                      <w:sz w:val="21"/>
                      <w:szCs w:val="21"/>
                    </w:rPr>
                  </w:pPr>
                </w:p>
              </w:tc>
              <w:tc>
                <w:tcPr>
                  <w:tcW w:w="501" w:type="pct"/>
                  <w:vMerge w:val="continue"/>
                  <w:noWrap w:val="0"/>
                  <w:vAlign w:val="center"/>
                </w:tcPr>
                <w:p>
                  <w:pPr>
                    <w:pStyle w:val="2"/>
                    <w:jc w:val="center"/>
                    <w:rPr>
                      <w:rFonts w:hint="default" w:ascii="Times New Roman" w:hAnsi="Times New Roman"/>
                      <w:color w:val="auto"/>
                      <w:sz w:val="21"/>
                      <w:szCs w:val="21"/>
                    </w:rPr>
                  </w:pPr>
                </w:p>
              </w:tc>
              <w:tc>
                <w:tcPr>
                  <w:tcW w:w="546" w:type="pct"/>
                  <w:vMerge w:val="continue"/>
                  <w:noWrap w:val="0"/>
                  <w:vAlign w:val="center"/>
                </w:tcPr>
                <w:p>
                  <w:pPr>
                    <w:pStyle w:val="2"/>
                    <w:jc w:val="center"/>
                    <w:rPr>
                      <w:rFonts w:hint="default" w:ascii="Times New Roman" w:hAnsi="Times New Roman"/>
                      <w:color w:val="auto"/>
                      <w:sz w:val="21"/>
                      <w:szCs w:val="21"/>
                    </w:rPr>
                  </w:pPr>
                </w:p>
              </w:tc>
              <w:tc>
                <w:tcPr>
                  <w:tcW w:w="526" w:type="pct"/>
                  <w:vMerge w:val="continue"/>
                  <w:noWrap w:val="0"/>
                  <w:vAlign w:val="center"/>
                </w:tcPr>
                <w:p>
                  <w:pPr>
                    <w:pStyle w:val="2"/>
                    <w:jc w:val="center"/>
                    <w:rPr>
                      <w:rFonts w:hint="default" w:ascii="Times New Roman" w:hAnsi="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56" w:type="pct"/>
                  <w:noWrap w:val="0"/>
                  <w:vAlign w:val="center"/>
                </w:tcPr>
                <w:p>
                  <w:pPr>
                    <w:pStyle w:val="2"/>
                    <w:jc w:val="center"/>
                    <w:rPr>
                      <w:rFonts w:hint="eastAsia"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散户</w:t>
                  </w:r>
                </w:p>
              </w:tc>
              <w:tc>
                <w:tcPr>
                  <w:tcW w:w="1012" w:type="pct"/>
                  <w:noWrap w:val="0"/>
                  <w:vAlign w:val="center"/>
                </w:tcPr>
                <w:p>
                  <w:pPr>
                    <w:jc w:val="center"/>
                    <w:rPr>
                      <w:rFonts w:hint="default" w:ascii="Times New Roman" w:hAnsi="Times New Roman"/>
                      <w:color w:val="auto"/>
                      <w:sz w:val="21"/>
                      <w:szCs w:val="21"/>
                    </w:rPr>
                  </w:pPr>
                  <w:r>
                    <w:rPr>
                      <w:rFonts w:hint="eastAsia"/>
                    </w:rPr>
                    <w:t>126.478524503</w:t>
                  </w:r>
                </w:p>
              </w:tc>
              <w:tc>
                <w:tcPr>
                  <w:tcW w:w="917" w:type="pct"/>
                  <w:noWrap w:val="0"/>
                  <w:vAlign w:val="center"/>
                </w:tcPr>
                <w:p>
                  <w:pPr>
                    <w:jc w:val="center"/>
                    <w:rPr>
                      <w:rFonts w:hint="default" w:ascii="Times New Roman" w:hAnsi="Times New Roman"/>
                      <w:color w:val="auto"/>
                      <w:sz w:val="21"/>
                      <w:szCs w:val="21"/>
                    </w:rPr>
                  </w:pPr>
                  <w:r>
                    <w:rPr>
                      <w:rFonts w:hint="eastAsia"/>
                    </w:rPr>
                    <w:t>45.761843002</w:t>
                  </w:r>
                </w:p>
              </w:tc>
              <w:tc>
                <w:tcPr>
                  <w:tcW w:w="824" w:type="pct"/>
                  <w:noWrap w:val="0"/>
                  <w:vAlign w:val="center"/>
                </w:tcPr>
                <w:p>
                  <w:pPr>
                    <w:pStyle w:val="2"/>
                    <w:jc w:val="center"/>
                    <w:rPr>
                      <w:rFonts w:hint="default" w:ascii="Times New Roman" w:hAnsi="Times New Roman"/>
                      <w:color w:val="auto"/>
                      <w:sz w:val="21"/>
                      <w:szCs w:val="21"/>
                    </w:rPr>
                  </w:pPr>
                  <w:r>
                    <w:rPr>
                      <w:rFonts w:hint="default" w:ascii="Times New Roman" w:hAnsi="Times New Roman"/>
                      <w:color w:val="auto"/>
                      <w:sz w:val="21"/>
                      <w:szCs w:val="21"/>
                    </w:rPr>
                    <w:t>农村地区人群居住区</w:t>
                  </w:r>
                </w:p>
              </w:tc>
              <w:tc>
                <w:tcPr>
                  <w:tcW w:w="314" w:type="pct"/>
                  <w:noWrap w:val="0"/>
                  <w:vAlign w:val="center"/>
                </w:tcPr>
                <w:p>
                  <w:pPr>
                    <w:pStyle w:val="2"/>
                    <w:jc w:val="center"/>
                    <w:rPr>
                      <w:rFonts w:hint="default" w:ascii="Times New Roman" w:hAnsi="Times New Roman"/>
                      <w:color w:val="auto"/>
                      <w:sz w:val="21"/>
                      <w:szCs w:val="21"/>
                    </w:rPr>
                  </w:pPr>
                  <w:r>
                    <w:rPr>
                      <w:rFonts w:hint="default" w:ascii="Times New Roman" w:hAnsi="Times New Roman"/>
                      <w:color w:val="auto"/>
                      <w:sz w:val="21"/>
                      <w:szCs w:val="21"/>
                    </w:rPr>
                    <w:t>人群</w:t>
                  </w:r>
                </w:p>
              </w:tc>
              <w:tc>
                <w:tcPr>
                  <w:tcW w:w="501" w:type="pct"/>
                  <w:noWrap w:val="0"/>
                  <w:vAlign w:val="center"/>
                </w:tcPr>
                <w:p>
                  <w:pPr>
                    <w:pStyle w:val="2"/>
                    <w:jc w:val="center"/>
                    <w:rPr>
                      <w:rFonts w:hint="default" w:ascii="Times New Roman" w:hAnsi="Times New Roman"/>
                      <w:color w:val="auto"/>
                      <w:sz w:val="21"/>
                      <w:szCs w:val="21"/>
                    </w:rPr>
                  </w:pPr>
                  <w:r>
                    <w:rPr>
                      <w:rFonts w:hint="default" w:ascii="Times New Roman" w:hAnsi="Times New Roman"/>
                      <w:color w:val="auto"/>
                      <w:sz w:val="21"/>
                      <w:szCs w:val="21"/>
                    </w:rPr>
                    <w:t>二类区</w:t>
                  </w:r>
                </w:p>
              </w:tc>
              <w:tc>
                <w:tcPr>
                  <w:tcW w:w="546" w:type="pct"/>
                  <w:noWrap w:val="0"/>
                  <w:vAlign w:val="center"/>
                </w:tcPr>
                <w:p>
                  <w:pPr>
                    <w:pStyle w:val="2"/>
                    <w:jc w:val="center"/>
                    <w:rPr>
                      <w:rFonts w:hint="eastAsia" w:ascii="Times New Roman" w:hAnsi="Times New Roman" w:eastAsia="宋体"/>
                      <w:color w:val="auto"/>
                      <w:sz w:val="21"/>
                      <w:szCs w:val="21"/>
                      <w:lang w:eastAsia="zh-CN"/>
                    </w:rPr>
                  </w:pPr>
                  <w:r>
                    <w:rPr>
                      <w:rFonts w:hint="eastAsia" w:ascii="Times New Roman" w:hAnsi="Times New Roman"/>
                      <w:color w:val="auto"/>
                      <w:sz w:val="21"/>
                      <w:szCs w:val="21"/>
                      <w:lang w:val="en-US" w:eastAsia="zh-CN"/>
                    </w:rPr>
                    <w:t>W</w:t>
                  </w:r>
                </w:p>
              </w:tc>
              <w:tc>
                <w:tcPr>
                  <w:tcW w:w="526" w:type="pct"/>
                  <w:noWrap w:val="0"/>
                  <w:vAlign w:val="center"/>
                </w:tcPr>
                <w:p>
                  <w:pPr>
                    <w:pStyle w:val="2"/>
                    <w:jc w:val="center"/>
                    <w:rPr>
                      <w:rFonts w:hint="default" w:ascii="Times New Roman" w:hAnsi="Times New Roman" w:eastAsia="宋体"/>
                      <w:color w:val="auto"/>
                      <w:sz w:val="21"/>
                      <w:szCs w:val="21"/>
                      <w:lang w:val="en-US" w:eastAsia="zh-CN"/>
                    </w:rPr>
                  </w:pPr>
                  <w:r>
                    <w:rPr>
                      <w:rFonts w:hint="eastAsia" w:ascii="Times New Roman" w:hAnsi="Times New Roman"/>
                      <w:color w:val="auto"/>
                      <w:sz w:val="21"/>
                      <w:szCs w:val="21"/>
                      <w:lang w:val="en-US" w:eastAsia="zh-CN"/>
                    </w:rPr>
                    <w:t>467</w:t>
                  </w:r>
                </w:p>
              </w:tc>
            </w:tr>
          </w:tbl>
          <w:p>
            <w:pPr>
              <w:pStyle w:val="53"/>
              <w:keepNext w:val="0"/>
              <w:keepLines w:val="0"/>
              <w:pageBreakBefore w:val="0"/>
              <w:widowControl w:val="0"/>
              <w:numPr>
                <w:ilvl w:val="0"/>
                <w:numId w:val="0"/>
              </w:numPr>
              <w:tabs>
                <w:tab w:val="left" w:pos="294"/>
              </w:tabs>
              <w:kinsoku/>
              <w:wordWrap/>
              <w:overflowPunct/>
              <w:topLinePunct w:val="0"/>
              <w:autoSpaceDE w:val="0"/>
              <w:autoSpaceDN w:val="0"/>
              <w:bidi w:val="0"/>
              <w:adjustRightInd/>
              <w:snapToGrid/>
              <w:spacing w:line="360" w:lineRule="auto"/>
              <w:ind w:leftChars="200" w:right="0" w:rightChars="0"/>
              <w:textAlignment w:val="auto"/>
              <w:rPr>
                <w:rFonts w:hint="default" w:ascii="Times New Roman" w:hAnsi="Times New Roman" w:eastAsia="宋体" w:cs="Times New Roman"/>
                <w:b/>
                <w:color w:val="000000"/>
                <w:spacing w:val="0"/>
                <w:sz w:val="24"/>
                <w:szCs w:val="24"/>
                <w:highlight w:val="none"/>
              </w:rPr>
            </w:pPr>
            <w:r>
              <w:rPr>
                <w:rFonts w:hint="default" w:ascii="Times New Roman" w:hAnsi="Times New Roman" w:eastAsia="宋体" w:cs="Times New Roman"/>
                <w:b/>
                <w:color w:val="000000"/>
                <w:spacing w:val="0"/>
                <w:sz w:val="24"/>
                <w:szCs w:val="24"/>
                <w:highlight w:val="none"/>
                <w:lang w:val="en-US" w:eastAsia="zh-CN"/>
              </w:rPr>
              <w:t>2、</w:t>
            </w:r>
            <w:r>
              <w:rPr>
                <w:rFonts w:hint="default" w:ascii="Times New Roman" w:hAnsi="Times New Roman" w:eastAsia="宋体" w:cs="Times New Roman"/>
                <w:b/>
                <w:color w:val="000000"/>
                <w:spacing w:val="0"/>
                <w:sz w:val="24"/>
                <w:szCs w:val="24"/>
                <w:highlight w:val="none"/>
              </w:rPr>
              <w:t>声环境</w:t>
            </w:r>
          </w:p>
          <w:p>
            <w:pPr>
              <w:pStyle w:val="53"/>
              <w:keepNext w:val="0"/>
              <w:keepLines w:val="0"/>
              <w:pageBreakBefore w:val="0"/>
              <w:widowControl w:val="0"/>
              <w:kinsoku/>
              <w:wordWrap/>
              <w:overflowPunct/>
              <w:topLinePunct w:val="0"/>
              <w:autoSpaceDE w:val="0"/>
              <w:autoSpaceDN w:val="0"/>
              <w:bidi w:val="0"/>
              <w:adjustRightInd/>
              <w:snapToGrid/>
              <w:spacing w:line="360" w:lineRule="auto"/>
              <w:ind w:left="0" w:right="0" w:firstLine="480" w:firstLineChars="200"/>
              <w:textAlignment w:val="auto"/>
              <w:rPr>
                <w:rFonts w:hint="default" w:ascii="Times New Roman" w:hAnsi="Times New Roman" w:eastAsia="宋体" w:cs="Times New Roman"/>
                <w:color w:val="000000"/>
                <w:spacing w:val="0"/>
                <w:sz w:val="24"/>
                <w:szCs w:val="24"/>
                <w:highlight w:val="none"/>
              </w:rPr>
            </w:pPr>
            <w:r>
              <w:rPr>
                <w:rFonts w:hint="default" w:ascii="Times New Roman" w:hAnsi="Times New Roman" w:eastAsia="宋体" w:cs="Times New Roman"/>
                <w:color w:val="000000"/>
                <w:spacing w:val="0"/>
                <w:sz w:val="24"/>
                <w:szCs w:val="24"/>
                <w:highlight w:val="none"/>
              </w:rPr>
              <w:t>厂界外50米范围内</w:t>
            </w:r>
            <w:r>
              <w:rPr>
                <w:rFonts w:hint="eastAsia" w:ascii="Times New Roman" w:hAnsi="Times New Roman" w:eastAsia="宋体" w:cs="Times New Roman"/>
                <w:color w:val="000000"/>
                <w:spacing w:val="0"/>
                <w:sz w:val="24"/>
                <w:szCs w:val="24"/>
                <w:highlight w:val="none"/>
                <w:lang w:eastAsia="zh-CN"/>
              </w:rPr>
              <w:t>无</w:t>
            </w:r>
            <w:r>
              <w:rPr>
                <w:rFonts w:hint="default" w:ascii="Times New Roman" w:hAnsi="Times New Roman" w:eastAsia="宋体" w:cs="Times New Roman"/>
                <w:color w:val="000000"/>
                <w:spacing w:val="0"/>
                <w:sz w:val="24"/>
                <w:szCs w:val="24"/>
                <w:highlight w:val="none"/>
              </w:rPr>
              <w:t>声环境保护目标。</w:t>
            </w:r>
          </w:p>
          <w:p>
            <w:pPr>
              <w:pStyle w:val="53"/>
              <w:keepNext w:val="0"/>
              <w:keepLines w:val="0"/>
              <w:pageBreakBefore w:val="0"/>
              <w:widowControl w:val="0"/>
              <w:numPr>
                <w:ilvl w:val="0"/>
                <w:numId w:val="0"/>
              </w:numPr>
              <w:tabs>
                <w:tab w:val="left" w:pos="294"/>
              </w:tabs>
              <w:kinsoku/>
              <w:wordWrap/>
              <w:overflowPunct/>
              <w:topLinePunct w:val="0"/>
              <w:autoSpaceDE w:val="0"/>
              <w:autoSpaceDN w:val="0"/>
              <w:bidi w:val="0"/>
              <w:adjustRightInd/>
              <w:snapToGrid/>
              <w:spacing w:line="360" w:lineRule="auto"/>
              <w:ind w:leftChars="200" w:right="0" w:rightChars="0"/>
              <w:textAlignment w:val="auto"/>
              <w:rPr>
                <w:rFonts w:hint="default" w:ascii="Times New Roman" w:hAnsi="Times New Roman" w:eastAsia="宋体" w:cs="Times New Roman"/>
                <w:b/>
                <w:color w:val="000000"/>
                <w:spacing w:val="0"/>
                <w:sz w:val="24"/>
                <w:szCs w:val="24"/>
                <w:highlight w:val="none"/>
              </w:rPr>
            </w:pPr>
            <w:r>
              <w:rPr>
                <w:rFonts w:hint="default" w:ascii="Times New Roman" w:hAnsi="Times New Roman" w:eastAsia="宋体" w:cs="Times New Roman"/>
                <w:b/>
                <w:color w:val="000000"/>
                <w:spacing w:val="0"/>
                <w:sz w:val="24"/>
                <w:szCs w:val="24"/>
                <w:highlight w:val="none"/>
                <w:lang w:val="en-US" w:eastAsia="zh-CN"/>
              </w:rPr>
              <w:t>3、</w:t>
            </w:r>
            <w:r>
              <w:rPr>
                <w:rFonts w:hint="default" w:ascii="Times New Roman" w:hAnsi="Times New Roman" w:eastAsia="宋体" w:cs="Times New Roman"/>
                <w:b/>
                <w:color w:val="000000"/>
                <w:spacing w:val="0"/>
                <w:sz w:val="24"/>
                <w:szCs w:val="24"/>
                <w:highlight w:val="none"/>
              </w:rPr>
              <w:t>地下水环境</w:t>
            </w:r>
          </w:p>
          <w:p>
            <w:pPr>
              <w:pStyle w:val="53"/>
              <w:keepNext w:val="0"/>
              <w:keepLines w:val="0"/>
              <w:pageBreakBefore w:val="0"/>
              <w:widowControl w:val="0"/>
              <w:kinsoku/>
              <w:wordWrap/>
              <w:overflowPunct/>
              <w:topLinePunct w:val="0"/>
              <w:autoSpaceDE w:val="0"/>
              <w:autoSpaceDN w:val="0"/>
              <w:bidi w:val="0"/>
              <w:adjustRightInd/>
              <w:snapToGrid/>
              <w:spacing w:line="360" w:lineRule="auto"/>
              <w:ind w:left="0" w:right="0" w:firstLine="480" w:firstLineChars="200"/>
              <w:jc w:val="both"/>
              <w:textAlignment w:val="auto"/>
              <w:rPr>
                <w:rFonts w:hint="default" w:ascii="Times New Roman" w:hAnsi="Times New Roman" w:eastAsia="宋体" w:cs="Times New Roman"/>
                <w:color w:val="000000"/>
                <w:spacing w:val="0"/>
                <w:sz w:val="24"/>
                <w:szCs w:val="24"/>
                <w:highlight w:val="none"/>
              </w:rPr>
            </w:pPr>
            <w:r>
              <w:rPr>
                <w:rFonts w:hint="default" w:ascii="Times New Roman" w:hAnsi="Times New Roman" w:eastAsia="宋体" w:cs="Times New Roman"/>
                <w:color w:val="000000"/>
                <w:spacing w:val="0"/>
                <w:sz w:val="24"/>
                <w:szCs w:val="24"/>
                <w:highlight w:val="none"/>
              </w:rPr>
              <w:t>厂界外500米范围内</w:t>
            </w:r>
            <w:r>
              <w:rPr>
                <w:rFonts w:hint="default" w:ascii="Times New Roman" w:hAnsi="Times New Roman" w:eastAsia="宋体" w:cs="Times New Roman"/>
                <w:color w:val="000000"/>
                <w:spacing w:val="0"/>
                <w:sz w:val="24"/>
                <w:szCs w:val="24"/>
                <w:highlight w:val="none"/>
                <w:lang w:eastAsia="zh-CN"/>
              </w:rPr>
              <w:t>无</w:t>
            </w:r>
            <w:r>
              <w:rPr>
                <w:rFonts w:hint="default" w:ascii="Times New Roman" w:hAnsi="Times New Roman" w:eastAsia="宋体" w:cs="Times New Roman"/>
                <w:color w:val="000000"/>
                <w:spacing w:val="0"/>
                <w:sz w:val="24"/>
                <w:szCs w:val="24"/>
                <w:highlight w:val="none"/>
              </w:rPr>
              <w:t>地下水集中式饮用水水源和热水、矿泉水、温泉等特殊地下水资源。</w:t>
            </w:r>
          </w:p>
          <w:p>
            <w:pPr>
              <w:pStyle w:val="53"/>
              <w:keepNext w:val="0"/>
              <w:keepLines w:val="0"/>
              <w:pageBreakBefore w:val="0"/>
              <w:widowControl w:val="0"/>
              <w:numPr>
                <w:ilvl w:val="0"/>
                <w:numId w:val="0"/>
              </w:numPr>
              <w:tabs>
                <w:tab w:val="left" w:pos="294"/>
              </w:tabs>
              <w:kinsoku/>
              <w:wordWrap/>
              <w:overflowPunct/>
              <w:topLinePunct w:val="0"/>
              <w:autoSpaceDE w:val="0"/>
              <w:autoSpaceDN w:val="0"/>
              <w:bidi w:val="0"/>
              <w:adjustRightInd/>
              <w:snapToGrid/>
              <w:spacing w:line="360" w:lineRule="auto"/>
              <w:ind w:leftChars="200" w:right="0" w:rightChars="0"/>
              <w:textAlignment w:val="auto"/>
              <w:rPr>
                <w:rFonts w:hint="default" w:ascii="Times New Roman" w:hAnsi="Times New Roman" w:eastAsia="宋体" w:cs="Times New Roman"/>
                <w:b/>
                <w:color w:val="000000"/>
                <w:spacing w:val="0"/>
                <w:sz w:val="24"/>
                <w:szCs w:val="24"/>
                <w:highlight w:val="none"/>
              </w:rPr>
            </w:pPr>
            <w:r>
              <w:rPr>
                <w:rFonts w:hint="default" w:ascii="Times New Roman" w:hAnsi="Times New Roman" w:eastAsia="宋体" w:cs="Times New Roman"/>
                <w:b/>
                <w:color w:val="000000"/>
                <w:spacing w:val="0"/>
                <w:sz w:val="24"/>
                <w:szCs w:val="24"/>
                <w:highlight w:val="none"/>
                <w:lang w:val="en-US" w:eastAsia="zh-CN"/>
              </w:rPr>
              <w:t>4、</w:t>
            </w:r>
            <w:r>
              <w:rPr>
                <w:rFonts w:hint="default" w:ascii="Times New Roman" w:hAnsi="Times New Roman" w:eastAsia="宋体" w:cs="Times New Roman"/>
                <w:b/>
                <w:color w:val="000000"/>
                <w:spacing w:val="0"/>
                <w:sz w:val="24"/>
                <w:szCs w:val="24"/>
                <w:highlight w:val="none"/>
              </w:rPr>
              <w:t>生态环境</w:t>
            </w:r>
          </w:p>
          <w:p>
            <w:pPr>
              <w:pStyle w:val="53"/>
              <w:keepNext w:val="0"/>
              <w:keepLines w:val="0"/>
              <w:pageBreakBefore w:val="0"/>
              <w:widowControl w:val="0"/>
              <w:kinsoku/>
              <w:wordWrap/>
              <w:overflowPunct/>
              <w:topLinePunct w:val="0"/>
              <w:autoSpaceDE w:val="0"/>
              <w:autoSpaceDN w:val="0"/>
              <w:bidi w:val="0"/>
              <w:adjustRightInd/>
              <w:snapToGrid/>
              <w:spacing w:line="360" w:lineRule="auto"/>
              <w:ind w:left="0" w:right="0" w:firstLine="480" w:firstLineChars="200"/>
              <w:jc w:val="both"/>
              <w:textAlignment w:val="auto"/>
            </w:pPr>
            <w:r>
              <w:rPr>
                <w:rFonts w:hint="default" w:ascii="Times New Roman" w:hAnsi="Times New Roman" w:eastAsia="宋体" w:cs="Times New Roman"/>
                <w:color w:val="000000"/>
                <w:spacing w:val="0"/>
                <w:sz w:val="24"/>
                <w:szCs w:val="24"/>
                <w:highlight w:val="none"/>
                <w:lang w:val="en-US" w:eastAsia="zh-CN"/>
              </w:rPr>
              <w:t>本项目</w:t>
            </w:r>
            <w:r>
              <w:rPr>
                <w:rFonts w:hint="eastAsia" w:ascii="Times New Roman" w:hAnsi="Times New Roman" w:eastAsia="宋体" w:cs="Times New Roman"/>
                <w:color w:val="000000"/>
                <w:spacing w:val="0"/>
                <w:sz w:val="24"/>
                <w:szCs w:val="24"/>
                <w:highlight w:val="none"/>
                <w:lang w:val="en-US" w:eastAsia="zh-CN"/>
              </w:rPr>
              <w:t>利用闲置工业</w:t>
            </w:r>
            <w:r>
              <w:rPr>
                <w:rFonts w:hint="eastAsia" w:ascii="Times New Roman" w:hAnsi="Times New Roman" w:eastAsia="宋体" w:cs="Times New Roman"/>
                <w:color w:val="000000"/>
                <w:spacing w:val="0"/>
                <w:sz w:val="24"/>
                <w:szCs w:val="24"/>
                <w:highlight w:val="none"/>
                <w:lang w:eastAsia="zh-CN"/>
              </w:rPr>
              <w:t>用地</w:t>
            </w:r>
            <w:r>
              <w:rPr>
                <w:rFonts w:hint="eastAsia" w:ascii="Times New Roman" w:hAnsi="Times New Roman" w:eastAsia="宋体" w:cs="Times New Roman"/>
                <w:color w:val="000000"/>
                <w:spacing w:val="0"/>
                <w:sz w:val="24"/>
                <w:szCs w:val="24"/>
                <w:highlight w:val="none"/>
                <w:lang w:val="en-US" w:eastAsia="zh-CN"/>
              </w:rPr>
              <w:t>进行建设</w:t>
            </w:r>
            <w:r>
              <w:rPr>
                <w:rFonts w:hint="default" w:ascii="Times New Roman" w:hAnsi="Times New Roman" w:eastAsia="宋体" w:cs="Times New Roman"/>
                <w:color w:val="000000"/>
                <w:spacing w:val="0"/>
                <w:sz w:val="24"/>
                <w:szCs w:val="24"/>
                <w:highlight w:val="none"/>
                <w:lang w:val="en-US" w:eastAsia="zh-CN"/>
              </w:rPr>
              <w:t>，用地范围内无生态环境保护目标</w:t>
            </w:r>
            <w:r>
              <w:rPr>
                <w:rFonts w:hint="default" w:ascii="Times New Roman" w:hAnsi="Times New Roman" w:eastAsia="宋体" w:cs="Times New Roman"/>
                <w:color w:val="000000"/>
                <w:spacing w:val="0"/>
                <w:sz w:val="24"/>
                <w:szCs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800" w:type="dxa"/>
            <w:tcMar>
              <w:left w:w="28" w:type="dxa"/>
              <w:right w:w="28" w:type="dxa"/>
            </w:tcMar>
            <w:vAlign w:val="center"/>
          </w:tcPr>
          <w:p>
            <w:pPr>
              <w:adjustRightInd w:val="0"/>
              <w:snapToGrid w:val="0"/>
              <w:jc w:val="center"/>
              <w:rPr>
                <w:rFonts w:cs="宋体"/>
                <w:kern w:val="0"/>
                <w:sz w:val="24"/>
              </w:rPr>
            </w:pPr>
            <w:r>
              <w:rPr>
                <w:rFonts w:hint="eastAsia" w:cs="宋体"/>
                <w:kern w:val="0"/>
                <w:sz w:val="24"/>
              </w:rPr>
              <w:t>污染</w:t>
            </w:r>
          </w:p>
          <w:p>
            <w:pPr>
              <w:adjustRightInd w:val="0"/>
              <w:snapToGrid w:val="0"/>
              <w:jc w:val="center"/>
              <w:rPr>
                <w:rFonts w:cs="宋体"/>
                <w:kern w:val="0"/>
                <w:sz w:val="24"/>
              </w:rPr>
            </w:pPr>
            <w:r>
              <w:rPr>
                <w:rFonts w:hint="eastAsia" w:cs="宋体"/>
                <w:kern w:val="0"/>
                <w:sz w:val="24"/>
              </w:rPr>
              <w:t>物排</w:t>
            </w:r>
          </w:p>
          <w:p>
            <w:pPr>
              <w:adjustRightInd w:val="0"/>
              <w:snapToGrid w:val="0"/>
              <w:jc w:val="center"/>
              <w:rPr>
                <w:rFonts w:cs="宋体"/>
                <w:kern w:val="0"/>
                <w:sz w:val="24"/>
              </w:rPr>
            </w:pPr>
            <w:r>
              <w:rPr>
                <w:rFonts w:hint="eastAsia" w:cs="宋体"/>
                <w:kern w:val="0"/>
                <w:sz w:val="24"/>
              </w:rPr>
              <w:t>放控</w:t>
            </w:r>
          </w:p>
          <w:p>
            <w:pPr>
              <w:adjustRightInd w:val="0"/>
              <w:snapToGrid w:val="0"/>
              <w:jc w:val="center"/>
              <w:rPr>
                <w:rFonts w:cs="宋体"/>
                <w:kern w:val="0"/>
                <w:sz w:val="24"/>
              </w:rPr>
            </w:pPr>
            <w:r>
              <w:rPr>
                <w:rFonts w:hint="eastAsia" w:cs="宋体"/>
                <w:kern w:val="0"/>
                <w:sz w:val="24"/>
              </w:rPr>
              <w:t>制标</w:t>
            </w:r>
          </w:p>
          <w:p>
            <w:pPr>
              <w:adjustRightInd w:val="0"/>
              <w:snapToGrid w:val="0"/>
              <w:jc w:val="center"/>
              <w:rPr>
                <w:rFonts w:cs="宋体"/>
                <w:kern w:val="0"/>
                <w:sz w:val="24"/>
              </w:rPr>
            </w:pPr>
            <w:r>
              <w:rPr>
                <w:rFonts w:hint="eastAsia" w:cs="宋体"/>
                <w:kern w:val="0"/>
                <w:sz w:val="24"/>
              </w:rPr>
              <w:t>准</w:t>
            </w:r>
          </w:p>
        </w:tc>
        <w:tc>
          <w:tcPr>
            <w:tcW w:w="8190" w:type="dxa"/>
            <w:vAlign w:val="center"/>
          </w:tcPr>
          <w:p>
            <w:pPr>
              <w:pStyle w:val="42"/>
              <w:ind w:firstLine="420"/>
            </w:pPr>
            <w:r>
              <w:rPr>
                <w:rFonts w:hint="eastAsia"/>
              </w:rPr>
              <w:t>一、</w:t>
            </w:r>
            <w:r>
              <w:t>废水</w:t>
            </w:r>
          </w:p>
          <w:p>
            <w:pPr>
              <w:pStyle w:val="42"/>
              <w:ind w:firstLine="420"/>
            </w:pPr>
            <w:r>
              <w:rPr>
                <w:szCs w:val="21"/>
              </w:rPr>
              <w:t>本项目</w:t>
            </w:r>
            <w:r>
              <w:rPr>
                <w:rFonts w:hint="eastAsia"/>
                <w:szCs w:val="21"/>
              </w:rPr>
              <w:t>办公区</w:t>
            </w:r>
            <w:r>
              <w:rPr>
                <w:szCs w:val="21"/>
              </w:rPr>
              <w:t>的生活污水</w:t>
            </w:r>
            <w:r>
              <w:rPr>
                <w:rFonts w:hint="eastAsia"/>
                <w:szCs w:val="21"/>
              </w:rPr>
              <w:t>及实验室废水</w:t>
            </w:r>
            <w:r>
              <w:rPr>
                <w:szCs w:val="21"/>
              </w:rPr>
              <w:t>由</w:t>
            </w:r>
            <w:r>
              <w:rPr>
                <w:rFonts w:hint="eastAsia"/>
                <w:szCs w:val="21"/>
              </w:rPr>
              <w:t>污水处理间</w:t>
            </w:r>
            <w:r>
              <w:rPr>
                <w:szCs w:val="21"/>
              </w:rPr>
              <w:t>处理达到《医疗机构水污染物排放标准》（GB18466-2005）表2中预处理标准后，</w:t>
            </w:r>
            <w:r>
              <w:rPr>
                <w:rFonts w:hint="eastAsia"/>
                <w:szCs w:val="21"/>
              </w:rPr>
              <w:t>经市政管网排入</w:t>
            </w:r>
            <w:r>
              <w:rPr>
                <w:szCs w:val="21"/>
              </w:rPr>
              <w:t>哈尔滨市松北供排水有限公司（原松浦污水处理厂）处理达标后排入松花江。</w:t>
            </w:r>
            <w:r>
              <w:rPr>
                <w:kern w:val="0"/>
                <w:szCs w:val="21"/>
              </w:rPr>
              <w:t>因此，本项目污水排放标准执行《医疗机构水污染物排放标准》（GB18466-2005）中预处理标准。</w:t>
            </w:r>
            <w:r>
              <w:rPr>
                <w:rFonts w:hint="eastAsia"/>
              </w:rPr>
              <w:t>详见下表。</w:t>
            </w:r>
          </w:p>
          <w:p>
            <w:pPr>
              <w:pStyle w:val="32"/>
            </w:pPr>
            <w:r>
              <w:t>《医疗机构水污染物排放标准》（GB18466-2005）</w:t>
            </w:r>
          </w:p>
          <w:tbl>
            <w:tblPr>
              <w:tblStyle w:val="26"/>
              <w:tblW w:w="4998"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998"/>
              <w:gridCol w:w="4022"/>
              <w:gridCol w:w="2951"/>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3" w:hRule="atLeast"/>
                <w:jc w:val="center"/>
              </w:trPr>
              <w:tc>
                <w:tcPr>
                  <w:tcW w:w="626" w:type="pct"/>
                  <w:vAlign w:val="center"/>
                </w:tcPr>
                <w:p>
                  <w:pPr>
                    <w:pStyle w:val="33"/>
                  </w:pPr>
                  <w:r>
                    <w:t>序号</w:t>
                  </w:r>
                </w:p>
              </w:tc>
              <w:tc>
                <w:tcPr>
                  <w:tcW w:w="2522" w:type="pct"/>
                  <w:vAlign w:val="center"/>
                </w:tcPr>
                <w:p>
                  <w:pPr>
                    <w:pStyle w:val="33"/>
                  </w:pPr>
                  <w:r>
                    <w:t>控制项目</w:t>
                  </w:r>
                </w:p>
              </w:tc>
              <w:tc>
                <w:tcPr>
                  <w:tcW w:w="1850" w:type="pct"/>
                  <w:vAlign w:val="center"/>
                </w:tcPr>
                <w:p>
                  <w:pPr>
                    <w:pStyle w:val="33"/>
                  </w:pPr>
                  <w:r>
                    <w:t>预处理标准</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3" w:hRule="atLeast"/>
                <w:jc w:val="center"/>
              </w:trPr>
              <w:tc>
                <w:tcPr>
                  <w:tcW w:w="626" w:type="pct"/>
                  <w:vAlign w:val="center"/>
                </w:tcPr>
                <w:p>
                  <w:pPr>
                    <w:pStyle w:val="33"/>
                  </w:pPr>
                  <w:r>
                    <w:t>1</w:t>
                  </w:r>
                </w:p>
              </w:tc>
              <w:tc>
                <w:tcPr>
                  <w:tcW w:w="2522" w:type="pct"/>
                  <w:vAlign w:val="center"/>
                </w:tcPr>
                <w:p>
                  <w:pPr>
                    <w:pStyle w:val="33"/>
                  </w:pPr>
                  <w:r>
                    <w:t>粪大肠菌群数（MPN/L）</w:t>
                  </w:r>
                </w:p>
              </w:tc>
              <w:tc>
                <w:tcPr>
                  <w:tcW w:w="1850" w:type="pct"/>
                  <w:vAlign w:val="center"/>
                </w:tcPr>
                <w:p>
                  <w:pPr>
                    <w:pStyle w:val="33"/>
                  </w:pPr>
                  <w:r>
                    <w:t>5000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3" w:hRule="atLeast"/>
                <w:jc w:val="center"/>
              </w:trPr>
              <w:tc>
                <w:tcPr>
                  <w:tcW w:w="626" w:type="pct"/>
                  <w:vAlign w:val="center"/>
                </w:tcPr>
                <w:p>
                  <w:pPr>
                    <w:pStyle w:val="33"/>
                  </w:pPr>
                  <w:r>
                    <w:t>2</w:t>
                  </w:r>
                </w:p>
              </w:tc>
              <w:tc>
                <w:tcPr>
                  <w:tcW w:w="2522" w:type="pct"/>
                  <w:vAlign w:val="center"/>
                </w:tcPr>
                <w:p>
                  <w:pPr>
                    <w:pStyle w:val="33"/>
                  </w:pPr>
                  <w:r>
                    <w:t>肠道致病菌</w:t>
                  </w:r>
                </w:p>
              </w:tc>
              <w:tc>
                <w:tcPr>
                  <w:tcW w:w="1850" w:type="pct"/>
                  <w:vAlign w:val="center"/>
                </w:tcPr>
                <w:p>
                  <w:pPr>
                    <w:pStyle w:val="33"/>
                  </w:pPr>
                  <w: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3" w:hRule="atLeast"/>
                <w:jc w:val="center"/>
              </w:trPr>
              <w:tc>
                <w:tcPr>
                  <w:tcW w:w="626" w:type="pct"/>
                  <w:vAlign w:val="center"/>
                </w:tcPr>
                <w:p>
                  <w:pPr>
                    <w:pStyle w:val="33"/>
                  </w:pPr>
                  <w:r>
                    <w:t>3</w:t>
                  </w:r>
                </w:p>
              </w:tc>
              <w:tc>
                <w:tcPr>
                  <w:tcW w:w="2522" w:type="pct"/>
                  <w:vAlign w:val="center"/>
                </w:tcPr>
                <w:p>
                  <w:pPr>
                    <w:pStyle w:val="33"/>
                  </w:pPr>
                  <w:r>
                    <w:t>肠道病毒</w:t>
                  </w:r>
                </w:p>
              </w:tc>
              <w:tc>
                <w:tcPr>
                  <w:tcW w:w="1850" w:type="pct"/>
                  <w:vAlign w:val="center"/>
                </w:tcPr>
                <w:p>
                  <w:pPr>
                    <w:pStyle w:val="33"/>
                  </w:pPr>
                  <w: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3" w:hRule="atLeast"/>
                <w:jc w:val="center"/>
              </w:trPr>
              <w:tc>
                <w:tcPr>
                  <w:tcW w:w="626" w:type="pct"/>
                  <w:vAlign w:val="center"/>
                </w:tcPr>
                <w:p>
                  <w:pPr>
                    <w:pStyle w:val="33"/>
                  </w:pPr>
                  <w:r>
                    <w:t>4</w:t>
                  </w:r>
                </w:p>
              </w:tc>
              <w:tc>
                <w:tcPr>
                  <w:tcW w:w="2522" w:type="pct"/>
                  <w:vAlign w:val="center"/>
                </w:tcPr>
                <w:p>
                  <w:pPr>
                    <w:pStyle w:val="33"/>
                  </w:pPr>
                  <w:r>
                    <w:t>pH</w:t>
                  </w:r>
                </w:p>
              </w:tc>
              <w:tc>
                <w:tcPr>
                  <w:tcW w:w="1850" w:type="pct"/>
                  <w:vAlign w:val="center"/>
                </w:tcPr>
                <w:p>
                  <w:pPr>
                    <w:pStyle w:val="33"/>
                  </w:pPr>
                  <w:r>
                    <w:t>6-9</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3" w:hRule="atLeast"/>
                <w:jc w:val="center"/>
              </w:trPr>
              <w:tc>
                <w:tcPr>
                  <w:tcW w:w="626" w:type="pct"/>
                  <w:vAlign w:val="center"/>
                </w:tcPr>
                <w:p>
                  <w:pPr>
                    <w:pStyle w:val="33"/>
                  </w:pPr>
                  <w:r>
                    <w:t>5</w:t>
                  </w:r>
                </w:p>
              </w:tc>
              <w:tc>
                <w:tcPr>
                  <w:tcW w:w="2522" w:type="pct"/>
                  <w:vAlign w:val="center"/>
                </w:tcPr>
                <w:p>
                  <w:pPr>
                    <w:pStyle w:val="33"/>
                  </w:pPr>
                  <w:r>
                    <w:t>化学需氧量（COD）浓度（mg/L）</w:t>
                  </w:r>
                </w:p>
              </w:tc>
              <w:tc>
                <w:tcPr>
                  <w:tcW w:w="1850" w:type="pct"/>
                  <w:vAlign w:val="center"/>
                </w:tcPr>
                <w:p>
                  <w:pPr>
                    <w:pStyle w:val="33"/>
                  </w:pPr>
                  <w:r>
                    <w:t>250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3" w:hRule="atLeast"/>
                <w:jc w:val="center"/>
              </w:trPr>
              <w:tc>
                <w:tcPr>
                  <w:tcW w:w="626" w:type="pct"/>
                  <w:vAlign w:val="center"/>
                </w:tcPr>
                <w:p>
                  <w:pPr>
                    <w:pStyle w:val="33"/>
                  </w:pPr>
                  <w:r>
                    <w:t>6</w:t>
                  </w:r>
                </w:p>
              </w:tc>
              <w:tc>
                <w:tcPr>
                  <w:tcW w:w="2522" w:type="pct"/>
                  <w:vAlign w:val="center"/>
                </w:tcPr>
                <w:p>
                  <w:pPr>
                    <w:pStyle w:val="33"/>
                  </w:pPr>
                  <w:r>
                    <w:t>生化需氧量（BOD</w:t>
                  </w:r>
                  <w:r>
                    <w:rPr>
                      <w:rFonts w:hint="eastAsia"/>
                      <w:vertAlign w:val="subscript"/>
                    </w:rPr>
                    <w:t>5</w:t>
                  </w:r>
                  <w:r>
                    <w:t>）浓度 （mg/L）</w:t>
                  </w:r>
                </w:p>
              </w:tc>
              <w:tc>
                <w:tcPr>
                  <w:tcW w:w="1850" w:type="pct"/>
                  <w:vAlign w:val="center"/>
                </w:tcPr>
                <w:p>
                  <w:pPr>
                    <w:pStyle w:val="33"/>
                  </w:pPr>
                  <w:r>
                    <w:t>100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3" w:hRule="atLeast"/>
                <w:jc w:val="center"/>
              </w:trPr>
              <w:tc>
                <w:tcPr>
                  <w:tcW w:w="626" w:type="pct"/>
                  <w:vAlign w:val="center"/>
                </w:tcPr>
                <w:p>
                  <w:pPr>
                    <w:pStyle w:val="33"/>
                  </w:pPr>
                  <w:r>
                    <w:t>7</w:t>
                  </w:r>
                </w:p>
              </w:tc>
              <w:tc>
                <w:tcPr>
                  <w:tcW w:w="2522" w:type="pct"/>
                  <w:vAlign w:val="center"/>
                </w:tcPr>
                <w:p>
                  <w:pPr>
                    <w:pStyle w:val="33"/>
                  </w:pPr>
                  <w:r>
                    <w:t>悬浮物（SS）浓度 （mg/L）</w:t>
                  </w:r>
                </w:p>
              </w:tc>
              <w:tc>
                <w:tcPr>
                  <w:tcW w:w="1850" w:type="pct"/>
                  <w:vAlign w:val="center"/>
                </w:tcPr>
                <w:p>
                  <w:pPr>
                    <w:pStyle w:val="33"/>
                  </w:pPr>
                  <w:r>
                    <w:t>60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3" w:hRule="atLeast"/>
                <w:jc w:val="center"/>
              </w:trPr>
              <w:tc>
                <w:tcPr>
                  <w:tcW w:w="626" w:type="pct"/>
                  <w:vAlign w:val="center"/>
                </w:tcPr>
                <w:p>
                  <w:pPr>
                    <w:pStyle w:val="33"/>
                  </w:pPr>
                  <w:r>
                    <w:t>8</w:t>
                  </w:r>
                </w:p>
              </w:tc>
              <w:tc>
                <w:tcPr>
                  <w:tcW w:w="2522" w:type="pct"/>
                  <w:vAlign w:val="center"/>
                </w:tcPr>
                <w:p>
                  <w:pPr>
                    <w:pStyle w:val="33"/>
                  </w:pPr>
                  <w:r>
                    <w:t>氨氮（mg/L）</w:t>
                  </w:r>
                </w:p>
              </w:tc>
              <w:tc>
                <w:tcPr>
                  <w:tcW w:w="1850" w:type="pct"/>
                  <w:vAlign w:val="center"/>
                </w:tcPr>
                <w:p>
                  <w:pPr>
                    <w:pStyle w:val="33"/>
                  </w:pPr>
                  <w: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3" w:hRule="atLeast"/>
                <w:jc w:val="center"/>
              </w:trPr>
              <w:tc>
                <w:tcPr>
                  <w:tcW w:w="626" w:type="pct"/>
                  <w:vAlign w:val="center"/>
                </w:tcPr>
                <w:p>
                  <w:pPr>
                    <w:pStyle w:val="33"/>
                  </w:pPr>
                  <w:r>
                    <w:t>9</w:t>
                  </w:r>
                </w:p>
              </w:tc>
              <w:tc>
                <w:tcPr>
                  <w:tcW w:w="2522" w:type="pct"/>
                  <w:vAlign w:val="center"/>
                </w:tcPr>
                <w:p>
                  <w:pPr>
                    <w:pStyle w:val="33"/>
                  </w:pPr>
                  <w:r>
                    <w:t>动植物油（mg/L）</w:t>
                  </w:r>
                </w:p>
              </w:tc>
              <w:tc>
                <w:tcPr>
                  <w:tcW w:w="1850" w:type="pct"/>
                  <w:vAlign w:val="center"/>
                </w:tcPr>
                <w:p>
                  <w:pPr>
                    <w:pStyle w:val="33"/>
                  </w:pPr>
                  <w:r>
                    <w:t>20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3" w:hRule="atLeast"/>
                <w:jc w:val="center"/>
              </w:trPr>
              <w:tc>
                <w:tcPr>
                  <w:tcW w:w="626" w:type="pct"/>
                  <w:vAlign w:val="center"/>
                </w:tcPr>
                <w:p>
                  <w:pPr>
                    <w:pStyle w:val="33"/>
                  </w:pPr>
                  <w:r>
                    <w:t>10</w:t>
                  </w:r>
                </w:p>
              </w:tc>
              <w:tc>
                <w:tcPr>
                  <w:tcW w:w="2522" w:type="pct"/>
                  <w:vAlign w:val="center"/>
                </w:tcPr>
                <w:p>
                  <w:pPr>
                    <w:pStyle w:val="33"/>
                  </w:pPr>
                  <w:r>
                    <w:t>石油类（mg/L）</w:t>
                  </w:r>
                </w:p>
              </w:tc>
              <w:tc>
                <w:tcPr>
                  <w:tcW w:w="1850" w:type="pct"/>
                  <w:vAlign w:val="center"/>
                </w:tcPr>
                <w:p>
                  <w:pPr>
                    <w:pStyle w:val="33"/>
                  </w:pPr>
                  <w:r>
                    <w:t>20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3" w:hRule="atLeast"/>
                <w:jc w:val="center"/>
              </w:trPr>
              <w:tc>
                <w:tcPr>
                  <w:tcW w:w="626" w:type="pct"/>
                  <w:vAlign w:val="center"/>
                </w:tcPr>
                <w:p>
                  <w:pPr>
                    <w:pStyle w:val="33"/>
                  </w:pPr>
                  <w:r>
                    <w:t>11</w:t>
                  </w:r>
                </w:p>
              </w:tc>
              <w:tc>
                <w:tcPr>
                  <w:tcW w:w="2522" w:type="pct"/>
                  <w:vAlign w:val="center"/>
                </w:tcPr>
                <w:p>
                  <w:pPr>
                    <w:pStyle w:val="33"/>
                  </w:pPr>
                  <w:r>
                    <w:t>阴离子表面活性剂（mg/L）</w:t>
                  </w:r>
                </w:p>
              </w:tc>
              <w:tc>
                <w:tcPr>
                  <w:tcW w:w="1850" w:type="pct"/>
                  <w:vAlign w:val="center"/>
                </w:tcPr>
                <w:p>
                  <w:pPr>
                    <w:pStyle w:val="33"/>
                  </w:pPr>
                  <w: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3" w:hRule="atLeast"/>
                <w:jc w:val="center"/>
              </w:trPr>
              <w:tc>
                <w:tcPr>
                  <w:tcW w:w="626" w:type="pct"/>
                  <w:vAlign w:val="center"/>
                </w:tcPr>
                <w:p>
                  <w:pPr>
                    <w:pStyle w:val="33"/>
                  </w:pPr>
                  <w:r>
                    <w:t>12</w:t>
                  </w:r>
                </w:p>
              </w:tc>
              <w:tc>
                <w:tcPr>
                  <w:tcW w:w="2522" w:type="pct"/>
                  <w:vAlign w:val="center"/>
                </w:tcPr>
                <w:p>
                  <w:pPr>
                    <w:pStyle w:val="33"/>
                  </w:pPr>
                  <w:r>
                    <w:t>色度（稀释倍数）</w:t>
                  </w:r>
                </w:p>
              </w:tc>
              <w:tc>
                <w:tcPr>
                  <w:tcW w:w="1850" w:type="pct"/>
                  <w:vAlign w:val="center"/>
                </w:tcPr>
                <w:p>
                  <w:pPr>
                    <w:pStyle w:val="33"/>
                  </w:pPr>
                  <w: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3" w:hRule="atLeast"/>
                <w:jc w:val="center"/>
              </w:trPr>
              <w:tc>
                <w:tcPr>
                  <w:tcW w:w="626" w:type="pct"/>
                  <w:vAlign w:val="center"/>
                </w:tcPr>
                <w:p>
                  <w:pPr>
                    <w:pStyle w:val="33"/>
                  </w:pPr>
                  <w:r>
                    <w:t>13</w:t>
                  </w:r>
                </w:p>
              </w:tc>
              <w:tc>
                <w:tcPr>
                  <w:tcW w:w="2522" w:type="pct"/>
                  <w:vAlign w:val="center"/>
                </w:tcPr>
                <w:p>
                  <w:pPr>
                    <w:pStyle w:val="33"/>
                  </w:pPr>
                  <w:r>
                    <w:t>挥发酚（mg/L）</w:t>
                  </w:r>
                </w:p>
              </w:tc>
              <w:tc>
                <w:tcPr>
                  <w:tcW w:w="1850" w:type="pct"/>
                  <w:vAlign w:val="center"/>
                </w:tcPr>
                <w:p>
                  <w:pPr>
                    <w:pStyle w:val="33"/>
                  </w:pPr>
                  <w:r>
                    <w:t>1.0</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13" w:hRule="atLeast"/>
                <w:jc w:val="center"/>
              </w:trPr>
              <w:tc>
                <w:tcPr>
                  <w:tcW w:w="626" w:type="pct"/>
                  <w:vAlign w:val="center"/>
                </w:tcPr>
                <w:p>
                  <w:pPr>
                    <w:pStyle w:val="33"/>
                  </w:pPr>
                  <w:r>
                    <w:rPr>
                      <w:rFonts w:hint="eastAsia"/>
                    </w:rPr>
                    <w:t>14</w:t>
                  </w:r>
                </w:p>
              </w:tc>
              <w:tc>
                <w:tcPr>
                  <w:tcW w:w="2522" w:type="pct"/>
                  <w:vAlign w:val="center"/>
                </w:tcPr>
                <w:p>
                  <w:pPr>
                    <w:pStyle w:val="33"/>
                  </w:pPr>
                  <w:r>
                    <w:rPr>
                      <w:rFonts w:hint="eastAsia"/>
                    </w:rPr>
                    <w:t>总余氯</w:t>
                  </w:r>
                </w:p>
              </w:tc>
              <w:tc>
                <w:tcPr>
                  <w:tcW w:w="1850" w:type="pct"/>
                  <w:vAlign w:val="center"/>
                </w:tcPr>
                <w:p>
                  <w:pPr>
                    <w:pStyle w:val="33"/>
                  </w:pPr>
                  <w:r>
                    <w:rPr>
                      <w:rFonts w:hint="eastAsia"/>
                    </w:rPr>
                    <w:t>--</w:t>
                  </w:r>
                </w:p>
              </w:tc>
            </w:tr>
          </w:tbl>
          <w:p>
            <w:pPr>
              <w:pStyle w:val="42"/>
              <w:ind w:firstLine="420"/>
            </w:pPr>
            <w:r>
              <w:rPr>
                <w:rFonts w:hint="eastAsia"/>
              </w:rPr>
              <w:t>二、</w:t>
            </w:r>
            <w:r>
              <w:t>噪声</w:t>
            </w:r>
          </w:p>
          <w:p>
            <w:pPr>
              <w:pStyle w:val="42"/>
              <w:ind w:firstLine="420"/>
            </w:pPr>
            <w:r>
              <w:t>项目建成后，</w:t>
            </w:r>
            <w:r>
              <w:rPr>
                <w:rFonts w:hint="eastAsia"/>
              </w:rPr>
              <w:t>厂界噪声</w:t>
            </w:r>
            <w:r>
              <w:t>执行《工业企业厂界环境噪声排放标准》(GB12348—2008)</w:t>
            </w:r>
            <w:r>
              <w:rPr>
                <w:rFonts w:hint="eastAsia"/>
              </w:rPr>
              <w:t>表1中3</w:t>
            </w:r>
            <w:r>
              <w:t>类标准。</w:t>
            </w:r>
          </w:p>
          <w:p>
            <w:pPr>
              <w:pStyle w:val="32"/>
            </w:pPr>
            <w:r>
              <w:t>噪声评价标准</w:t>
            </w:r>
          </w:p>
          <w:tbl>
            <w:tblPr>
              <w:tblStyle w:val="26"/>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71"/>
              <w:gridCol w:w="2781"/>
              <w:gridCol w:w="28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1487" w:type="pct"/>
                  <w:vMerge w:val="restart"/>
                  <w:vAlign w:val="center"/>
                </w:tcPr>
                <w:p>
                  <w:pPr>
                    <w:pStyle w:val="33"/>
                  </w:pPr>
                  <w:r>
                    <w:t>类   别</w:t>
                  </w:r>
                </w:p>
              </w:tc>
              <w:tc>
                <w:tcPr>
                  <w:tcW w:w="3512" w:type="pct"/>
                  <w:gridSpan w:val="2"/>
                  <w:vAlign w:val="center"/>
                </w:tcPr>
                <w:p>
                  <w:pPr>
                    <w:pStyle w:val="33"/>
                  </w:pPr>
                  <w:r>
                    <w:t>标准值（dB（A））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1487" w:type="pct"/>
                  <w:vMerge w:val="continue"/>
                  <w:vAlign w:val="center"/>
                </w:tcPr>
                <w:p>
                  <w:pPr>
                    <w:pStyle w:val="33"/>
                  </w:pPr>
                </w:p>
              </w:tc>
              <w:tc>
                <w:tcPr>
                  <w:tcW w:w="1744" w:type="pct"/>
                  <w:vAlign w:val="center"/>
                </w:tcPr>
                <w:p>
                  <w:pPr>
                    <w:pStyle w:val="33"/>
                  </w:pPr>
                  <w:r>
                    <w:t>昼间</w:t>
                  </w:r>
                </w:p>
              </w:tc>
              <w:tc>
                <w:tcPr>
                  <w:tcW w:w="1768" w:type="pct"/>
                  <w:vAlign w:val="center"/>
                </w:tcPr>
                <w:p>
                  <w:pPr>
                    <w:pStyle w:val="33"/>
                  </w:pPr>
                  <w: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1487" w:type="pct"/>
                  <w:vAlign w:val="center"/>
                </w:tcPr>
                <w:p>
                  <w:pPr>
                    <w:pStyle w:val="33"/>
                  </w:pPr>
                  <w:r>
                    <w:rPr>
                      <w:rFonts w:hint="eastAsia"/>
                    </w:rPr>
                    <w:t>3</w:t>
                  </w:r>
                  <w:r>
                    <w:t>类</w:t>
                  </w:r>
                </w:p>
              </w:tc>
              <w:tc>
                <w:tcPr>
                  <w:tcW w:w="1744" w:type="pct"/>
                  <w:vAlign w:val="center"/>
                </w:tcPr>
                <w:p>
                  <w:pPr>
                    <w:pStyle w:val="33"/>
                  </w:pPr>
                  <w:r>
                    <w:rPr>
                      <w:rFonts w:hint="eastAsia"/>
                    </w:rPr>
                    <w:t>65</w:t>
                  </w:r>
                </w:p>
              </w:tc>
              <w:tc>
                <w:tcPr>
                  <w:tcW w:w="1768" w:type="pct"/>
                  <w:vAlign w:val="center"/>
                </w:tcPr>
                <w:p>
                  <w:pPr>
                    <w:pStyle w:val="33"/>
                  </w:pPr>
                  <w:r>
                    <w:rPr>
                      <w:rFonts w:hint="eastAsia"/>
                    </w:rPr>
                    <w:t>55</w:t>
                  </w:r>
                </w:p>
              </w:tc>
            </w:tr>
          </w:tbl>
          <w:p>
            <w:pPr>
              <w:pStyle w:val="42"/>
              <w:ind w:firstLine="420"/>
            </w:pPr>
            <w:r>
              <w:rPr>
                <w:rFonts w:hint="eastAsia"/>
              </w:rPr>
              <w:t>三、废气</w:t>
            </w:r>
          </w:p>
          <w:p>
            <w:pPr>
              <w:pStyle w:val="55"/>
              <w:spacing w:line="360" w:lineRule="auto"/>
              <w:ind w:firstLine="420" w:firstLineChars="200"/>
              <w:rPr>
                <w:bCs/>
                <w:sz w:val="21"/>
                <w:szCs w:val="21"/>
              </w:rPr>
            </w:pPr>
            <w:r>
              <w:rPr>
                <w:bCs/>
                <w:sz w:val="21"/>
                <w:szCs w:val="21"/>
              </w:rPr>
              <w:t>施工期扬尘执行《大气污染物综合排放标准》（GB16297-1996）表2无组织排放标准限值</w:t>
            </w:r>
            <w:r>
              <w:rPr>
                <w:sz w:val="21"/>
                <w:szCs w:val="21"/>
              </w:rPr>
              <w:t>。</w:t>
            </w:r>
          </w:p>
          <w:p>
            <w:pPr>
              <w:pStyle w:val="32"/>
            </w:pPr>
            <w:r>
              <w:rPr>
                <w:rFonts w:hint="eastAsia"/>
              </w:rPr>
              <w:t xml:space="preserve"> 大气污染物排放限值   mg/m</w:t>
            </w:r>
            <w:r>
              <w:rPr>
                <w:rFonts w:hint="eastAsia"/>
                <w:vertAlign w:val="superscript"/>
              </w:rPr>
              <w:t>3</w:t>
            </w:r>
          </w:p>
          <w:tbl>
            <w:tblPr>
              <w:tblStyle w:val="26"/>
              <w:tblW w:w="497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28"/>
              <w:gridCol w:w="1062"/>
              <w:gridCol w:w="1332"/>
              <w:gridCol w:w="1195"/>
              <w:gridCol w:w="26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9" w:type="pct"/>
                  <w:noWrap/>
                  <w:vAlign w:val="center"/>
                </w:tcPr>
                <w:p>
                  <w:pPr>
                    <w:jc w:val="center"/>
                    <w:rPr>
                      <w:szCs w:val="21"/>
                    </w:rPr>
                  </w:pPr>
                  <w:r>
                    <w:rPr>
                      <w:szCs w:val="21"/>
                    </w:rPr>
                    <w:t>污染物名称</w:t>
                  </w:r>
                </w:p>
              </w:tc>
              <w:tc>
                <w:tcPr>
                  <w:tcW w:w="669" w:type="pct"/>
                  <w:noWrap/>
                  <w:vAlign w:val="center"/>
                </w:tcPr>
                <w:p>
                  <w:pPr>
                    <w:jc w:val="center"/>
                    <w:rPr>
                      <w:bCs/>
                      <w:szCs w:val="21"/>
                    </w:rPr>
                  </w:pPr>
                  <w:r>
                    <w:rPr>
                      <w:bCs/>
                      <w:szCs w:val="21"/>
                    </w:rPr>
                    <w:t>生产过程</w:t>
                  </w:r>
                </w:p>
              </w:tc>
              <w:tc>
                <w:tcPr>
                  <w:tcW w:w="839" w:type="pct"/>
                  <w:noWrap/>
                  <w:vAlign w:val="center"/>
                </w:tcPr>
                <w:p>
                  <w:pPr>
                    <w:jc w:val="center"/>
                    <w:rPr>
                      <w:bCs/>
                      <w:szCs w:val="21"/>
                    </w:rPr>
                  </w:pPr>
                  <w:r>
                    <w:rPr>
                      <w:bCs/>
                      <w:szCs w:val="21"/>
                    </w:rPr>
                    <w:t>生产设备</w:t>
                  </w:r>
                </w:p>
              </w:tc>
              <w:tc>
                <w:tcPr>
                  <w:tcW w:w="753" w:type="pct"/>
                  <w:noWrap/>
                  <w:vAlign w:val="center"/>
                </w:tcPr>
                <w:p>
                  <w:pPr>
                    <w:jc w:val="center"/>
                    <w:rPr>
                      <w:bCs/>
                      <w:szCs w:val="21"/>
                    </w:rPr>
                  </w:pPr>
                  <w:r>
                    <w:rPr>
                      <w:bCs/>
                      <w:szCs w:val="21"/>
                    </w:rPr>
                    <w:t>限值</w:t>
                  </w:r>
                </w:p>
              </w:tc>
              <w:tc>
                <w:tcPr>
                  <w:tcW w:w="1648" w:type="pct"/>
                  <w:noWrap/>
                </w:tcPr>
                <w:p>
                  <w:pPr>
                    <w:jc w:val="center"/>
                    <w:rPr>
                      <w:bCs/>
                      <w:szCs w:val="21"/>
                    </w:rPr>
                  </w:pPr>
                  <w:r>
                    <w:rPr>
                      <w:bCs/>
                      <w:szCs w:val="21"/>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89" w:type="pct"/>
                  <w:noWrap/>
                  <w:vAlign w:val="center"/>
                </w:tcPr>
                <w:p>
                  <w:pPr>
                    <w:jc w:val="center"/>
                    <w:rPr>
                      <w:szCs w:val="21"/>
                    </w:rPr>
                  </w:pPr>
                  <w:r>
                    <w:rPr>
                      <w:szCs w:val="21"/>
                    </w:rPr>
                    <w:t>颗</w:t>
                  </w:r>
                  <w:r>
                    <w:rPr>
                      <w:rFonts w:hint="eastAsia"/>
                      <w:szCs w:val="21"/>
                    </w:rPr>
                    <w:t>粒</w:t>
                  </w:r>
                  <w:r>
                    <w:rPr>
                      <w:szCs w:val="21"/>
                    </w:rPr>
                    <w:t>物</w:t>
                  </w:r>
                </w:p>
              </w:tc>
              <w:tc>
                <w:tcPr>
                  <w:tcW w:w="669" w:type="pct"/>
                  <w:noWrap/>
                  <w:vAlign w:val="center"/>
                </w:tcPr>
                <w:p>
                  <w:pPr>
                    <w:jc w:val="center"/>
                    <w:rPr>
                      <w:szCs w:val="21"/>
                    </w:rPr>
                  </w:pPr>
                  <w:r>
                    <w:rPr>
                      <w:rFonts w:hint="eastAsia"/>
                      <w:szCs w:val="21"/>
                    </w:rPr>
                    <w:t>—</w:t>
                  </w:r>
                </w:p>
              </w:tc>
              <w:tc>
                <w:tcPr>
                  <w:tcW w:w="839" w:type="pct"/>
                  <w:noWrap/>
                  <w:vAlign w:val="center"/>
                </w:tcPr>
                <w:p>
                  <w:pPr>
                    <w:jc w:val="center"/>
                    <w:rPr>
                      <w:szCs w:val="21"/>
                    </w:rPr>
                  </w:pPr>
                  <w:r>
                    <w:rPr>
                      <w:szCs w:val="21"/>
                    </w:rPr>
                    <w:t>—</w:t>
                  </w:r>
                </w:p>
              </w:tc>
              <w:tc>
                <w:tcPr>
                  <w:tcW w:w="753" w:type="pct"/>
                  <w:noWrap/>
                  <w:vAlign w:val="center"/>
                </w:tcPr>
                <w:p>
                  <w:pPr>
                    <w:jc w:val="center"/>
                    <w:rPr>
                      <w:szCs w:val="21"/>
                    </w:rPr>
                  </w:pPr>
                  <w:r>
                    <w:rPr>
                      <w:szCs w:val="21"/>
                    </w:rPr>
                    <w:t>1.0</w:t>
                  </w:r>
                </w:p>
              </w:tc>
              <w:tc>
                <w:tcPr>
                  <w:tcW w:w="1648" w:type="pct"/>
                  <w:noWrap/>
                  <w:vAlign w:val="center"/>
                </w:tcPr>
                <w:p>
                  <w:pPr>
                    <w:jc w:val="center"/>
                    <w:rPr>
                      <w:szCs w:val="21"/>
                    </w:rPr>
                  </w:pPr>
                  <w:r>
                    <w:rPr>
                      <w:szCs w:val="21"/>
                    </w:rPr>
                    <w:t>《大气污染物综合排放标准》（GB16297-1996）</w:t>
                  </w:r>
                </w:p>
              </w:tc>
            </w:tr>
          </w:tbl>
          <w:p>
            <w:pPr>
              <w:pStyle w:val="55"/>
              <w:spacing w:line="360" w:lineRule="auto"/>
              <w:ind w:firstLine="420" w:firstLineChars="200"/>
              <w:rPr>
                <w:bCs/>
                <w:sz w:val="21"/>
                <w:szCs w:val="21"/>
              </w:rPr>
            </w:pPr>
            <w:r>
              <w:rPr>
                <w:rFonts w:hint="eastAsia"/>
                <w:bCs/>
                <w:sz w:val="21"/>
                <w:szCs w:val="21"/>
              </w:rPr>
              <w:t>运营期</w:t>
            </w:r>
            <w:r>
              <w:rPr>
                <w:bCs/>
                <w:sz w:val="21"/>
                <w:szCs w:val="21"/>
              </w:rPr>
              <w:t>污水处理站无组织排放废气浓度执行《医疗机构水污染物排放标准》（GB18466-2005）中表3污水处理站周边大气污染物最高允许浓度</w:t>
            </w:r>
            <w:r>
              <w:rPr>
                <w:rFonts w:hint="eastAsia"/>
                <w:bCs/>
                <w:sz w:val="21"/>
                <w:szCs w:val="21"/>
              </w:rPr>
              <w:t>。</w:t>
            </w:r>
          </w:p>
          <w:p>
            <w:pPr>
              <w:pStyle w:val="32"/>
            </w:pPr>
            <w:r>
              <w:t>污水处理站周边大气污染物最高允许浓</w:t>
            </w:r>
            <w:r>
              <w:rPr>
                <w:rFonts w:hint="eastAsia"/>
              </w:rPr>
              <w:t>度</w:t>
            </w:r>
          </w:p>
          <w:tbl>
            <w:tblPr>
              <w:tblStyle w:val="27"/>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1"/>
              <w:gridCol w:w="2081"/>
              <w:gridCol w:w="1834"/>
              <w:gridCol w:w="33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415" w:type="pct"/>
                  <w:tcBorders>
                    <w:tl2br w:val="nil"/>
                    <w:tr2bl w:val="nil"/>
                  </w:tcBorders>
                  <w:vAlign w:val="center"/>
                </w:tcPr>
                <w:p>
                  <w:pPr>
                    <w:adjustRightInd w:val="0"/>
                    <w:snapToGrid w:val="0"/>
                    <w:jc w:val="center"/>
                    <w:rPr>
                      <w:szCs w:val="21"/>
                    </w:rPr>
                  </w:pPr>
                  <w:r>
                    <w:rPr>
                      <w:szCs w:val="21"/>
                    </w:rPr>
                    <w:t>序号</w:t>
                  </w:r>
                </w:p>
              </w:tc>
              <w:tc>
                <w:tcPr>
                  <w:tcW w:w="1305" w:type="pct"/>
                  <w:tcBorders>
                    <w:tl2br w:val="nil"/>
                    <w:tr2bl w:val="nil"/>
                  </w:tcBorders>
                  <w:vAlign w:val="center"/>
                </w:tcPr>
                <w:p>
                  <w:pPr>
                    <w:adjustRightInd w:val="0"/>
                    <w:snapToGrid w:val="0"/>
                    <w:jc w:val="center"/>
                    <w:rPr>
                      <w:szCs w:val="21"/>
                    </w:rPr>
                  </w:pPr>
                  <w:r>
                    <w:rPr>
                      <w:szCs w:val="21"/>
                    </w:rPr>
                    <w:t>控制项目</w:t>
                  </w:r>
                </w:p>
              </w:tc>
              <w:tc>
                <w:tcPr>
                  <w:tcW w:w="1150" w:type="pct"/>
                  <w:tcBorders>
                    <w:tl2br w:val="nil"/>
                    <w:tr2bl w:val="nil"/>
                  </w:tcBorders>
                  <w:vAlign w:val="center"/>
                </w:tcPr>
                <w:p>
                  <w:pPr>
                    <w:adjustRightInd w:val="0"/>
                    <w:snapToGrid w:val="0"/>
                    <w:jc w:val="center"/>
                    <w:rPr>
                      <w:szCs w:val="21"/>
                    </w:rPr>
                  </w:pPr>
                  <w:r>
                    <w:rPr>
                      <w:szCs w:val="21"/>
                    </w:rPr>
                    <w:t>标准值mg/m</w:t>
                  </w:r>
                  <w:r>
                    <w:rPr>
                      <w:szCs w:val="21"/>
                      <w:vertAlign w:val="superscript"/>
                    </w:rPr>
                    <w:t>3</w:t>
                  </w:r>
                </w:p>
              </w:tc>
              <w:tc>
                <w:tcPr>
                  <w:tcW w:w="2128" w:type="pct"/>
                  <w:tcBorders>
                    <w:tl2br w:val="nil"/>
                    <w:tr2bl w:val="nil"/>
                  </w:tcBorders>
                  <w:vAlign w:val="center"/>
                </w:tcPr>
                <w:p>
                  <w:pPr>
                    <w:adjustRightInd w:val="0"/>
                    <w:snapToGrid w:val="0"/>
                    <w:jc w:val="center"/>
                    <w:rPr>
                      <w:szCs w:val="21"/>
                    </w:rPr>
                  </w:pPr>
                  <w:r>
                    <w:rPr>
                      <w:szCs w:val="21"/>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415" w:type="pct"/>
                  <w:tcBorders>
                    <w:tl2br w:val="nil"/>
                    <w:tr2bl w:val="nil"/>
                  </w:tcBorders>
                  <w:vAlign w:val="center"/>
                </w:tcPr>
                <w:p>
                  <w:pPr>
                    <w:adjustRightInd w:val="0"/>
                    <w:snapToGrid w:val="0"/>
                    <w:jc w:val="center"/>
                    <w:rPr>
                      <w:szCs w:val="21"/>
                    </w:rPr>
                  </w:pPr>
                  <w:r>
                    <w:rPr>
                      <w:szCs w:val="21"/>
                    </w:rPr>
                    <w:t>1</w:t>
                  </w:r>
                </w:p>
              </w:tc>
              <w:tc>
                <w:tcPr>
                  <w:tcW w:w="1305" w:type="pct"/>
                  <w:tcBorders>
                    <w:tl2br w:val="nil"/>
                    <w:tr2bl w:val="nil"/>
                  </w:tcBorders>
                  <w:vAlign w:val="center"/>
                </w:tcPr>
                <w:p>
                  <w:pPr>
                    <w:adjustRightInd w:val="0"/>
                    <w:snapToGrid w:val="0"/>
                    <w:jc w:val="center"/>
                    <w:rPr>
                      <w:szCs w:val="21"/>
                    </w:rPr>
                  </w:pPr>
                  <w:r>
                    <w:rPr>
                      <w:szCs w:val="21"/>
                    </w:rPr>
                    <w:t>NH</w:t>
                  </w:r>
                  <w:r>
                    <w:rPr>
                      <w:szCs w:val="21"/>
                      <w:vertAlign w:val="subscript"/>
                    </w:rPr>
                    <w:t>3</w:t>
                  </w:r>
                </w:p>
              </w:tc>
              <w:tc>
                <w:tcPr>
                  <w:tcW w:w="1150" w:type="pct"/>
                  <w:tcBorders>
                    <w:tl2br w:val="nil"/>
                    <w:tr2bl w:val="nil"/>
                  </w:tcBorders>
                  <w:vAlign w:val="center"/>
                </w:tcPr>
                <w:p>
                  <w:pPr>
                    <w:adjustRightInd w:val="0"/>
                    <w:snapToGrid w:val="0"/>
                    <w:jc w:val="center"/>
                    <w:rPr>
                      <w:szCs w:val="21"/>
                    </w:rPr>
                  </w:pPr>
                  <w:r>
                    <w:rPr>
                      <w:szCs w:val="21"/>
                    </w:rPr>
                    <w:t>1.0</w:t>
                  </w:r>
                </w:p>
              </w:tc>
              <w:tc>
                <w:tcPr>
                  <w:tcW w:w="2128" w:type="pct"/>
                  <w:vMerge w:val="restart"/>
                  <w:tcBorders>
                    <w:tl2br w:val="nil"/>
                    <w:tr2bl w:val="nil"/>
                  </w:tcBorders>
                  <w:vAlign w:val="center"/>
                </w:tcPr>
                <w:p>
                  <w:pPr>
                    <w:adjustRightInd w:val="0"/>
                    <w:snapToGrid w:val="0"/>
                    <w:jc w:val="center"/>
                    <w:rPr>
                      <w:szCs w:val="21"/>
                    </w:rPr>
                  </w:pPr>
                  <w:r>
                    <w:rPr>
                      <w:szCs w:val="21"/>
                    </w:rPr>
                    <w:t>《医疗机构水污染物排放标准》（GB18466-2005）中表3 污水处理站周边大气污染物最高允许浓度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415" w:type="pct"/>
                  <w:tcBorders>
                    <w:tl2br w:val="nil"/>
                    <w:tr2bl w:val="nil"/>
                  </w:tcBorders>
                  <w:vAlign w:val="center"/>
                </w:tcPr>
                <w:p>
                  <w:pPr>
                    <w:adjustRightInd w:val="0"/>
                    <w:snapToGrid w:val="0"/>
                    <w:jc w:val="center"/>
                    <w:rPr>
                      <w:szCs w:val="21"/>
                    </w:rPr>
                  </w:pPr>
                  <w:r>
                    <w:rPr>
                      <w:szCs w:val="21"/>
                    </w:rPr>
                    <w:t>2</w:t>
                  </w:r>
                </w:p>
              </w:tc>
              <w:tc>
                <w:tcPr>
                  <w:tcW w:w="1305" w:type="pct"/>
                  <w:tcBorders>
                    <w:tl2br w:val="nil"/>
                    <w:tr2bl w:val="nil"/>
                  </w:tcBorders>
                  <w:vAlign w:val="center"/>
                </w:tcPr>
                <w:p>
                  <w:pPr>
                    <w:adjustRightInd w:val="0"/>
                    <w:snapToGrid w:val="0"/>
                    <w:jc w:val="center"/>
                    <w:rPr>
                      <w:szCs w:val="21"/>
                    </w:rPr>
                  </w:pPr>
                  <w:r>
                    <w:rPr>
                      <w:szCs w:val="21"/>
                    </w:rPr>
                    <w:t>H</w:t>
                  </w:r>
                  <w:r>
                    <w:rPr>
                      <w:szCs w:val="21"/>
                      <w:vertAlign w:val="subscript"/>
                    </w:rPr>
                    <w:t>2</w:t>
                  </w:r>
                  <w:r>
                    <w:rPr>
                      <w:szCs w:val="21"/>
                    </w:rPr>
                    <w:t>S</w:t>
                  </w:r>
                </w:p>
              </w:tc>
              <w:tc>
                <w:tcPr>
                  <w:tcW w:w="1150" w:type="pct"/>
                  <w:tcBorders>
                    <w:tl2br w:val="nil"/>
                    <w:tr2bl w:val="nil"/>
                  </w:tcBorders>
                  <w:vAlign w:val="center"/>
                </w:tcPr>
                <w:p>
                  <w:pPr>
                    <w:adjustRightInd w:val="0"/>
                    <w:snapToGrid w:val="0"/>
                    <w:jc w:val="center"/>
                    <w:rPr>
                      <w:szCs w:val="21"/>
                    </w:rPr>
                  </w:pPr>
                  <w:r>
                    <w:rPr>
                      <w:szCs w:val="21"/>
                    </w:rPr>
                    <w:t>0.03</w:t>
                  </w:r>
                </w:p>
              </w:tc>
              <w:tc>
                <w:tcPr>
                  <w:tcW w:w="2128" w:type="pct"/>
                  <w:vMerge w:val="continue"/>
                  <w:tcBorders>
                    <w:tl2br w:val="nil"/>
                    <w:tr2bl w:val="nil"/>
                  </w:tcBorders>
                </w:tcPr>
                <w:p>
                  <w:pPr>
                    <w:pStyle w:val="45"/>
                    <w:rPr>
                      <w:rFonts w:eastAsia="宋体"/>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415" w:type="pct"/>
                  <w:tcBorders>
                    <w:tl2br w:val="nil"/>
                    <w:tr2bl w:val="nil"/>
                  </w:tcBorders>
                  <w:vAlign w:val="center"/>
                </w:tcPr>
                <w:p>
                  <w:pPr>
                    <w:adjustRightInd w:val="0"/>
                    <w:snapToGrid w:val="0"/>
                    <w:jc w:val="center"/>
                    <w:rPr>
                      <w:szCs w:val="21"/>
                    </w:rPr>
                  </w:pPr>
                  <w:r>
                    <w:rPr>
                      <w:szCs w:val="21"/>
                    </w:rPr>
                    <w:t>3</w:t>
                  </w:r>
                </w:p>
              </w:tc>
              <w:tc>
                <w:tcPr>
                  <w:tcW w:w="1305" w:type="pct"/>
                  <w:tcBorders>
                    <w:tl2br w:val="nil"/>
                    <w:tr2bl w:val="nil"/>
                  </w:tcBorders>
                  <w:vAlign w:val="center"/>
                </w:tcPr>
                <w:p>
                  <w:pPr>
                    <w:adjustRightInd w:val="0"/>
                    <w:snapToGrid w:val="0"/>
                    <w:jc w:val="center"/>
                    <w:rPr>
                      <w:szCs w:val="21"/>
                    </w:rPr>
                  </w:pPr>
                  <w:r>
                    <w:rPr>
                      <w:szCs w:val="21"/>
                    </w:rPr>
                    <w:t>臭气浓度（无量纲）</w:t>
                  </w:r>
                </w:p>
              </w:tc>
              <w:tc>
                <w:tcPr>
                  <w:tcW w:w="1150" w:type="pct"/>
                  <w:tcBorders>
                    <w:tl2br w:val="nil"/>
                    <w:tr2bl w:val="nil"/>
                  </w:tcBorders>
                  <w:vAlign w:val="center"/>
                </w:tcPr>
                <w:p>
                  <w:pPr>
                    <w:adjustRightInd w:val="0"/>
                    <w:snapToGrid w:val="0"/>
                    <w:jc w:val="center"/>
                    <w:rPr>
                      <w:szCs w:val="21"/>
                    </w:rPr>
                  </w:pPr>
                  <w:r>
                    <w:rPr>
                      <w:szCs w:val="21"/>
                    </w:rPr>
                    <w:t>10</w:t>
                  </w:r>
                </w:p>
              </w:tc>
              <w:tc>
                <w:tcPr>
                  <w:tcW w:w="2128" w:type="pct"/>
                  <w:vMerge w:val="continue"/>
                  <w:tcBorders>
                    <w:tl2br w:val="nil"/>
                    <w:tr2bl w:val="nil"/>
                  </w:tcBorders>
                </w:tcPr>
                <w:p>
                  <w:pPr>
                    <w:pStyle w:val="45"/>
                    <w:rPr>
                      <w:rFonts w:eastAsia="宋体"/>
                      <w:sz w:val="21"/>
                      <w:szCs w:val="21"/>
                    </w:rPr>
                  </w:pPr>
                </w:p>
              </w:tc>
            </w:tr>
          </w:tbl>
          <w:p>
            <w:pPr>
              <w:pStyle w:val="42"/>
              <w:ind w:firstLine="420"/>
            </w:pPr>
            <w:r>
              <w:rPr>
                <w:rFonts w:hint="eastAsia"/>
              </w:rPr>
              <w:t>四、</w:t>
            </w:r>
            <w:r>
              <w:t>固体废弃物</w:t>
            </w:r>
          </w:p>
          <w:p>
            <w:pPr>
              <w:pStyle w:val="42"/>
              <w:ind w:firstLine="420"/>
              <w:rPr>
                <w:rFonts w:cs="宋体"/>
                <w:kern w:val="0"/>
              </w:rPr>
            </w:pPr>
            <w:r>
              <w:t>一般固体废物贮存、处置执行《一般工业固体废物贮存和填埋污染控制标准》(GB18599-2020)</w:t>
            </w:r>
            <w:r>
              <w:rPr>
                <w:rFonts w:hint="eastAsia"/>
              </w:rPr>
              <w:t>与《一般固体废物分类与代码》（GB/T39198-2020）</w:t>
            </w:r>
            <w:r>
              <w:t>。医疗废物贮存执行《危险废物贮存污染控制标准》（GB18597-2001）及 2013 修改单，同时执行《医疗废物收集贮存运输技术规范》（HJ2025-2012）中相关规定。</w:t>
            </w:r>
            <w:r>
              <w:rPr>
                <w:rFonts w:hint="eastAsia"/>
              </w:rPr>
              <w:t>污泥执行《医疗机构水污染物排放标准》（</w:t>
            </w:r>
            <w:r>
              <w:t>GB18466-2005</w:t>
            </w:r>
            <w:r>
              <w:rPr>
                <w:rFonts w:hint="eastAsia"/>
              </w:rPr>
              <w:t xml:space="preserve">）中表 </w:t>
            </w:r>
            <w:r>
              <w:t xml:space="preserve">4 </w:t>
            </w:r>
            <w:r>
              <w:rPr>
                <w:rFonts w:hint="eastAsia"/>
              </w:rPr>
              <w:t>综合医疗机构和其他医疗机构标准限值（粪大肠菌群数</w:t>
            </w:r>
            <w:r>
              <w:rPr>
                <w:rFonts w:ascii="Arial" w:hAnsi="Arial" w:cs="Arial"/>
              </w:rPr>
              <w:t>≤</w:t>
            </w:r>
            <w:r>
              <w:rPr>
                <w:rFonts w:hint="eastAsia"/>
              </w:rPr>
              <w:t>100MPN/g，蛔虫卵死亡率</w:t>
            </w:r>
            <w:r>
              <w:t>&gt;</w:t>
            </w:r>
            <w:r>
              <w:rPr>
                <w:rFonts w:hint="eastAsia"/>
              </w:rPr>
              <w:t>95%）。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93" w:hRule="atLeast"/>
          <w:jc w:val="center"/>
        </w:trPr>
        <w:tc>
          <w:tcPr>
            <w:tcW w:w="800" w:type="dxa"/>
            <w:vAlign w:val="center"/>
          </w:tcPr>
          <w:p>
            <w:pPr>
              <w:adjustRightInd w:val="0"/>
              <w:snapToGrid w:val="0"/>
              <w:jc w:val="center"/>
              <w:rPr>
                <w:rFonts w:cs="宋体"/>
                <w:kern w:val="0"/>
                <w:sz w:val="24"/>
              </w:rPr>
            </w:pPr>
            <w:r>
              <w:rPr>
                <w:rFonts w:hint="eastAsia" w:cs="宋体"/>
                <w:kern w:val="0"/>
                <w:sz w:val="24"/>
              </w:rPr>
              <w:t>总量</w:t>
            </w:r>
          </w:p>
          <w:p>
            <w:pPr>
              <w:adjustRightInd w:val="0"/>
              <w:snapToGrid w:val="0"/>
              <w:jc w:val="center"/>
              <w:rPr>
                <w:rFonts w:cs="宋体"/>
                <w:kern w:val="0"/>
                <w:sz w:val="24"/>
              </w:rPr>
            </w:pPr>
            <w:r>
              <w:rPr>
                <w:rFonts w:hint="eastAsia" w:cs="宋体"/>
                <w:kern w:val="0"/>
                <w:sz w:val="24"/>
              </w:rPr>
              <w:t>控制</w:t>
            </w:r>
          </w:p>
          <w:p>
            <w:pPr>
              <w:adjustRightInd w:val="0"/>
              <w:snapToGrid w:val="0"/>
              <w:jc w:val="center"/>
              <w:rPr>
                <w:rFonts w:cs="宋体"/>
                <w:kern w:val="0"/>
                <w:sz w:val="24"/>
              </w:rPr>
            </w:pPr>
            <w:r>
              <w:rPr>
                <w:rFonts w:hint="eastAsia" w:cs="宋体"/>
                <w:kern w:val="0"/>
                <w:sz w:val="24"/>
              </w:rPr>
              <w:t>指标</w:t>
            </w:r>
          </w:p>
        </w:tc>
        <w:tc>
          <w:tcPr>
            <w:tcW w:w="8190" w:type="dxa"/>
            <w:vAlign w:val="center"/>
          </w:tcPr>
          <w:p>
            <w:pPr>
              <w:adjustRightInd w:val="0"/>
              <w:spacing w:line="360" w:lineRule="auto"/>
              <w:ind w:firstLine="420" w:firstLineChars="200"/>
              <w:textAlignment w:val="baseline"/>
              <w:rPr>
                <w:szCs w:val="21"/>
              </w:rPr>
            </w:pPr>
            <w:r>
              <w:rPr>
                <w:szCs w:val="21"/>
              </w:rPr>
              <w:t>本项目生活污水</w:t>
            </w:r>
            <w:r>
              <w:rPr>
                <w:rFonts w:hint="eastAsia"/>
                <w:szCs w:val="21"/>
              </w:rPr>
              <w:t>及生产废水</w:t>
            </w:r>
            <w:r>
              <w:rPr>
                <w:szCs w:val="21"/>
              </w:rPr>
              <w:t>排放总量为</w:t>
            </w:r>
            <w:r>
              <w:rPr>
                <w:rFonts w:hint="eastAsia"/>
                <w:szCs w:val="21"/>
              </w:rPr>
              <w:t>1249.6</w:t>
            </w:r>
            <w:r>
              <w:rPr>
                <w:szCs w:val="21"/>
              </w:rPr>
              <w:t>t/a。</w:t>
            </w:r>
          </w:p>
          <w:p>
            <w:pPr>
              <w:adjustRightInd w:val="0"/>
              <w:spacing w:line="360" w:lineRule="auto"/>
              <w:ind w:firstLine="420" w:firstLineChars="200"/>
              <w:jc w:val="left"/>
              <w:textAlignment w:val="baseline"/>
              <w:rPr>
                <w:szCs w:val="21"/>
                <w:vertAlign w:val="superscript"/>
              </w:rPr>
            </w:pPr>
            <w:r>
              <w:rPr>
                <w:szCs w:val="21"/>
              </w:rPr>
              <w:t>COD预测排放量=污水排放量×</w:t>
            </w:r>
            <w:r>
              <w:rPr>
                <w:rFonts w:hint="eastAsia"/>
                <w:szCs w:val="21"/>
              </w:rPr>
              <w:t>预测排放</w:t>
            </w:r>
            <w:r>
              <w:rPr>
                <w:szCs w:val="21"/>
              </w:rPr>
              <w:t>浓</w:t>
            </w:r>
            <w:r>
              <w:rPr>
                <w:rFonts w:hint="eastAsia"/>
                <w:szCs w:val="21"/>
              </w:rPr>
              <w:t>度</w:t>
            </w:r>
            <w:r>
              <w:rPr>
                <w:szCs w:val="21"/>
              </w:rPr>
              <w:t>×10</w:t>
            </w:r>
            <w:r>
              <w:rPr>
                <w:szCs w:val="21"/>
                <w:vertAlign w:val="superscript"/>
              </w:rPr>
              <w:t>-6</w:t>
            </w:r>
          </w:p>
          <w:p>
            <w:pPr>
              <w:adjustRightInd w:val="0"/>
              <w:spacing w:line="360" w:lineRule="auto"/>
              <w:ind w:firstLine="2100" w:firstLineChars="1000"/>
              <w:jc w:val="left"/>
              <w:textAlignment w:val="baseline"/>
              <w:rPr>
                <w:szCs w:val="21"/>
              </w:rPr>
            </w:pPr>
            <w:r>
              <w:rPr>
                <w:szCs w:val="21"/>
              </w:rPr>
              <w:t>=</w:t>
            </w:r>
            <w:r>
              <w:rPr>
                <w:rFonts w:hint="eastAsia"/>
                <w:szCs w:val="21"/>
              </w:rPr>
              <w:t>1249.6</w:t>
            </w:r>
            <w:r>
              <w:rPr>
                <w:szCs w:val="21"/>
              </w:rPr>
              <w:t>×</w:t>
            </w:r>
            <w:r>
              <w:rPr>
                <w:rFonts w:hint="eastAsia"/>
                <w:szCs w:val="21"/>
              </w:rPr>
              <w:t>180</w:t>
            </w:r>
            <w:r>
              <w:rPr>
                <w:szCs w:val="21"/>
              </w:rPr>
              <w:t>×10</w:t>
            </w:r>
            <w:r>
              <w:rPr>
                <w:szCs w:val="21"/>
                <w:vertAlign w:val="superscript"/>
              </w:rPr>
              <w:t>-6</w:t>
            </w:r>
            <w:r>
              <w:rPr>
                <w:szCs w:val="21"/>
              </w:rPr>
              <w:t>=0.</w:t>
            </w:r>
            <w:r>
              <w:rPr>
                <w:rFonts w:hint="eastAsia"/>
                <w:szCs w:val="21"/>
              </w:rPr>
              <w:t>225</w:t>
            </w:r>
            <w:r>
              <w:rPr>
                <w:szCs w:val="21"/>
              </w:rPr>
              <w:t>t/a</w:t>
            </w:r>
          </w:p>
          <w:p>
            <w:pPr>
              <w:adjustRightInd w:val="0"/>
              <w:spacing w:line="360" w:lineRule="auto"/>
              <w:ind w:firstLine="420" w:firstLineChars="200"/>
              <w:jc w:val="left"/>
              <w:textAlignment w:val="baseline"/>
              <w:rPr>
                <w:szCs w:val="21"/>
                <w:vertAlign w:val="superscript"/>
              </w:rPr>
            </w:pPr>
            <w:r>
              <w:rPr>
                <w:szCs w:val="21"/>
              </w:rPr>
              <w:t>氨氮预测排放量=废水排放量×预测排放浓度×10</w:t>
            </w:r>
            <w:r>
              <w:rPr>
                <w:szCs w:val="21"/>
                <w:vertAlign w:val="superscript"/>
              </w:rPr>
              <w:t>-6</w:t>
            </w:r>
          </w:p>
          <w:p>
            <w:pPr>
              <w:adjustRightInd w:val="0"/>
              <w:spacing w:line="360" w:lineRule="auto"/>
              <w:ind w:firstLine="1890" w:firstLineChars="900"/>
              <w:jc w:val="left"/>
              <w:textAlignment w:val="baseline"/>
              <w:rPr>
                <w:szCs w:val="21"/>
              </w:rPr>
            </w:pPr>
            <w:r>
              <w:rPr>
                <w:szCs w:val="21"/>
              </w:rPr>
              <w:t>=</w:t>
            </w:r>
            <w:r>
              <w:rPr>
                <w:rFonts w:hint="eastAsia"/>
                <w:szCs w:val="21"/>
              </w:rPr>
              <w:t>1249.6</w:t>
            </w:r>
            <w:r>
              <w:rPr>
                <w:szCs w:val="21"/>
              </w:rPr>
              <w:t>×</w:t>
            </w:r>
            <w:r>
              <w:rPr>
                <w:rFonts w:hint="eastAsia"/>
                <w:szCs w:val="21"/>
              </w:rPr>
              <w:t>15</w:t>
            </w:r>
            <w:r>
              <w:rPr>
                <w:szCs w:val="21"/>
              </w:rPr>
              <w:t>×10</w:t>
            </w:r>
            <w:r>
              <w:rPr>
                <w:szCs w:val="21"/>
                <w:vertAlign w:val="superscript"/>
              </w:rPr>
              <w:t>-6</w:t>
            </w:r>
            <w:r>
              <w:rPr>
                <w:szCs w:val="21"/>
              </w:rPr>
              <w:t>=0.0</w:t>
            </w:r>
            <w:r>
              <w:rPr>
                <w:rFonts w:hint="eastAsia"/>
                <w:szCs w:val="21"/>
              </w:rPr>
              <w:t>19</w:t>
            </w:r>
            <w:r>
              <w:rPr>
                <w:szCs w:val="21"/>
              </w:rPr>
              <w:t>t/a。</w:t>
            </w:r>
          </w:p>
          <w:p>
            <w:pPr>
              <w:adjustRightInd w:val="0"/>
              <w:spacing w:line="360" w:lineRule="auto"/>
              <w:ind w:firstLine="420" w:firstLineChars="200"/>
              <w:jc w:val="left"/>
              <w:textAlignment w:val="baseline"/>
              <w:rPr>
                <w:szCs w:val="21"/>
                <w:vertAlign w:val="superscript"/>
              </w:rPr>
            </w:pPr>
            <w:r>
              <w:rPr>
                <w:szCs w:val="21"/>
              </w:rPr>
              <w:t>COD核定排放量=污水排放量×</w:t>
            </w:r>
            <w:r>
              <w:rPr>
                <w:rFonts w:hint="eastAsia"/>
                <w:szCs w:val="21"/>
              </w:rPr>
              <w:t>许可排放</w:t>
            </w:r>
            <w:r>
              <w:rPr>
                <w:szCs w:val="21"/>
              </w:rPr>
              <w:t>浓×10</w:t>
            </w:r>
            <w:r>
              <w:rPr>
                <w:szCs w:val="21"/>
                <w:vertAlign w:val="superscript"/>
              </w:rPr>
              <w:t>-6</w:t>
            </w:r>
          </w:p>
          <w:p>
            <w:pPr>
              <w:adjustRightInd w:val="0"/>
              <w:spacing w:line="360" w:lineRule="auto"/>
              <w:ind w:firstLine="2100" w:firstLineChars="1000"/>
              <w:jc w:val="left"/>
              <w:textAlignment w:val="baseline"/>
              <w:rPr>
                <w:szCs w:val="21"/>
              </w:rPr>
            </w:pPr>
            <w:r>
              <w:rPr>
                <w:szCs w:val="21"/>
              </w:rPr>
              <w:t>=</w:t>
            </w:r>
            <w:r>
              <w:rPr>
                <w:rFonts w:hint="eastAsia"/>
                <w:szCs w:val="21"/>
              </w:rPr>
              <w:t>1249.6</w:t>
            </w:r>
            <w:r>
              <w:rPr>
                <w:szCs w:val="21"/>
              </w:rPr>
              <w:t>×</w:t>
            </w:r>
            <w:r>
              <w:rPr>
                <w:rFonts w:hint="eastAsia"/>
                <w:szCs w:val="21"/>
              </w:rPr>
              <w:t>25</w:t>
            </w:r>
            <w:r>
              <w:rPr>
                <w:szCs w:val="21"/>
              </w:rPr>
              <w:t>0×10</w:t>
            </w:r>
            <w:r>
              <w:rPr>
                <w:szCs w:val="21"/>
                <w:vertAlign w:val="superscript"/>
              </w:rPr>
              <w:t>-6</w:t>
            </w:r>
            <w:r>
              <w:rPr>
                <w:szCs w:val="21"/>
              </w:rPr>
              <w:t>=0.</w:t>
            </w:r>
            <w:r>
              <w:rPr>
                <w:rFonts w:hint="eastAsia"/>
                <w:szCs w:val="21"/>
              </w:rPr>
              <w:t>312</w:t>
            </w:r>
            <w:r>
              <w:rPr>
                <w:szCs w:val="21"/>
              </w:rPr>
              <w:t>t/a</w:t>
            </w:r>
          </w:p>
          <w:p>
            <w:pPr>
              <w:adjustRightInd w:val="0"/>
              <w:spacing w:line="360" w:lineRule="auto"/>
              <w:ind w:firstLine="420" w:firstLineChars="200"/>
              <w:jc w:val="left"/>
              <w:textAlignment w:val="baseline"/>
              <w:rPr>
                <w:szCs w:val="21"/>
                <w:vertAlign w:val="superscript"/>
              </w:rPr>
            </w:pPr>
            <w:r>
              <w:rPr>
                <w:szCs w:val="21"/>
              </w:rPr>
              <w:t>氨氮核定排放量=废水排放量×排放浓度×10</w:t>
            </w:r>
            <w:r>
              <w:rPr>
                <w:szCs w:val="21"/>
                <w:vertAlign w:val="superscript"/>
              </w:rPr>
              <w:t>-6</w:t>
            </w:r>
          </w:p>
          <w:p>
            <w:pPr>
              <w:adjustRightInd w:val="0"/>
              <w:spacing w:line="360" w:lineRule="auto"/>
              <w:ind w:firstLine="1890" w:firstLineChars="900"/>
              <w:jc w:val="left"/>
              <w:textAlignment w:val="baseline"/>
              <w:rPr>
                <w:szCs w:val="21"/>
              </w:rPr>
            </w:pPr>
            <w:r>
              <w:rPr>
                <w:szCs w:val="21"/>
              </w:rPr>
              <w:t>=</w:t>
            </w:r>
            <w:r>
              <w:rPr>
                <w:rFonts w:hint="eastAsia"/>
                <w:szCs w:val="21"/>
              </w:rPr>
              <w:t>1249.6</w:t>
            </w:r>
            <w:r>
              <w:rPr>
                <w:szCs w:val="21"/>
              </w:rPr>
              <w:t>×</w:t>
            </w:r>
            <w:r>
              <w:rPr>
                <w:rFonts w:hint="eastAsia"/>
                <w:szCs w:val="21"/>
              </w:rPr>
              <w:t>15</w:t>
            </w:r>
            <w:r>
              <w:rPr>
                <w:szCs w:val="21"/>
              </w:rPr>
              <w:t>×10</w:t>
            </w:r>
            <w:r>
              <w:rPr>
                <w:szCs w:val="21"/>
                <w:vertAlign w:val="superscript"/>
              </w:rPr>
              <w:t>-6</w:t>
            </w:r>
            <w:r>
              <w:rPr>
                <w:szCs w:val="21"/>
              </w:rPr>
              <w:t>=0.0</w:t>
            </w:r>
            <w:r>
              <w:rPr>
                <w:rFonts w:hint="eastAsia"/>
                <w:szCs w:val="21"/>
              </w:rPr>
              <w:t>19</w:t>
            </w:r>
            <w:r>
              <w:rPr>
                <w:szCs w:val="21"/>
              </w:rPr>
              <w:t>t/a。</w:t>
            </w:r>
          </w:p>
          <w:p>
            <w:pPr>
              <w:adjustRightInd w:val="0"/>
              <w:spacing w:line="360" w:lineRule="auto"/>
              <w:ind w:firstLine="420" w:firstLineChars="200"/>
              <w:jc w:val="left"/>
              <w:textAlignment w:val="baseline"/>
              <w:rPr>
                <w:szCs w:val="21"/>
              </w:rPr>
            </w:pPr>
            <w:r>
              <w:rPr>
                <w:szCs w:val="21"/>
              </w:rPr>
              <w:t>水污染物预测排放总量COD为0.</w:t>
            </w:r>
            <w:r>
              <w:rPr>
                <w:rFonts w:hint="eastAsia"/>
                <w:szCs w:val="21"/>
              </w:rPr>
              <w:t>225</w:t>
            </w:r>
            <w:r>
              <w:rPr>
                <w:szCs w:val="21"/>
              </w:rPr>
              <w:t>t/a</w:t>
            </w:r>
            <w:r>
              <w:rPr>
                <w:rFonts w:hint="eastAsia"/>
                <w:szCs w:val="21"/>
              </w:rPr>
              <w:t>，</w:t>
            </w:r>
            <w:r>
              <w:rPr>
                <w:szCs w:val="21"/>
              </w:rPr>
              <w:t>氨氮为：0.0</w:t>
            </w:r>
            <w:r>
              <w:rPr>
                <w:rFonts w:hint="eastAsia"/>
                <w:szCs w:val="21"/>
              </w:rPr>
              <w:t>19</w:t>
            </w:r>
            <w:r>
              <w:rPr>
                <w:szCs w:val="21"/>
              </w:rPr>
              <w:t>t/a</w:t>
            </w:r>
            <w:r>
              <w:rPr>
                <w:rFonts w:hint="eastAsia"/>
                <w:szCs w:val="21"/>
              </w:rPr>
              <w:t>；</w:t>
            </w:r>
            <w:r>
              <w:rPr>
                <w:szCs w:val="21"/>
              </w:rPr>
              <w:t>核定排放总量COD为0.</w:t>
            </w:r>
            <w:r>
              <w:rPr>
                <w:rFonts w:hint="eastAsia"/>
                <w:szCs w:val="21"/>
              </w:rPr>
              <w:t>312</w:t>
            </w:r>
            <w:r>
              <w:rPr>
                <w:szCs w:val="21"/>
              </w:rPr>
              <w:t>t/a</w:t>
            </w:r>
            <w:r>
              <w:rPr>
                <w:rFonts w:hint="eastAsia"/>
                <w:szCs w:val="21"/>
              </w:rPr>
              <w:t>，</w:t>
            </w:r>
            <w:r>
              <w:rPr>
                <w:szCs w:val="21"/>
              </w:rPr>
              <w:t>氨氮为：0.0</w:t>
            </w:r>
            <w:r>
              <w:rPr>
                <w:rFonts w:hint="eastAsia"/>
                <w:szCs w:val="21"/>
              </w:rPr>
              <w:t>19</w:t>
            </w:r>
            <w:r>
              <w:rPr>
                <w:szCs w:val="21"/>
              </w:rPr>
              <w:t>t/a。</w:t>
            </w:r>
          </w:p>
          <w:p>
            <w:pPr>
              <w:pStyle w:val="32"/>
            </w:pPr>
            <w:r>
              <w:t xml:space="preserve"> 总量控制表</w:t>
            </w:r>
          </w:p>
          <w:tbl>
            <w:tblPr>
              <w:tblStyle w:val="26"/>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75"/>
              <w:gridCol w:w="2199"/>
              <w:gridCol w:w="21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42" w:type="pct"/>
                  <w:noWrap/>
                  <w:vAlign w:val="center"/>
                </w:tcPr>
                <w:p>
                  <w:pPr>
                    <w:spacing w:line="276" w:lineRule="auto"/>
                    <w:jc w:val="center"/>
                    <w:rPr>
                      <w:szCs w:val="21"/>
                    </w:rPr>
                  </w:pPr>
                  <w:r>
                    <w:rPr>
                      <w:szCs w:val="21"/>
                    </w:rPr>
                    <w:t>总量控制因子</w:t>
                  </w:r>
                </w:p>
              </w:tc>
              <w:tc>
                <w:tcPr>
                  <w:tcW w:w="1379" w:type="pct"/>
                  <w:noWrap/>
                  <w:vAlign w:val="center"/>
                </w:tcPr>
                <w:p>
                  <w:pPr>
                    <w:spacing w:line="276" w:lineRule="auto"/>
                    <w:jc w:val="center"/>
                    <w:rPr>
                      <w:szCs w:val="21"/>
                    </w:rPr>
                  </w:pPr>
                  <w:r>
                    <w:rPr>
                      <w:szCs w:val="21"/>
                    </w:rPr>
                    <w:t>COD</w:t>
                  </w:r>
                </w:p>
              </w:tc>
              <w:tc>
                <w:tcPr>
                  <w:tcW w:w="1378" w:type="pct"/>
                  <w:noWrap/>
                  <w:vAlign w:val="center"/>
                </w:tcPr>
                <w:p>
                  <w:pPr>
                    <w:spacing w:line="276" w:lineRule="auto"/>
                    <w:jc w:val="center"/>
                    <w:rPr>
                      <w:szCs w:val="21"/>
                    </w:rPr>
                  </w:pPr>
                  <w:r>
                    <w:rPr>
                      <w:szCs w:val="21"/>
                    </w:rPr>
                    <w:t>NH</w:t>
                  </w:r>
                  <w:r>
                    <w:rPr>
                      <w:szCs w:val="21"/>
                      <w:vertAlign w:val="subscript"/>
                    </w:rPr>
                    <w:t>3</w:t>
                  </w:r>
                  <w:r>
                    <w:rPr>
                      <w:szCs w:val="21"/>
                    </w:rPr>
                    <w:t>-N</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42" w:type="pct"/>
                  <w:noWrap/>
                  <w:vAlign w:val="center"/>
                </w:tcPr>
                <w:p>
                  <w:pPr>
                    <w:spacing w:line="276" w:lineRule="auto"/>
                    <w:jc w:val="center"/>
                    <w:rPr>
                      <w:szCs w:val="21"/>
                    </w:rPr>
                  </w:pPr>
                  <w:r>
                    <w:rPr>
                      <w:rFonts w:hint="eastAsia"/>
                      <w:szCs w:val="21"/>
                    </w:rPr>
                    <w:t>预测排放量</w:t>
                  </w:r>
                  <w:r>
                    <w:rPr>
                      <w:szCs w:val="21"/>
                    </w:rPr>
                    <w:t>t/a</w:t>
                  </w:r>
                </w:p>
              </w:tc>
              <w:tc>
                <w:tcPr>
                  <w:tcW w:w="1379" w:type="pct"/>
                  <w:noWrap/>
                  <w:vAlign w:val="center"/>
                </w:tcPr>
                <w:p>
                  <w:pPr>
                    <w:spacing w:line="276" w:lineRule="auto"/>
                    <w:jc w:val="center"/>
                    <w:rPr>
                      <w:szCs w:val="21"/>
                    </w:rPr>
                  </w:pPr>
                  <w:r>
                    <w:rPr>
                      <w:rFonts w:hint="eastAsia"/>
                      <w:szCs w:val="21"/>
                    </w:rPr>
                    <w:t>0.225</w:t>
                  </w:r>
                </w:p>
              </w:tc>
              <w:tc>
                <w:tcPr>
                  <w:tcW w:w="1378" w:type="pct"/>
                  <w:noWrap/>
                  <w:vAlign w:val="center"/>
                </w:tcPr>
                <w:p>
                  <w:pPr>
                    <w:spacing w:line="276" w:lineRule="auto"/>
                    <w:jc w:val="center"/>
                    <w:rPr>
                      <w:szCs w:val="21"/>
                    </w:rPr>
                  </w:pPr>
                  <w:r>
                    <w:rPr>
                      <w:rFonts w:hint="eastAsia"/>
                      <w:szCs w:val="21"/>
                    </w:rPr>
                    <w:t>0.019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42" w:type="pct"/>
                  <w:noWrap/>
                  <w:vAlign w:val="center"/>
                </w:tcPr>
                <w:p>
                  <w:pPr>
                    <w:spacing w:line="276" w:lineRule="auto"/>
                    <w:jc w:val="center"/>
                    <w:rPr>
                      <w:szCs w:val="21"/>
                    </w:rPr>
                  </w:pPr>
                  <w:r>
                    <w:rPr>
                      <w:rFonts w:hint="eastAsia"/>
                      <w:szCs w:val="21"/>
                    </w:rPr>
                    <w:t>核定排放量</w:t>
                  </w:r>
                  <w:r>
                    <w:rPr>
                      <w:szCs w:val="21"/>
                    </w:rPr>
                    <w:t>t/a</w:t>
                  </w:r>
                </w:p>
              </w:tc>
              <w:tc>
                <w:tcPr>
                  <w:tcW w:w="1379" w:type="pct"/>
                  <w:noWrap/>
                  <w:vAlign w:val="center"/>
                </w:tcPr>
                <w:p>
                  <w:pPr>
                    <w:spacing w:line="276" w:lineRule="auto"/>
                    <w:jc w:val="center"/>
                    <w:rPr>
                      <w:szCs w:val="21"/>
                    </w:rPr>
                  </w:pPr>
                  <w:r>
                    <w:rPr>
                      <w:rFonts w:hint="eastAsia"/>
                      <w:szCs w:val="21"/>
                    </w:rPr>
                    <w:t>0.312</w:t>
                  </w:r>
                </w:p>
              </w:tc>
              <w:tc>
                <w:tcPr>
                  <w:tcW w:w="1378" w:type="pct"/>
                  <w:noWrap/>
                  <w:vAlign w:val="center"/>
                </w:tcPr>
                <w:p>
                  <w:pPr>
                    <w:spacing w:line="276" w:lineRule="auto"/>
                    <w:jc w:val="center"/>
                    <w:rPr>
                      <w:szCs w:val="21"/>
                    </w:rPr>
                  </w:pPr>
                  <w:r>
                    <w:rPr>
                      <w:rFonts w:hint="eastAsia"/>
                      <w:szCs w:val="21"/>
                    </w:rPr>
                    <w:t>0.019</w:t>
                  </w:r>
                </w:p>
              </w:tc>
            </w:tr>
          </w:tbl>
          <w:p>
            <w:pPr>
              <w:spacing w:line="360" w:lineRule="auto"/>
              <w:rPr>
                <w:sz w:val="24"/>
              </w:rPr>
            </w:pPr>
          </w:p>
          <w:p>
            <w:pPr>
              <w:pStyle w:val="21"/>
            </w:pPr>
          </w:p>
          <w:p/>
          <w:p>
            <w:pPr>
              <w:pStyle w:val="21"/>
            </w:pPr>
          </w:p>
          <w:p/>
          <w:p>
            <w:pPr>
              <w:pStyle w:val="21"/>
            </w:pPr>
          </w:p>
          <w:p/>
          <w:p>
            <w:pPr>
              <w:pStyle w:val="21"/>
            </w:pPr>
          </w:p>
          <w:p>
            <w:pPr>
              <w:pStyle w:val="21"/>
              <w:ind w:left="0" w:leftChars="0" w:firstLine="0" w:firstLineChars="0"/>
            </w:pPr>
          </w:p>
        </w:tc>
      </w:tr>
    </w:tbl>
    <w:p>
      <w:pPr>
        <w:pStyle w:val="43"/>
        <w:spacing w:before="240" w:after="240"/>
        <w:outlineLvl w:val="0"/>
        <w:rPr>
          <w:snapToGrid w:val="0"/>
          <w:szCs w:val="30"/>
        </w:rPr>
      </w:pPr>
      <w:r>
        <w:rPr>
          <w:snapToGrid w:val="0"/>
          <w:sz w:val="36"/>
          <w:szCs w:val="36"/>
        </w:rPr>
        <w:br w:type="page"/>
      </w:r>
      <w:r>
        <w:rPr>
          <w:rFonts w:hint="eastAsia"/>
          <w:snapToGrid w:val="0"/>
          <w:szCs w:val="30"/>
        </w:rPr>
        <w:t>四、主要环境影响和保护措施</w:t>
      </w:r>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34"/>
        <w:gridCol w:w="870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49" w:hRule="atLeast"/>
          <w:jc w:val="center"/>
        </w:trPr>
        <w:tc>
          <w:tcPr>
            <w:tcW w:w="534" w:type="dxa"/>
            <w:vAlign w:val="center"/>
          </w:tcPr>
          <w:p>
            <w:pPr>
              <w:spacing w:line="360" w:lineRule="auto"/>
              <w:jc w:val="center"/>
              <w:rPr>
                <w:sz w:val="24"/>
              </w:rPr>
            </w:pPr>
            <w:r>
              <w:rPr>
                <w:rFonts w:hint="eastAsia"/>
                <w:sz w:val="24"/>
              </w:rPr>
              <w:t>施工</w:t>
            </w:r>
          </w:p>
          <w:p>
            <w:pPr>
              <w:spacing w:line="360" w:lineRule="auto"/>
              <w:jc w:val="center"/>
              <w:rPr>
                <w:sz w:val="24"/>
              </w:rPr>
            </w:pPr>
            <w:r>
              <w:rPr>
                <w:rFonts w:hint="eastAsia"/>
                <w:sz w:val="24"/>
              </w:rPr>
              <w:t>期环</w:t>
            </w:r>
          </w:p>
          <w:p>
            <w:pPr>
              <w:spacing w:line="360" w:lineRule="auto"/>
              <w:jc w:val="center"/>
              <w:rPr>
                <w:sz w:val="24"/>
              </w:rPr>
            </w:pPr>
            <w:r>
              <w:rPr>
                <w:rFonts w:hint="eastAsia"/>
                <w:sz w:val="24"/>
              </w:rPr>
              <w:t>境保</w:t>
            </w:r>
          </w:p>
          <w:p>
            <w:pPr>
              <w:spacing w:line="360" w:lineRule="auto"/>
              <w:jc w:val="center"/>
              <w:rPr>
                <w:szCs w:val="21"/>
              </w:rPr>
            </w:pPr>
            <w:r>
              <w:rPr>
                <w:rFonts w:hint="eastAsia"/>
                <w:sz w:val="24"/>
              </w:rPr>
              <w:t>护措施</w:t>
            </w:r>
          </w:p>
        </w:tc>
        <w:tc>
          <w:tcPr>
            <w:tcW w:w="8709" w:type="dxa"/>
            <w:vAlign w:val="center"/>
          </w:tcPr>
          <w:p>
            <w:pPr>
              <w:pStyle w:val="42"/>
              <w:ind w:firstLine="420"/>
            </w:pPr>
            <w:r>
              <w:t>本项目</w:t>
            </w:r>
            <w:r>
              <w:rPr>
                <w:rFonts w:hint="eastAsia"/>
              </w:rPr>
              <w:t>租用空置</w:t>
            </w:r>
            <w:r>
              <w:t>的</w:t>
            </w:r>
            <w:r>
              <w:rPr>
                <w:rFonts w:hint="eastAsia"/>
              </w:rPr>
              <w:t>场地</w:t>
            </w:r>
            <w:r>
              <w:t>仅对内部进行装修，装修期主要存在有机废气及噪声等不良影响，为减少施工期对环境造成的不良影响，建设单位应采取以下防治措施。</w:t>
            </w:r>
          </w:p>
          <w:p>
            <w:pPr>
              <w:pStyle w:val="42"/>
              <w:ind w:firstLine="420"/>
            </w:pPr>
            <w:r>
              <w:t>（1）从根本上减少装修污染，首先从选材上，要选用国家正规机构鉴定的绿色环保产品，不可使用劣质材料，从根本上预防装修过程室内污染。</w:t>
            </w:r>
          </w:p>
          <w:p>
            <w:pPr>
              <w:pStyle w:val="42"/>
              <w:ind w:firstLine="420"/>
            </w:pPr>
            <w:r>
              <w:t>（2）在设计上贯彻环保设计理念，采用环保设计预评估等措施，合理搭配装饰材料。</w:t>
            </w:r>
          </w:p>
          <w:p>
            <w:pPr>
              <w:pStyle w:val="42"/>
              <w:ind w:firstLine="420"/>
            </w:pPr>
            <w:r>
              <w:t>（3）装修单位应采用先进的施工工艺，减少因施工带来的室内环境污染。</w:t>
            </w:r>
          </w:p>
          <w:p>
            <w:pPr>
              <w:pStyle w:val="42"/>
              <w:ind w:firstLine="420"/>
            </w:pPr>
            <w:r>
              <w:t>（4）在休息时间内，禁止使用高频噪声器械，保证施工场界噪声满足《建筑施工场界环境噪声排放标准》（GB12523-2011）的要求，避免给周围环境带来不良影响。</w:t>
            </w:r>
          </w:p>
          <w:p>
            <w:pPr>
              <w:pStyle w:val="42"/>
              <w:ind w:firstLine="420"/>
            </w:pPr>
            <w:r>
              <w:t>（5）装修过程中要加强室内的通风，通风换气是减少室内空气污染的一种非常有效的方法，室内空气不流通，室内污染物不能很好的扩散，势必会造成更为严重的污染。</w:t>
            </w:r>
          </w:p>
          <w:p>
            <w:pPr>
              <w:pStyle w:val="42"/>
              <w:ind w:firstLine="420"/>
            </w:pPr>
            <w:r>
              <w:t>（6）装修过程产生的剩余的边角废料应及时的加以清理，严禁随处堆放。建设单位应从节约、环保角度出发，将其分类收集，并将其卖给回收单位回收再利用，实现资源、能源的节约化。</w:t>
            </w:r>
          </w:p>
          <w:p>
            <w:pPr>
              <w:pStyle w:val="42"/>
              <w:ind w:firstLine="420"/>
            </w:pPr>
            <w:r>
              <w:t>（7）加强施工队伍的管理，提升施工人员自身素质，做到施工有序、文明施工，将施工期间的环境污染降至最低。</w:t>
            </w:r>
          </w:p>
          <w:p>
            <w:pPr>
              <w:pStyle w:val="42"/>
              <w:ind w:firstLine="420"/>
            </w:pPr>
            <w:r>
              <w:t>施工期通过执行以上环保防治措施，可将施工期环境污染程度降到最低。</w:t>
            </w:r>
          </w:p>
          <w:p>
            <w:pPr>
              <w:pStyle w:val="42"/>
              <w:ind w:firstLine="420"/>
            </w:pPr>
          </w:p>
          <w:p>
            <w:pPr>
              <w:pStyle w:val="42"/>
              <w:ind w:firstLine="420"/>
            </w:pPr>
          </w:p>
          <w:p>
            <w:pPr>
              <w:pStyle w:val="42"/>
              <w:ind w:firstLine="420"/>
            </w:pPr>
          </w:p>
          <w:p>
            <w:pPr>
              <w:pStyle w:val="42"/>
              <w:ind w:firstLine="420"/>
            </w:pPr>
          </w:p>
          <w:p>
            <w:pPr>
              <w:pStyle w:val="42"/>
              <w:ind w:firstLine="420"/>
            </w:pPr>
          </w:p>
          <w:p>
            <w:pPr>
              <w:pStyle w:val="42"/>
              <w:ind w:firstLine="420"/>
            </w:pPr>
          </w:p>
          <w:p>
            <w:pPr>
              <w:pStyle w:val="42"/>
              <w:ind w:firstLine="420"/>
            </w:pPr>
          </w:p>
          <w:p>
            <w:pPr>
              <w:pStyle w:val="42"/>
              <w:ind w:firstLine="420"/>
            </w:pPr>
          </w:p>
          <w:p>
            <w:pPr>
              <w:pStyle w:val="42"/>
              <w:ind w:firstLine="420"/>
            </w:pPr>
          </w:p>
          <w:p>
            <w:pPr>
              <w:pStyle w:val="42"/>
              <w:ind w:firstLine="420"/>
            </w:pPr>
          </w:p>
          <w:p>
            <w:pPr>
              <w:pStyle w:val="42"/>
              <w:ind w:firstLine="420"/>
            </w:pPr>
          </w:p>
          <w:p>
            <w:pPr>
              <w:pStyle w:val="42"/>
              <w:ind w:firstLine="420"/>
            </w:pPr>
          </w:p>
          <w:p>
            <w:pPr>
              <w:pStyle w:val="42"/>
              <w:ind w:firstLine="420"/>
            </w:pPr>
          </w:p>
          <w:p>
            <w:pPr>
              <w:pStyle w:val="42"/>
              <w:ind w:firstLine="420"/>
            </w:pPr>
          </w:p>
          <w:p>
            <w:pPr>
              <w:pStyle w:val="42"/>
              <w:ind w:firstLine="420"/>
            </w:pPr>
          </w:p>
          <w:p>
            <w:pPr>
              <w:pStyle w:val="42"/>
              <w:ind w:firstLine="420"/>
            </w:pPr>
          </w:p>
          <w:p>
            <w:pPr>
              <w:spacing w:line="360" w:lineRule="auto"/>
              <w:rPr>
                <w:sz w:val="24"/>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77" w:hRule="atLeast"/>
          <w:jc w:val="center"/>
        </w:trPr>
        <w:tc>
          <w:tcPr>
            <w:tcW w:w="534" w:type="dxa"/>
            <w:vAlign w:val="center"/>
          </w:tcPr>
          <w:p>
            <w:pPr>
              <w:adjustRightInd w:val="0"/>
              <w:snapToGrid w:val="0"/>
              <w:spacing w:line="360" w:lineRule="auto"/>
              <w:jc w:val="center"/>
              <w:rPr>
                <w:spacing w:val="-10"/>
                <w:sz w:val="24"/>
              </w:rPr>
            </w:pPr>
            <w:r>
              <w:rPr>
                <w:rFonts w:hint="eastAsia"/>
                <w:spacing w:val="-10"/>
                <w:sz w:val="24"/>
              </w:rPr>
              <w:t>运营</w:t>
            </w:r>
          </w:p>
          <w:p>
            <w:pPr>
              <w:adjustRightInd w:val="0"/>
              <w:snapToGrid w:val="0"/>
              <w:spacing w:line="360" w:lineRule="auto"/>
              <w:jc w:val="center"/>
              <w:rPr>
                <w:spacing w:val="-10"/>
                <w:sz w:val="24"/>
              </w:rPr>
            </w:pPr>
            <w:r>
              <w:rPr>
                <w:rFonts w:hint="eastAsia"/>
                <w:spacing w:val="-10"/>
                <w:sz w:val="24"/>
              </w:rPr>
              <w:t>期环</w:t>
            </w:r>
          </w:p>
          <w:p>
            <w:pPr>
              <w:adjustRightInd w:val="0"/>
              <w:snapToGrid w:val="0"/>
              <w:spacing w:line="360" w:lineRule="auto"/>
              <w:jc w:val="center"/>
              <w:rPr>
                <w:spacing w:val="-10"/>
                <w:sz w:val="24"/>
              </w:rPr>
            </w:pPr>
            <w:r>
              <w:rPr>
                <w:rFonts w:hint="eastAsia"/>
                <w:spacing w:val="-10"/>
                <w:sz w:val="24"/>
              </w:rPr>
              <w:t>境影</w:t>
            </w:r>
          </w:p>
          <w:p>
            <w:pPr>
              <w:adjustRightInd w:val="0"/>
              <w:snapToGrid w:val="0"/>
              <w:spacing w:line="360" w:lineRule="auto"/>
              <w:jc w:val="center"/>
              <w:rPr>
                <w:spacing w:val="-10"/>
                <w:sz w:val="24"/>
              </w:rPr>
            </w:pPr>
            <w:r>
              <w:rPr>
                <w:rFonts w:hint="eastAsia"/>
                <w:spacing w:val="-10"/>
                <w:sz w:val="24"/>
              </w:rPr>
              <w:t>响和</w:t>
            </w:r>
          </w:p>
          <w:p>
            <w:pPr>
              <w:adjustRightInd w:val="0"/>
              <w:snapToGrid w:val="0"/>
              <w:spacing w:line="360" w:lineRule="auto"/>
              <w:jc w:val="center"/>
              <w:rPr>
                <w:spacing w:val="-10"/>
                <w:sz w:val="24"/>
              </w:rPr>
            </w:pPr>
            <w:r>
              <w:rPr>
                <w:rFonts w:hint="eastAsia"/>
                <w:spacing w:val="-10"/>
                <w:sz w:val="24"/>
              </w:rPr>
              <w:t>保护</w:t>
            </w:r>
          </w:p>
          <w:p>
            <w:pPr>
              <w:adjustRightInd w:val="0"/>
              <w:snapToGrid w:val="0"/>
              <w:spacing w:line="360" w:lineRule="auto"/>
              <w:jc w:val="center"/>
              <w:rPr>
                <w:b/>
                <w:bCs/>
                <w:spacing w:val="-10"/>
                <w:sz w:val="24"/>
              </w:rPr>
            </w:pPr>
            <w:r>
              <w:rPr>
                <w:rFonts w:hint="eastAsia"/>
                <w:spacing w:val="-10"/>
                <w:sz w:val="24"/>
              </w:rPr>
              <w:t>措施</w:t>
            </w:r>
          </w:p>
        </w:tc>
        <w:tc>
          <w:tcPr>
            <w:tcW w:w="8709" w:type="dxa"/>
            <w:vAlign w:val="center"/>
          </w:tcPr>
          <w:p>
            <w:pPr>
              <w:pStyle w:val="42"/>
              <w:ind w:firstLine="420"/>
            </w:pPr>
            <w:r>
              <w:rPr>
                <w:rFonts w:hint="eastAsia"/>
              </w:rPr>
              <w:t>1、</w:t>
            </w:r>
            <w:r>
              <w:t xml:space="preserve"> 废气</w:t>
            </w:r>
          </w:p>
          <w:p>
            <w:pPr>
              <w:spacing w:line="360" w:lineRule="auto"/>
              <w:ind w:firstLine="420" w:firstLineChars="200"/>
              <w:rPr>
                <w:kern w:val="21"/>
                <w:szCs w:val="21"/>
              </w:rPr>
            </w:pPr>
            <w:r>
              <w:rPr>
                <w:rFonts w:hint="eastAsia"/>
                <w:kern w:val="21"/>
                <w:szCs w:val="21"/>
              </w:rPr>
              <w:t>（1）实验室废气</w:t>
            </w:r>
          </w:p>
          <w:p>
            <w:pPr>
              <w:spacing w:line="360" w:lineRule="auto"/>
              <w:ind w:firstLine="420" w:firstLineChars="200"/>
              <w:rPr>
                <w:kern w:val="21"/>
                <w:szCs w:val="21"/>
              </w:rPr>
            </w:pPr>
            <w:r>
              <w:rPr>
                <w:rFonts w:hint="eastAsia"/>
                <w:kern w:val="21"/>
                <w:szCs w:val="21"/>
              </w:rPr>
              <w:t>本项目临床细胞分子遗传学实验室检测、实验过程中，废气可能含传染性的病原微生物。实验室内设置生物安全柜，并要求涉及病原微生物气溶胶的操作在生物安全柜中进行，生物安全柜内安装有高效空气过滤器，柜里的实验平台相对实验室内环境处于负压状态，气流在生物安全柜内得到有效控制，几乎杜绝实验过程中产生的气溶胶从操作窗口外逸，可能含有病原微生物的气溶胶只有从其上部的排风口经高效过滤后，由专用楼顶排放口外排。安全柜排气筒内置的高效过滤器对粒径0.5µm以上以上的气溶胶去除效率达到99.99%（过滤器的初阻力250Pa，终阻力500Pa），排气中的病原微生物可被彻底去除。同时实验室送排风系统设置有高效过滤器实验室处于负压状态，气流得到有效控制，含病原微生物废气极少外泄。</w:t>
            </w:r>
          </w:p>
          <w:p>
            <w:pPr>
              <w:spacing w:line="360" w:lineRule="auto"/>
              <w:ind w:firstLine="420" w:firstLineChars="200"/>
              <w:rPr>
                <w:kern w:val="21"/>
                <w:szCs w:val="21"/>
              </w:rPr>
            </w:pPr>
            <w:r>
              <w:rPr>
                <w:rFonts w:hint="eastAsia"/>
                <w:kern w:val="21"/>
                <w:szCs w:val="21"/>
              </w:rPr>
              <w:t>此外实验室内部还设置有辅助消毒，通过含氯消毒剂、75%乙醇、紫外线等切断病原微生物的传播途径，确保实验室排出的气体对环境的安全。</w:t>
            </w:r>
          </w:p>
          <w:p>
            <w:pPr>
              <w:spacing w:line="360" w:lineRule="auto"/>
              <w:ind w:firstLine="420" w:firstLineChars="200"/>
              <w:rPr>
                <w:rFonts w:hint="eastAsia"/>
                <w:kern w:val="21"/>
                <w:szCs w:val="21"/>
                <w:lang w:val="en-US" w:eastAsia="zh-CN"/>
              </w:rPr>
            </w:pPr>
            <w:r>
              <w:rPr>
                <w:rFonts w:hint="eastAsia"/>
                <w:kern w:val="21"/>
                <w:szCs w:val="21"/>
                <w:lang w:val="en-US" w:eastAsia="zh-CN"/>
              </w:rPr>
              <w:t>质谱实验室实验过程产生的有机废气，项目实验检测过程中的样品处理及仪器检测过程中会用到乙醇、甲醇、乙腈、异丙醇等有机溶剂，使用量约为2.5t/a，在实验过程中会产生挥发性有机气体。项目样品预处理过程中涉及挥发气体的实验均在通风橱中进行，产生的有机废气经活性炭吸附装置吸附后再由管道引至楼顶排放。质谱检测过程中有机溶剂使用、储存的密闭效果较好，有机废气产生量极少。活性炭的吸附效率约为70%，则项目有机废气排放速率约为0.38kg/h，0.76t/a，满足《大气污染物综合排放标准》（GB16297-1996）中的二级标准。</w:t>
            </w:r>
          </w:p>
          <w:p>
            <w:pPr>
              <w:spacing w:line="360" w:lineRule="auto"/>
              <w:ind w:firstLine="420" w:firstLineChars="200"/>
              <w:rPr>
                <w:kern w:val="21"/>
                <w:szCs w:val="21"/>
              </w:rPr>
            </w:pPr>
            <w:r>
              <w:rPr>
                <w:rFonts w:hint="eastAsia"/>
                <w:kern w:val="21"/>
                <w:szCs w:val="21"/>
              </w:rPr>
              <w:t>因此在正常运行情况下，不会对周围环境空气产生不利影响。</w:t>
            </w:r>
          </w:p>
          <w:p>
            <w:pPr>
              <w:spacing w:line="360" w:lineRule="auto"/>
              <w:ind w:firstLine="420" w:firstLineChars="200"/>
              <w:rPr>
                <w:kern w:val="21"/>
                <w:szCs w:val="21"/>
              </w:rPr>
            </w:pPr>
            <w:r>
              <w:rPr>
                <w:rFonts w:hint="eastAsia"/>
                <w:kern w:val="21"/>
                <w:szCs w:val="21"/>
              </w:rPr>
              <w:t>本项目仪器表面、器材、台面及地面日常消毒均采用含氯消毒剂消毒，75%乙醇溶液仅用于生物安全柜表面及实验人员手部消毒，75%乙醇用量较小，乙醇属于低毒类物质，本项目乙醇排放对外环境影响较小，由于国家暂未制定乙醇排放标准及环境质量标准，因此本项目未对乙醇排放环境影响进行定量评价。</w:t>
            </w:r>
          </w:p>
          <w:p>
            <w:pPr>
              <w:spacing w:line="360" w:lineRule="auto"/>
              <w:ind w:firstLine="420" w:firstLineChars="200"/>
              <w:rPr>
                <w:kern w:val="21"/>
                <w:szCs w:val="21"/>
              </w:rPr>
            </w:pPr>
            <w:r>
              <w:rPr>
                <w:rFonts w:hint="eastAsia"/>
                <w:kern w:val="21"/>
                <w:szCs w:val="21"/>
              </w:rPr>
              <w:t>（2）污水处理站臭气</w:t>
            </w:r>
          </w:p>
          <w:p>
            <w:pPr>
              <w:spacing w:line="360" w:lineRule="auto"/>
              <w:ind w:firstLine="420" w:firstLineChars="200"/>
              <w:rPr>
                <w:kern w:val="21"/>
                <w:szCs w:val="21"/>
              </w:rPr>
            </w:pPr>
            <w:r>
              <w:rPr>
                <w:rFonts w:hint="eastAsia"/>
                <w:kern w:val="21"/>
                <w:szCs w:val="21"/>
              </w:rPr>
              <w:t>1）污染源源强核算</w:t>
            </w:r>
          </w:p>
          <w:p>
            <w:pPr>
              <w:spacing w:line="360" w:lineRule="auto"/>
              <w:ind w:firstLine="420" w:firstLineChars="200"/>
              <w:rPr>
                <w:kern w:val="21"/>
                <w:szCs w:val="21"/>
              </w:rPr>
            </w:pPr>
            <w:r>
              <w:rPr>
                <w:rFonts w:hint="eastAsia"/>
                <w:kern w:val="21"/>
                <w:szCs w:val="21"/>
              </w:rPr>
              <w:t>本项目污水处理处理工艺采用“混凝沉淀+二氧化氯消毒”工艺，处理规模20m</w:t>
            </w:r>
            <w:r>
              <w:rPr>
                <w:rFonts w:hint="eastAsia"/>
                <w:kern w:val="21"/>
                <w:szCs w:val="21"/>
                <w:vertAlign w:val="superscript"/>
              </w:rPr>
              <w:t>3</w:t>
            </w:r>
            <w:r>
              <w:rPr>
                <w:rFonts w:hint="eastAsia"/>
                <w:kern w:val="21"/>
                <w:szCs w:val="21"/>
              </w:rPr>
              <w:t>/d，</w:t>
            </w:r>
            <w:r>
              <w:rPr>
                <w:rFonts w:cs="仿宋_GB2312"/>
                <w:snapToGrid w:val="0"/>
                <w:szCs w:val="21"/>
              </w:rPr>
              <w:t>污水进入调节池，调节池前部设置格栅，污水进入</w:t>
            </w:r>
            <w:r>
              <w:rPr>
                <w:rFonts w:hint="eastAsia" w:cs="仿宋_GB2312"/>
                <w:snapToGrid w:val="0"/>
                <w:szCs w:val="21"/>
              </w:rPr>
              <w:t>絮凝</w:t>
            </w:r>
            <w:r>
              <w:rPr>
                <w:rFonts w:cs="仿宋_GB2312"/>
                <w:snapToGrid w:val="0"/>
                <w:szCs w:val="21"/>
              </w:rPr>
              <w:t>沉淀池进行</w:t>
            </w:r>
            <w:r>
              <w:rPr>
                <w:rFonts w:hint="eastAsia" w:cs="仿宋_GB2312"/>
                <w:snapToGrid w:val="0"/>
                <w:szCs w:val="21"/>
              </w:rPr>
              <w:t>混凝</w:t>
            </w:r>
            <w:r>
              <w:rPr>
                <w:rFonts w:cs="仿宋_GB2312"/>
                <w:snapToGrid w:val="0"/>
                <w:szCs w:val="21"/>
              </w:rPr>
              <w:t>沉淀，沉淀池出水进行消毒，消毒出水达标排放。在此工艺中不包含生物处理，主要是</w:t>
            </w:r>
            <w:r>
              <w:rPr>
                <w:rFonts w:hint="eastAsia" w:cs="仿宋_GB2312"/>
                <w:snapToGrid w:val="0"/>
                <w:szCs w:val="21"/>
              </w:rPr>
              <w:t>混凝</w:t>
            </w:r>
            <w:r>
              <w:rPr>
                <w:rFonts w:cs="仿宋_GB2312"/>
                <w:snapToGrid w:val="0"/>
                <w:szCs w:val="21"/>
              </w:rPr>
              <w:t>沉淀，因此</w:t>
            </w:r>
            <w:r>
              <w:rPr>
                <w:rFonts w:hint="eastAsia"/>
                <w:kern w:val="21"/>
                <w:szCs w:val="21"/>
              </w:rPr>
              <w:t>污水处理间产生的恶臭气体（NH</w:t>
            </w:r>
            <w:r>
              <w:rPr>
                <w:rFonts w:hint="eastAsia"/>
                <w:kern w:val="21"/>
                <w:szCs w:val="21"/>
                <w:vertAlign w:val="subscript"/>
              </w:rPr>
              <w:t>3</w:t>
            </w:r>
            <w:r>
              <w:rPr>
                <w:rFonts w:hint="eastAsia"/>
                <w:kern w:val="21"/>
                <w:szCs w:val="21"/>
              </w:rPr>
              <w:t>和H</w:t>
            </w:r>
            <w:r>
              <w:rPr>
                <w:rFonts w:hint="eastAsia"/>
                <w:kern w:val="21"/>
                <w:szCs w:val="21"/>
                <w:vertAlign w:val="subscript"/>
              </w:rPr>
              <w:t>2</w:t>
            </w:r>
            <w:r>
              <w:rPr>
                <w:rFonts w:hint="eastAsia"/>
                <w:kern w:val="21"/>
                <w:szCs w:val="21"/>
              </w:rPr>
              <w:t>S）</w:t>
            </w:r>
            <w:r>
              <w:rPr>
                <w:rFonts w:cs="仿宋_GB2312"/>
                <w:snapToGrid w:val="0"/>
                <w:szCs w:val="21"/>
              </w:rPr>
              <w:t>产生的废气量较小，</w:t>
            </w:r>
            <w:r>
              <w:rPr>
                <w:rFonts w:hint="eastAsia" w:cs="仿宋_GB2312"/>
                <w:snapToGrid w:val="0"/>
                <w:szCs w:val="21"/>
              </w:rPr>
              <w:t>废气</w:t>
            </w:r>
            <w:r>
              <w:rPr>
                <w:rFonts w:cs="仿宋_GB2312"/>
                <w:snapToGrid w:val="0"/>
                <w:szCs w:val="21"/>
              </w:rPr>
              <w:t>浓度较低，</w:t>
            </w:r>
            <w:r>
              <w:rPr>
                <w:rFonts w:hint="eastAsia"/>
                <w:kern w:val="21"/>
                <w:szCs w:val="21"/>
              </w:rPr>
              <w:t>污水处理间各处理单元为密闭结构，定期喷洒除臭剂，散逸恶臭气体量较小。</w:t>
            </w:r>
          </w:p>
          <w:p>
            <w:pPr>
              <w:spacing w:line="360" w:lineRule="auto"/>
              <w:ind w:firstLine="420" w:firstLineChars="200"/>
              <w:rPr>
                <w:szCs w:val="21"/>
              </w:rPr>
            </w:pPr>
            <w:r>
              <w:rPr>
                <w:rFonts w:hint="eastAsia"/>
                <w:szCs w:val="21"/>
              </w:rPr>
              <w:t>荥经县疾病预防控制中心污水处理站采用“混凝沉淀+消毒”污水处理工艺，恶臭气体采用活性炭吸附装置处理后经15m高排气筒排放，污水处理站处理能力为10m</w:t>
            </w:r>
            <w:r>
              <w:rPr>
                <w:rFonts w:hint="eastAsia"/>
                <w:szCs w:val="21"/>
                <w:vertAlign w:val="superscript"/>
              </w:rPr>
              <w:t>3</w:t>
            </w:r>
            <w:r>
              <w:rPr>
                <w:rFonts w:hint="eastAsia"/>
                <w:szCs w:val="21"/>
              </w:rPr>
              <w:t>/d。荥经县疾病预防控制中心的污水处理工艺与本项目所采用的污水处理工艺相同、污水的水质相似，经研究表明，恶臭气体污染源排放与污染源面积有关，面积越大，恶臭影响越大，面积越小，恶臭影响越小，因此本项目恶臭污染源强类比《荥经县疾病预防控制中心建设项目竣工环境保护验收监测报告》中污水处理站恶臭污染物验收监测数据是可行的，并按处理规模进行折算。</w:t>
            </w:r>
          </w:p>
          <w:p>
            <w:pPr>
              <w:spacing w:line="360" w:lineRule="auto"/>
              <w:ind w:firstLine="420" w:firstLineChars="200"/>
              <w:rPr>
                <w:szCs w:val="21"/>
              </w:rPr>
            </w:pPr>
            <w:r>
              <w:rPr>
                <w:rFonts w:hint="eastAsia"/>
                <w:szCs w:val="21"/>
              </w:rPr>
              <w:t>根据《荥经县疾病预防控制中心建设项目竣工环境保护验收监测报告》，污水处理站氨最大排放量为2.03×10</w:t>
            </w:r>
            <w:r>
              <w:rPr>
                <w:rFonts w:hint="eastAsia"/>
                <w:szCs w:val="21"/>
                <w:vertAlign w:val="superscript"/>
              </w:rPr>
              <w:t>-4</w:t>
            </w:r>
            <w:r>
              <w:rPr>
                <w:rFonts w:hint="eastAsia"/>
                <w:szCs w:val="21"/>
              </w:rPr>
              <w:t>kg/h，硫化氢最大排放量为5.92×10</w:t>
            </w:r>
            <w:r>
              <w:rPr>
                <w:rFonts w:hint="eastAsia"/>
                <w:szCs w:val="21"/>
                <w:vertAlign w:val="superscript"/>
              </w:rPr>
              <w:t>-7</w:t>
            </w:r>
            <w:r>
              <w:rPr>
                <w:rFonts w:hint="eastAsia"/>
                <w:szCs w:val="21"/>
              </w:rPr>
              <w:t>kg/h，因验收期间未监测活性炭吸附装置处理前污染物产生量，按其恶臭气体收集效率为90%计，活性炭吸附装置的去除效率按90%计，则荥经县疾病预防控制中心建设项目污水处理站氨产生量为2.26×10</w:t>
            </w:r>
            <w:r>
              <w:rPr>
                <w:rFonts w:hint="eastAsia"/>
                <w:szCs w:val="21"/>
                <w:vertAlign w:val="superscript"/>
              </w:rPr>
              <w:t>-3</w:t>
            </w:r>
            <w:r>
              <w:rPr>
                <w:rFonts w:hint="eastAsia"/>
                <w:szCs w:val="21"/>
              </w:rPr>
              <w:t>kg/h，硫化氢产生量为6.58×10</w:t>
            </w:r>
            <w:r>
              <w:rPr>
                <w:rFonts w:hint="eastAsia"/>
                <w:szCs w:val="21"/>
                <w:vertAlign w:val="superscript"/>
              </w:rPr>
              <w:t>-6</w:t>
            </w:r>
            <w:r>
              <w:rPr>
                <w:rFonts w:hint="eastAsia"/>
                <w:szCs w:val="21"/>
              </w:rPr>
              <w:t>kg/h。则本项目污水处理间氨产生量为4.52×10</w:t>
            </w:r>
            <w:r>
              <w:rPr>
                <w:rFonts w:hint="eastAsia"/>
                <w:szCs w:val="21"/>
                <w:vertAlign w:val="superscript"/>
              </w:rPr>
              <w:t>-3</w:t>
            </w:r>
            <w:r>
              <w:rPr>
                <w:rFonts w:hint="eastAsia"/>
                <w:szCs w:val="21"/>
              </w:rPr>
              <w:t>kg/h，硫化氢产生量为1.32×10</w:t>
            </w:r>
            <w:r>
              <w:rPr>
                <w:rFonts w:hint="eastAsia"/>
                <w:szCs w:val="21"/>
                <w:vertAlign w:val="superscript"/>
              </w:rPr>
              <w:t>-5</w:t>
            </w:r>
            <w:r>
              <w:rPr>
                <w:rFonts w:hint="eastAsia"/>
                <w:szCs w:val="21"/>
              </w:rPr>
              <w:t>kg/h。</w:t>
            </w:r>
          </w:p>
          <w:p>
            <w:pPr>
              <w:pStyle w:val="21"/>
              <w:spacing w:line="360" w:lineRule="auto"/>
              <w:ind w:left="0" w:leftChars="0" w:firstLine="420" w:firstLineChars="200"/>
              <w:rPr>
                <w:szCs w:val="21"/>
              </w:rPr>
            </w:pPr>
            <w:r>
              <w:rPr>
                <w:rFonts w:hint="eastAsia" w:ascii="Times New Roman" w:hAnsi="Times New Roman"/>
                <w:szCs w:val="21"/>
              </w:rPr>
              <w:t>平凉山崆峒区疾病预防控制中心污水处理站采用“混凝沉淀+BAF池+消毒”处理工艺，处理规模48m</w:t>
            </w:r>
            <w:r>
              <w:rPr>
                <w:rFonts w:hint="eastAsia" w:ascii="Times New Roman" w:hAnsi="Times New Roman"/>
                <w:szCs w:val="21"/>
                <w:vertAlign w:val="superscript"/>
              </w:rPr>
              <w:t>3</w:t>
            </w:r>
            <w:r>
              <w:rPr>
                <w:rFonts w:hint="eastAsia" w:ascii="Times New Roman" w:hAnsi="Times New Roman"/>
                <w:szCs w:val="21"/>
              </w:rPr>
              <w:t>/d，采用一体化污水处理设备，未采取其他恶臭治理措施，根据《平凉山崆峒区疾病预防控制中心项目竣工环境保护验收监测报告》，验收监测期间污水处理量为13.5-14.4m</w:t>
            </w:r>
            <w:r>
              <w:rPr>
                <w:rFonts w:hint="eastAsia" w:ascii="Times New Roman" w:hAnsi="Times New Roman"/>
                <w:szCs w:val="21"/>
                <w:vertAlign w:val="superscript"/>
              </w:rPr>
              <w:t>3</w:t>
            </w:r>
            <w:r>
              <w:rPr>
                <w:rFonts w:hint="eastAsia" w:ascii="Times New Roman" w:hAnsi="Times New Roman"/>
                <w:szCs w:val="21"/>
              </w:rPr>
              <w:t>/d，污水处理站周界臭气浓度均低于检出限（＜10），满足《医疗机构水污染物排放标准》（GB18466-2005）中表3 污水处理站周边臭气浓度小于10限值要求。本项目污水处理间处理规模为20m</w:t>
            </w:r>
            <w:r>
              <w:rPr>
                <w:rFonts w:hint="eastAsia" w:ascii="Times New Roman" w:hAnsi="Times New Roman"/>
                <w:szCs w:val="21"/>
                <w:vertAlign w:val="superscript"/>
              </w:rPr>
              <w:t>3</w:t>
            </w:r>
            <w:r>
              <w:rPr>
                <w:rFonts w:hint="eastAsia" w:ascii="Times New Roman" w:hAnsi="Times New Roman"/>
                <w:szCs w:val="21"/>
              </w:rPr>
              <w:t>/d，实际处理水量约为15m</w:t>
            </w:r>
            <w:r>
              <w:rPr>
                <w:rFonts w:hint="eastAsia" w:ascii="Times New Roman" w:hAnsi="Times New Roman"/>
                <w:szCs w:val="21"/>
                <w:vertAlign w:val="superscript"/>
              </w:rPr>
              <w:t>3</w:t>
            </w:r>
            <w:r>
              <w:rPr>
                <w:rFonts w:hint="eastAsia" w:ascii="Times New Roman" w:hAnsi="Times New Roman"/>
                <w:szCs w:val="21"/>
              </w:rPr>
              <w:t>/d，处理规模与平凉山崆峒区疾病预防控制中心项目竣工环境保护验收监测期间处理水量相近，本项目污水处理站采用“混凝沉淀+消毒”污水处理工艺，较平凉山崆峒区疾病预防控制中心项目污水处理站缺少BAF生物处理工艺，因此本项目污水处理站恶臭产生量低于平凉山崆峒区疾病预防控制中心项目污水处理站，因此本项目污水处理站周界臭气浓度类比平凉山崆峒区疾病预防控制中心项目竣工环境保护验收监测数据可行，因此本项目污水处理站周界臭气浓度可以满足《医疗机构水污染物排放标准》（GB18466-2005）中表3 污水处理站周边臭气浓度小于10限值要求。</w:t>
            </w:r>
          </w:p>
          <w:p>
            <w:pPr>
              <w:pStyle w:val="42"/>
              <w:ind w:firstLine="420"/>
              <w:rPr>
                <w:kern w:val="0"/>
                <w:szCs w:val="21"/>
              </w:rPr>
            </w:pPr>
            <w:r>
              <w:rPr>
                <w:rFonts w:hint="eastAsia"/>
                <w:kern w:val="0"/>
                <w:szCs w:val="21"/>
              </w:rPr>
              <w:t>本项目</w:t>
            </w:r>
            <w:r>
              <w:rPr>
                <w:kern w:val="0"/>
                <w:szCs w:val="21"/>
              </w:rPr>
              <w:t>废气污染物排放情况见表</w:t>
            </w:r>
            <w:r>
              <w:rPr>
                <w:rFonts w:hint="eastAsia"/>
                <w:kern w:val="0"/>
                <w:szCs w:val="21"/>
                <w:lang w:val="en-US" w:eastAsia="zh-CN"/>
              </w:rPr>
              <w:t>15</w:t>
            </w:r>
            <w:r>
              <w:rPr>
                <w:kern w:val="0"/>
                <w:szCs w:val="21"/>
              </w:rPr>
              <w:t>。</w:t>
            </w:r>
          </w:p>
          <w:p>
            <w:pPr>
              <w:pStyle w:val="32"/>
            </w:pPr>
            <w:r>
              <w:rPr>
                <w:rFonts w:hint="eastAsia"/>
              </w:rPr>
              <w:t>废气</w:t>
            </w:r>
            <w:r>
              <w:t>污染源源强核算结果及相关参数一览表</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69"/>
              <w:gridCol w:w="273"/>
              <w:gridCol w:w="171"/>
              <w:gridCol w:w="385"/>
              <w:gridCol w:w="479"/>
              <w:gridCol w:w="659"/>
              <w:gridCol w:w="428"/>
              <w:gridCol w:w="282"/>
              <w:gridCol w:w="652"/>
              <w:gridCol w:w="229"/>
              <w:gridCol w:w="168"/>
              <w:gridCol w:w="384"/>
              <w:gridCol w:w="659"/>
              <w:gridCol w:w="401"/>
              <w:gridCol w:w="708"/>
              <w:gridCol w:w="168"/>
              <w:gridCol w:w="168"/>
              <w:gridCol w:w="168"/>
              <w:gridCol w:w="168"/>
              <w:gridCol w:w="168"/>
              <w:gridCol w:w="195"/>
              <w:gridCol w:w="270"/>
              <w:gridCol w:w="11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tblHeader/>
              </w:trPr>
              <w:tc>
                <w:tcPr>
                  <w:tcW w:w="99" w:type="pct"/>
                  <w:vMerge w:val="restart"/>
                  <w:tcBorders>
                    <w:tl2br w:val="nil"/>
                    <w:tr2bl w:val="nil"/>
                  </w:tcBorders>
                  <w:vAlign w:val="center"/>
                </w:tcPr>
                <w:p>
                  <w:pPr>
                    <w:pStyle w:val="56"/>
                    <w:rPr>
                      <w:rFonts w:cs="Times New Roman"/>
                      <w:sz w:val="13"/>
                      <w:szCs w:val="13"/>
                    </w:rPr>
                  </w:pPr>
                  <w:r>
                    <w:rPr>
                      <w:rFonts w:cs="Times New Roman"/>
                      <w:sz w:val="13"/>
                      <w:szCs w:val="13"/>
                    </w:rPr>
                    <w:t>产污环节</w:t>
                  </w:r>
                </w:p>
              </w:tc>
              <w:tc>
                <w:tcPr>
                  <w:tcW w:w="160" w:type="pct"/>
                  <w:vMerge w:val="restart"/>
                  <w:tcBorders>
                    <w:tl2br w:val="nil"/>
                    <w:tr2bl w:val="nil"/>
                  </w:tcBorders>
                  <w:vAlign w:val="center"/>
                </w:tcPr>
                <w:p>
                  <w:pPr>
                    <w:pStyle w:val="56"/>
                    <w:rPr>
                      <w:rFonts w:cs="Times New Roman"/>
                      <w:sz w:val="13"/>
                      <w:szCs w:val="13"/>
                    </w:rPr>
                  </w:pPr>
                  <w:r>
                    <w:rPr>
                      <w:rFonts w:cs="Times New Roman"/>
                      <w:sz w:val="13"/>
                      <w:szCs w:val="13"/>
                    </w:rPr>
                    <w:t>污染物</w:t>
                  </w:r>
                </w:p>
              </w:tc>
              <w:tc>
                <w:tcPr>
                  <w:tcW w:w="996" w:type="pct"/>
                  <w:gridSpan w:val="4"/>
                  <w:tcBorders>
                    <w:tl2br w:val="nil"/>
                    <w:tr2bl w:val="nil"/>
                  </w:tcBorders>
                  <w:vAlign w:val="center"/>
                </w:tcPr>
                <w:p>
                  <w:pPr>
                    <w:pStyle w:val="56"/>
                    <w:rPr>
                      <w:rFonts w:cs="Times New Roman"/>
                      <w:sz w:val="13"/>
                      <w:szCs w:val="13"/>
                    </w:rPr>
                  </w:pPr>
                  <w:r>
                    <w:rPr>
                      <w:rFonts w:cs="Times New Roman"/>
                      <w:sz w:val="13"/>
                      <w:szCs w:val="13"/>
                    </w:rPr>
                    <w:t>污染物产生</w:t>
                  </w:r>
                </w:p>
              </w:tc>
              <w:tc>
                <w:tcPr>
                  <w:tcW w:w="937" w:type="pct"/>
                  <w:gridSpan w:val="4"/>
                  <w:tcBorders>
                    <w:tl2br w:val="nil"/>
                    <w:tr2bl w:val="nil"/>
                  </w:tcBorders>
                  <w:vAlign w:val="center"/>
                </w:tcPr>
                <w:p>
                  <w:pPr>
                    <w:pStyle w:val="56"/>
                    <w:rPr>
                      <w:rFonts w:cs="Times New Roman"/>
                      <w:sz w:val="13"/>
                      <w:szCs w:val="13"/>
                    </w:rPr>
                  </w:pPr>
                  <w:r>
                    <w:rPr>
                      <w:rFonts w:cs="Times New Roman"/>
                      <w:sz w:val="13"/>
                      <w:szCs w:val="13"/>
                    </w:rPr>
                    <w:t>治理措施</w:t>
                  </w:r>
                </w:p>
              </w:tc>
              <w:tc>
                <w:tcPr>
                  <w:tcW w:w="949" w:type="pct"/>
                  <w:gridSpan w:val="4"/>
                  <w:tcBorders>
                    <w:tl2br w:val="nil"/>
                    <w:tr2bl w:val="nil"/>
                  </w:tcBorders>
                  <w:vAlign w:val="center"/>
                </w:tcPr>
                <w:p>
                  <w:pPr>
                    <w:pStyle w:val="56"/>
                    <w:rPr>
                      <w:rFonts w:cs="Times New Roman"/>
                      <w:sz w:val="13"/>
                      <w:szCs w:val="13"/>
                    </w:rPr>
                  </w:pPr>
                  <w:r>
                    <w:rPr>
                      <w:rFonts w:cs="Times New Roman"/>
                      <w:sz w:val="13"/>
                      <w:szCs w:val="13"/>
                    </w:rPr>
                    <w:t>污染物排放（有组织）</w:t>
                  </w:r>
                </w:p>
              </w:tc>
              <w:tc>
                <w:tcPr>
                  <w:tcW w:w="417" w:type="pct"/>
                  <w:tcBorders>
                    <w:tl2br w:val="nil"/>
                    <w:tr2bl w:val="nil"/>
                  </w:tcBorders>
                  <w:vAlign w:val="center"/>
                </w:tcPr>
                <w:p>
                  <w:pPr>
                    <w:pStyle w:val="56"/>
                    <w:rPr>
                      <w:rFonts w:cs="Times New Roman"/>
                      <w:sz w:val="13"/>
                      <w:szCs w:val="13"/>
                    </w:rPr>
                  </w:pPr>
                  <w:r>
                    <w:rPr>
                      <w:rFonts w:cs="Times New Roman"/>
                      <w:sz w:val="13"/>
                      <w:szCs w:val="13"/>
                    </w:rPr>
                    <w:t>污染物排放（无组织）</w:t>
                  </w:r>
                </w:p>
              </w:tc>
              <w:tc>
                <w:tcPr>
                  <w:tcW w:w="769" w:type="pct"/>
                  <w:gridSpan w:val="7"/>
                  <w:tcBorders>
                    <w:tl2br w:val="nil"/>
                    <w:tr2bl w:val="nil"/>
                  </w:tcBorders>
                  <w:vAlign w:val="center"/>
                </w:tcPr>
                <w:p>
                  <w:pPr>
                    <w:pStyle w:val="56"/>
                    <w:rPr>
                      <w:rFonts w:cs="Times New Roman"/>
                      <w:sz w:val="13"/>
                      <w:szCs w:val="13"/>
                    </w:rPr>
                  </w:pPr>
                  <w:r>
                    <w:rPr>
                      <w:rFonts w:cs="Times New Roman"/>
                      <w:sz w:val="13"/>
                      <w:szCs w:val="13"/>
                    </w:rPr>
                    <w:t>排放口基本情况</w:t>
                  </w:r>
                </w:p>
              </w:tc>
              <w:tc>
                <w:tcPr>
                  <w:tcW w:w="669" w:type="pct"/>
                  <w:vMerge w:val="restart"/>
                  <w:tcBorders>
                    <w:tl2br w:val="nil"/>
                    <w:tr2bl w:val="nil"/>
                  </w:tcBorders>
                  <w:vAlign w:val="center"/>
                </w:tcPr>
                <w:p>
                  <w:pPr>
                    <w:pStyle w:val="56"/>
                    <w:rPr>
                      <w:rFonts w:cs="Times New Roman"/>
                      <w:sz w:val="13"/>
                      <w:szCs w:val="13"/>
                    </w:rPr>
                  </w:pPr>
                  <w:r>
                    <w:rPr>
                      <w:rFonts w:cs="Times New Roman"/>
                      <w:sz w:val="13"/>
                      <w:szCs w:val="13"/>
                    </w:rPr>
                    <w:t>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tblHeader/>
              </w:trPr>
              <w:tc>
                <w:tcPr>
                  <w:tcW w:w="99" w:type="pct"/>
                  <w:vMerge w:val="continue"/>
                  <w:tcBorders>
                    <w:tl2br w:val="nil"/>
                    <w:tr2bl w:val="nil"/>
                  </w:tcBorders>
                  <w:vAlign w:val="center"/>
                </w:tcPr>
                <w:p>
                  <w:pPr>
                    <w:pStyle w:val="56"/>
                    <w:rPr>
                      <w:rFonts w:cs="Times New Roman"/>
                      <w:sz w:val="13"/>
                      <w:szCs w:val="13"/>
                    </w:rPr>
                  </w:pPr>
                </w:p>
              </w:tc>
              <w:tc>
                <w:tcPr>
                  <w:tcW w:w="160" w:type="pct"/>
                  <w:vMerge w:val="continue"/>
                  <w:tcBorders>
                    <w:tl2br w:val="nil"/>
                    <w:tr2bl w:val="nil"/>
                  </w:tcBorders>
                  <w:vAlign w:val="center"/>
                </w:tcPr>
                <w:p>
                  <w:pPr>
                    <w:pStyle w:val="56"/>
                    <w:rPr>
                      <w:rFonts w:cs="Times New Roman"/>
                      <w:sz w:val="13"/>
                      <w:szCs w:val="13"/>
                    </w:rPr>
                  </w:pPr>
                </w:p>
              </w:tc>
              <w:tc>
                <w:tcPr>
                  <w:tcW w:w="100" w:type="pct"/>
                  <w:tcBorders>
                    <w:tl2br w:val="nil"/>
                    <w:tr2bl w:val="nil"/>
                  </w:tcBorders>
                  <w:vAlign w:val="center"/>
                </w:tcPr>
                <w:p>
                  <w:pPr>
                    <w:pStyle w:val="56"/>
                    <w:rPr>
                      <w:rFonts w:cs="Times New Roman"/>
                      <w:sz w:val="13"/>
                      <w:szCs w:val="13"/>
                    </w:rPr>
                  </w:pPr>
                  <w:r>
                    <w:rPr>
                      <w:rFonts w:cs="Times New Roman"/>
                      <w:sz w:val="13"/>
                      <w:szCs w:val="13"/>
                    </w:rPr>
                    <w:t>核算方法</w:t>
                  </w:r>
                </w:p>
              </w:tc>
              <w:tc>
                <w:tcPr>
                  <w:tcW w:w="226" w:type="pct"/>
                  <w:tcBorders>
                    <w:tl2br w:val="nil"/>
                    <w:tr2bl w:val="nil"/>
                  </w:tcBorders>
                  <w:vAlign w:val="center"/>
                </w:tcPr>
                <w:p>
                  <w:pPr>
                    <w:pStyle w:val="56"/>
                    <w:rPr>
                      <w:rFonts w:cs="Times New Roman"/>
                      <w:sz w:val="13"/>
                      <w:szCs w:val="13"/>
                    </w:rPr>
                  </w:pPr>
                  <w:r>
                    <w:rPr>
                      <w:rFonts w:cs="Times New Roman"/>
                      <w:sz w:val="13"/>
                      <w:szCs w:val="13"/>
                    </w:rPr>
                    <w:t>废气产生量Nm</w:t>
                  </w:r>
                  <w:r>
                    <w:rPr>
                      <w:rFonts w:cs="Times New Roman"/>
                      <w:sz w:val="13"/>
                      <w:szCs w:val="13"/>
                      <w:vertAlign w:val="superscript"/>
                    </w:rPr>
                    <w:t>3</w:t>
                  </w:r>
                  <w:r>
                    <w:rPr>
                      <w:rFonts w:cs="Times New Roman"/>
                      <w:sz w:val="13"/>
                      <w:szCs w:val="13"/>
                    </w:rPr>
                    <w:t>/h</w:t>
                  </w:r>
                </w:p>
              </w:tc>
              <w:tc>
                <w:tcPr>
                  <w:tcW w:w="282" w:type="pct"/>
                  <w:tcBorders>
                    <w:tl2br w:val="nil"/>
                    <w:tr2bl w:val="nil"/>
                  </w:tcBorders>
                  <w:vAlign w:val="center"/>
                </w:tcPr>
                <w:p>
                  <w:pPr>
                    <w:pStyle w:val="56"/>
                    <w:rPr>
                      <w:rFonts w:cs="Times New Roman"/>
                      <w:sz w:val="13"/>
                      <w:szCs w:val="13"/>
                    </w:rPr>
                  </w:pPr>
                  <w:r>
                    <w:rPr>
                      <w:rFonts w:cs="Times New Roman"/>
                      <w:sz w:val="13"/>
                      <w:szCs w:val="13"/>
                    </w:rPr>
                    <w:t>产生浓度/（mg/m</w:t>
                  </w:r>
                  <w:r>
                    <w:rPr>
                      <w:rFonts w:cs="Times New Roman"/>
                      <w:sz w:val="13"/>
                      <w:szCs w:val="13"/>
                      <w:vertAlign w:val="superscript"/>
                    </w:rPr>
                    <w:t>3</w:t>
                  </w:r>
                  <w:r>
                    <w:rPr>
                      <w:rFonts w:cs="Times New Roman"/>
                      <w:sz w:val="13"/>
                      <w:szCs w:val="13"/>
                    </w:rPr>
                    <w:t>）</w:t>
                  </w:r>
                </w:p>
              </w:tc>
              <w:tc>
                <w:tcPr>
                  <w:tcW w:w="387" w:type="pct"/>
                  <w:tcBorders>
                    <w:tl2br w:val="nil"/>
                    <w:tr2bl w:val="nil"/>
                  </w:tcBorders>
                  <w:vAlign w:val="center"/>
                </w:tcPr>
                <w:p>
                  <w:pPr>
                    <w:pStyle w:val="56"/>
                    <w:rPr>
                      <w:rFonts w:cs="Times New Roman"/>
                      <w:sz w:val="13"/>
                      <w:szCs w:val="13"/>
                    </w:rPr>
                  </w:pPr>
                  <w:r>
                    <w:rPr>
                      <w:rFonts w:cs="Times New Roman"/>
                      <w:sz w:val="13"/>
                      <w:szCs w:val="13"/>
                    </w:rPr>
                    <w:t>产生量/(kg/h)</w:t>
                  </w:r>
                </w:p>
              </w:tc>
              <w:tc>
                <w:tcPr>
                  <w:tcW w:w="252" w:type="pct"/>
                  <w:tcBorders>
                    <w:tl2br w:val="nil"/>
                    <w:tr2bl w:val="nil"/>
                  </w:tcBorders>
                  <w:vAlign w:val="center"/>
                </w:tcPr>
                <w:p>
                  <w:pPr>
                    <w:pStyle w:val="56"/>
                    <w:rPr>
                      <w:rFonts w:cs="Times New Roman"/>
                      <w:sz w:val="13"/>
                      <w:szCs w:val="13"/>
                    </w:rPr>
                  </w:pPr>
                  <w:r>
                    <w:rPr>
                      <w:rFonts w:cs="Times New Roman"/>
                      <w:sz w:val="13"/>
                      <w:szCs w:val="13"/>
                    </w:rPr>
                    <w:t>收集效率</w:t>
                  </w:r>
                </w:p>
              </w:tc>
              <w:tc>
                <w:tcPr>
                  <w:tcW w:w="166" w:type="pct"/>
                  <w:tcBorders>
                    <w:tl2br w:val="nil"/>
                    <w:tr2bl w:val="nil"/>
                  </w:tcBorders>
                  <w:vAlign w:val="center"/>
                </w:tcPr>
                <w:p>
                  <w:pPr>
                    <w:pStyle w:val="56"/>
                    <w:rPr>
                      <w:rFonts w:cs="Times New Roman"/>
                      <w:sz w:val="13"/>
                      <w:szCs w:val="13"/>
                    </w:rPr>
                  </w:pPr>
                  <w:r>
                    <w:rPr>
                      <w:rFonts w:cs="Times New Roman"/>
                      <w:sz w:val="13"/>
                      <w:szCs w:val="13"/>
                    </w:rPr>
                    <w:t>处理能力</w:t>
                  </w:r>
                  <w:r>
                    <w:rPr>
                      <w:rFonts w:hint="eastAsia" w:cs="Times New Roman"/>
                      <w:sz w:val="13"/>
                      <w:szCs w:val="13"/>
                    </w:rPr>
                    <w:t>（%）</w:t>
                  </w:r>
                </w:p>
              </w:tc>
              <w:tc>
                <w:tcPr>
                  <w:tcW w:w="384" w:type="pct"/>
                  <w:tcBorders>
                    <w:tl2br w:val="nil"/>
                    <w:tr2bl w:val="nil"/>
                  </w:tcBorders>
                  <w:vAlign w:val="center"/>
                </w:tcPr>
                <w:p>
                  <w:pPr>
                    <w:pStyle w:val="56"/>
                    <w:rPr>
                      <w:rFonts w:cs="Times New Roman"/>
                      <w:sz w:val="13"/>
                      <w:szCs w:val="13"/>
                    </w:rPr>
                  </w:pPr>
                  <w:r>
                    <w:rPr>
                      <w:rFonts w:cs="Times New Roman"/>
                      <w:sz w:val="13"/>
                      <w:szCs w:val="13"/>
                    </w:rPr>
                    <w:t>治理工艺</w:t>
                  </w:r>
                </w:p>
              </w:tc>
              <w:tc>
                <w:tcPr>
                  <w:tcW w:w="135" w:type="pct"/>
                  <w:tcBorders>
                    <w:tl2br w:val="nil"/>
                    <w:tr2bl w:val="nil"/>
                  </w:tcBorders>
                  <w:vAlign w:val="center"/>
                </w:tcPr>
                <w:p>
                  <w:pPr>
                    <w:pStyle w:val="56"/>
                    <w:rPr>
                      <w:rFonts w:cs="Times New Roman"/>
                      <w:sz w:val="13"/>
                      <w:szCs w:val="13"/>
                    </w:rPr>
                  </w:pPr>
                  <w:r>
                    <w:rPr>
                      <w:rFonts w:cs="Times New Roman"/>
                      <w:sz w:val="13"/>
                      <w:szCs w:val="13"/>
                    </w:rPr>
                    <w:t>是否为可行性技术</w:t>
                  </w:r>
                </w:p>
              </w:tc>
              <w:tc>
                <w:tcPr>
                  <w:tcW w:w="99" w:type="pct"/>
                  <w:tcBorders>
                    <w:tl2br w:val="nil"/>
                    <w:tr2bl w:val="nil"/>
                  </w:tcBorders>
                  <w:vAlign w:val="center"/>
                </w:tcPr>
                <w:p>
                  <w:pPr>
                    <w:pStyle w:val="56"/>
                    <w:rPr>
                      <w:rFonts w:cs="Times New Roman"/>
                      <w:sz w:val="13"/>
                      <w:szCs w:val="13"/>
                    </w:rPr>
                  </w:pPr>
                  <w:r>
                    <w:rPr>
                      <w:rFonts w:cs="Times New Roman"/>
                      <w:sz w:val="13"/>
                      <w:szCs w:val="13"/>
                    </w:rPr>
                    <w:t>核算方法</w:t>
                  </w:r>
                </w:p>
              </w:tc>
              <w:tc>
                <w:tcPr>
                  <w:tcW w:w="226" w:type="pct"/>
                  <w:tcBorders>
                    <w:tl2br w:val="nil"/>
                    <w:tr2bl w:val="nil"/>
                  </w:tcBorders>
                  <w:vAlign w:val="center"/>
                </w:tcPr>
                <w:p>
                  <w:pPr>
                    <w:pStyle w:val="56"/>
                    <w:rPr>
                      <w:rFonts w:cs="Times New Roman"/>
                      <w:sz w:val="13"/>
                      <w:szCs w:val="13"/>
                    </w:rPr>
                  </w:pPr>
                  <w:r>
                    <w:rPr>
                      <w:rFonts w:cs="Times New Roman"/>
                      <w:sz w:val="13"/>
                      <w:szCs w:val="13"/>
                    </w:rPr>
                    <w:t>废气排放量Nm</w:t>
                  </w:r>
                  <w:r>
                    <w:rPr>
                      <w:rFonts w:cs="Times New Roman"/>
                      <w:sz w:val="13"/>
                      <w:szCs w:val="13"/>
                      <w:vertAlign w:val="superscript"/>
                    </w:rPr>
                    <w:t>3</w:t>
                  </w:r>
                  <w:r>
                    <w:rPr>
                      <w:rFonts w:cs="Times New Roman"/>
                      <w:sz w:val="13"/>
                      <w:szCs w:val="13"/>
                    </w:rPr>
                    <w:t>/h</w:t>
                  </w:r>
                </w:p>
              </w:tc>
              <w:tc>
                <w:tcPr>
                  <w:tcW w:w="388" w:type="pct"/>
                  <w:tcBorders>
                    <w:tl2br w:val="nil"/>
                    <w:tr2bl w:val="nil"/>
                  </w:tcBorders>
                  <w:vAlign w:val="center"/>
                </w:tcPr>
                <w:p>
                  <w:pPr>
                    <w:pStyle w:val="56"/>
                    <w:rPr>
                      <w:rFonts w:cs="Times New Roman"/>
                      <w:sz w:val="13"/>
                      <w:szCs w:val="13"/>
                    </w:rPr>
                  </w:pPr>
                  <w:r>
                    <w:rPr>
                      <w:rFonts w:cs="Times New Roman"/>
                      <w:sz w:val="13"/>
                      <w:szCs w:val="13"/>
                    </w:rPr>
                    <w:t>排放浓度/（mg/m</w:t>
                  </w:r>
                  <w:r>
                    <w:rPr>
                      <w:rFonts w:cs="Times New Roman"/>
                      <w:sz w:val="13"/>
                      <w:szCs w:val="13"/>
                      <w:vertAlign w:val="superscript"/>
                    </w:rPr>
                    <w:t>3</w:t>
                  </w:r>
                  <w:r>
                    <w:rPr>
                      <w:rFonts w:cs="Times New Roman"/>
                      <w:sz w:val="13"/>
                      <w:szCs w:val="13"/>
                    </w:rPr>
                    <w:t>）</w:t>
                  </w:r>
                </w:p>
              </w:tc>
              <w:tc>
                <w:tcPr>
                  <w:tcW w:w="236" w:type="pct"/>
                  <w:tcBorders>
                    <w:tl2br w:val="nil"/>
                    <w:tr2bl w:val="nil"/>
                  </w:tcBorders>
                  <w:vAlign w:val="center"/>
                </w:tcPr>
                <w:p>
                  <w:pPr>
                    <w:pStyle w:val="56"/>
                    <w:rPr>
                      <w:rFonts w:cs="Times New Roman"/>
                      <w:sz w:val="13"/>
                      <w:szCs w:val="13"/>
                    </w:rPr>
                  </w:pPr>
                  <w:r>
                    <w:rPr>
                      <w:rFonts w:cs="Times New Roman"/>
                      <w:sz w:val="13"/>
                      <w:szCs w:val="13"/>
                    </w:rPr>
                    <w:t>排放量/(kg/h)</w:t>
                  </w:r>
                </w:p>
              </w:tc>
              <w:tc>
                <w:tcPr>
                  <w:tcW w:w="417" w:type="pct"/>
                  <w:tcBorders>
                    <w:tl2br w:val="nil"/>
                    <w:tr2bl w:val="nil"/>
                  </w:tcBorders>
                  <w:vAlign w:val="center"/>
                </w:tcPr>
                <w:p>
                  <w:pPr>
                    <w:pStyle w:val="56"/>
                    <w:rPr>
                      <w:rFonts w:cs="Times New Roman"/>
                      <w:sz w:val="13"/>
                      <w:szCs w:val="13"/>
                    </w:rPr>
                  </w:pPr>
                  <w:r>
                    <w:rPr>
                      <w:rFonts w:cs="Times New Roman"/>
                      <w:sz w:val="13"/>
                      <w:szCs w:val="13"/>
                    </w:rPr>
                    <w:t>排放量/(kg/h)</w:t>
                  </w:r>
                </w:p>
              </w:tc>
              <w:tc>
                <w:tcPr>
                  <w:tcW w:w="99" w:type="pct"/>
                  <w:tcBorders>
                    <w:tl2br w:val="nil"/>
                    <w:tr2bl w:val="nil"/>
                  </w:tcBorders>
                  <w:vAlign w:val="center"/>
                </w:tcPr>
                <w:p>
                  <w:pPr>
                    <w:pStyle w:val="56"/>
                    <w:rPr>
                      <w:rFonts w:cs="Times New Roman"/>
                      <w:sz w:val="13"/>
                      <w:szCs w:val="13"/>
                    </w:rPr>
                  </w:pPr>
                  <w:r>
                    <w:rPr>
                      <w:rFonts w:cs="Times New Roman"/>
                      <w:sz w:val="13"/>
                      <w:szCs w:val="13"/>
                    </w:rPr>
                    <w:t>编号</w:t>
                  </w:r>
                </w:p>
              </w:tc>
              <w:tc>
                <w:tcPr>
                  <w:tcW w:w="99" w:type="pct"/>
                  <w:tcBorders>
                    <w:tl2br w:val="nil"/>
                    <w:tr2bl w:val="nil"/>
                  </w:tcBorders>
                  <w:vAlign w:val="center"/>
                </w:tcPr>
                <w:p>
                  <w:pPr>
                    <w:pStyle w:val="56"/>
                    <w:rPr>
                      <w:rFonts w:cs="Times New Roman"/>
                      <w:sz w:val="13"/>
                      <w:szCs w:val="13"/>
                    </w:rPr>
                  </w:pPr>
                  <w:r>
                    <w:rPr>
                      <w:rFonts w:cs="Times New Roman"/>
                      <w:sz w:val="13"/>
                      <w:szCs w:val="13"/>
                    </w:rPr>
                    <w:t>名称</w:t>
                  </w:r>
                </w:p>
              </w:tc>
              <w:tc>
                <w:tcPr>
                  <w:tcW w:w="99" w:type="pct"/>
                  <w:tcBorders>
                    <w:tl2br w:val="nil"/>
                    <w:tr2bl w:val="nil"/>
                  </w:tcBorders>
                  <w:vAlign w:val="center"/>
                </w:tcPr>
                <w:p>
                  <w:pPr>
                    <w:pStyle w:val="56"/>
                    <w:rPr>
                      <w:rFonts w:cs="Times New Roman"/>
                      <w:sz w:val="13"/>
                      <w:szCs w:val="13"/>
                    </w:rPr>
                  </w:pPr>
                  <w:r>
                    <w:rPr>
                      <w:rFonts w:cs="Times New Roman"/>
                      <w:sz w:val="13"/>
                      <w:szCs w:val="13"/>
                    </w:rPr>
                    <w:t>类型</w:t>
                  </w:r>
                </w:p>
              </w:tc>
              <w:tc>
                <w:tcPr>
                  <w:tcW w:w="99" w:type="pct"/>
                  <w:tcBorders>
                    <w:tl2br w:val="nil"/>
                    <w:tr2bl w:val="nil"/>
                  </w:tcBorders>
                  <w:vAlign w:val="center"/>
                </w:tcPr>
                <w:p>
                  <w:pPr>
                    <w:pStyle w:val="56"/>
                    <w:rPr>
                      <w:rFonts w:cs="Times New Roman"/>
                      <w:sz w:val="13"/>
                      <w:szCs w:val="13"/>
                    </w:rPr>
                  </w:pPr>
                  <w:r>
                    <w:rPr>
                      <w:rFonts w:cs="Times New Roman"/>
                      <w:sz w:val="13"/>
                      <w:szCs w:val="13"/>
                    </w:rPr>
                    <w:t>地理坐标</w:t>
                  </w:r>
                </w:p>
              </w:tc>
              <w:tc>
                <w:tcPr>
                  <w:tcW w:w="99" w:type="pct"/>
                  <w:tcBorders>
                    <w:tl2br w:val="nil"/>
                    <w:tr2bl w:val="nil"/>
                  </w:tcBorders>
                  <w:vAlign w:val="center"/>
                </w:tcPr>
                <w:p>
                  <w:pPr>
                    <w:pStyle w:val="56"/>
                    <w:rPr>
                      <w:rFonts w:cs="Times New Roman"/>
                      <w:sz w:val="13"/>
                      <w:szCs w:val="13"/>
                    </w:rPr>
                  </w:pPr>
                  <w:r>
                    <w:rPr>
                      <w:rFonts w:cs="Times New Roman"/>
                      <w:sz w:val="13"/>
                      <w:szCs w:val="13"/>
                    </w:rPr>
                    <w:t>高度</w:t>
                  </w:r>
                </w:p>
              </w:tc>
              <w:tc>
                <w:tcPr>
                  <w:tcW w:w="115" w:type="pct"/>
                  <w:tcBorders>
                    <w:tl2br w:val="nil"/>
                    <w:tr2bl w:val="nil"/>
                  </w:tcBorders>
                  <w:vAlign w:val="center"/>
                </w:tcPr>
                <w:p>
                  <w:pPr>
                    <w:pStyle w:val="56"/>
                    <w:rPr>
                      <w:rFonts w:cs="Times New Roman"/>
                      <w:sz w:val="13"/>
                      <w:szCs w:val="13"/>
                    </w:rPr>
                  </w:pPr>
                  <w:r>
                    <w:rPr>
                      <w:rFonts w:cs="Times New Roman"/>
                      <w:sz w:val="13"/>
                      <w:szCs w:val="13"/>
                    </w:rPr>
                    <w:t>内径</w:t>
                  </w:r>
                </w:p>
              </w:tc>
              <w:tc>
                <w:tcPr>
                  <w:tcW w:w="159" w:type="pct"/>
                  <w:tcBorders>
                    <w:tl2br w:val="nil"/>
                    <w:tr2bl w:val="nil"/>
                  </w:tcBorders>
                  <w:vAlign w:val="center"/>
                </w:tcPr>
                <w:p>
                  <w:pPr>
                    <w:pStyle w:val="56"/>
                    <w:rPr>
                      <w:rFonts w:cs="Times New Roman"/>
                      <w:sz w:val="13"/>
                      <w:szCs w:val="13"/>
                    </w:rPr>
                  </w:pPr>
                  <w:r>
                    <w:rPr>
                      <w:rFonts w:cs="Times New Roman"/>
                      <w:sz w:val="13"/>
                      <w:szCs w:val="13"/>
                    </w:rPr>
                    <w:t>温度</w:t>
                  </w:r>
                </w:p>
              </w:tc>
              <w:tc>
                <w:tcPr>
                  <w:tcW w:w="669" w:type="pct"/>
                  <w:vMerge w:val="continue"/>
                  <w:tcBorders>
                    <w:tl2br w:val="nil"/>
                    <w:tr2bl w:val="nil"/>
                  </w:tcBorders>
                  <w:vAlign w:val="center"/>
                </w:tcPr>
                <w:p>
                  <w:pPr>
                    <w:pStyle w:val="56"/>
                    <w:rPr>
                      <w:rFonts w:cs="Times New Roman"/>
                      <w:sz w:val="13"/>
                      <w:szCs w:val="13"/>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tblHeader/>
              </w:trPr>
              <w:tc>
                <w:tcPr>
                  <w:tcW w:w="99" w:type="pct"/>
                  <w:vMerge w:val="restart"/>
                  <w:tcBorders>
                    <w:tl2br w:val="nil"/>
                    <w:tr2bl w:val="nil"/>
                  </w:tcBorders>
                  <w:vAlign w:val="center"/>
                </w:tcPr>
                <w:p>
                  <w:pPr>
                    <w:jc w:val="center"/>
                    <w:rPr>
                      <w:sz w:val="13"/>
                      <w:szCs w:val="13"/>
                    </w:rPr>
                  </w:pPr>
                  <w:r>
                    <w:rPr>
                      <w:sz w:val="13"/>
                      <w:szCs w:val="13"/>
                    </w:rPr>
                    <w:t>污水处理</w:t>
                  </w:r>
                  <w:r>
                    <w:rPr>
                      <w:rFonts w:hint="eastAsia"/>
                      <w:sz w:val="13"/>
                      <w:szCs w:val="13"/>
                    </w:rPr>
                    <w:t>间</w:t>
                  </w:r>
                </w:p>
              </w:tc>
              <w:tc>
                <w:tcPr>
                  <w:tcW w:w="160" w:type="pct"/>
                  <w:tcBorders>
                    <w:tl2br w:val="nil"/>
                    <w:tr2bl w:val="nil"/>
                  </w:tcBorders>
                  <w:vAlign w:val="center"/>
                </w:tcPr>
                <w:p>
                  <w:pPr>
                    <w:jc w:val="center"/>
                    <w:rPr>
                      <w:sz w:val="13"/>
                      <w:szCs w:val="13"/>
                    </w:rPr>
                  </w:pPr>
                  <w:r>
                    <w:rPr>
                      <w:sz w:val="13"/>
                      <w:szCs w:val="13"/>
                    </w:rPr>
                    <w:t>NH</w:t>
                  </w:r>
                  <w:r>
                    <w:rPr>
                      <w:sz w:val="13"/>
                      <w:szCs w:val="13"/>
                      <w:vertAlign w:val="subscript"/>
                    </w:rPr>
                    <w:t>3</w:t>
                  </w:r>
                </w:p>
              </w:tc>
              <w:tc>
                <w:tcPr>
                  <w:tcW w:w="100" w:type="pct"/>
                  <w:vMerge w:val="restart"/>
                  <w:tcBorders>
                    <w:tl2br w:val="nil"/>
                    <w:tr2bl w:val="nil"/>
                  </w:tcBorders>
                  <w:vAlign w:val="center"/>
                </w:tcPr>
                <w:p>
                  <w:pPr>
                    <w:pStyle w:val="56"/>
                    <w:rPr>
                      <w:rFonts w:cs="Times New Roman"/>
                      <w:kern w:val="0"/>
                      <w:sz w:val="13"/>
                      <w:szCs w:val="13"/>
                    </w:rPr>
                  </w:pPr>
                  <w:r>
                    <w:rPr>
                      <w:rFonts w:cs="Times New Roman"/>
                      <w:sz w:val="13"/>
                      <w:szCs w:val="13"/>
                    </w:rPr>
                    <w:t>类比法</w:t>
                  </w:r>
                </w:p>
              </w:tc>
              <w:tc>
                <w:tcPr>
                  <w:tcW w:w="226" w:type="pct"/>
                  <w:vMerge w:val="restart"/>
                  <w:tcBorders>
                    <w:tl2br w:val="nil"/>
                    <w:tr2bl w:val="nil"/>
                  </w:tcBorders>
                  <w:vAlign w:val="center"/>
                </w:tcPr>
                <w:p>
                  <w:pPr>
                    <w:pStyle w:val="56"/>
                    <w:rPr>
                      <w:rFonts w:cs="Times New Roman"/>
                      <w:sz w:val="13"/>
                      <w:szCs w:val="13"/>
                    </w:rPr>
                  </w:pPr>
                  <w:r>
                    <w:rPr>
                      <w:rFonts w:cs="Times New Roman"/>
                      <w:sz w:val="13"/>
                      <w:szCs w:val="13"/>
                    </w:rPr>
                    <w:t>/</w:t>
                  </w:r>
                </w:p>
              </w:tc>
              <w:tc>
                <w:tcPr>
                  <w:tcW w:w="282" w:type="pct"/>
                  <w:tcBorders>
                    <w:tl2br w:val="nil"/>
                    <w:tr2bl w:val="nil"/>
                  </w:tcBorders>
                  <w:shd w:val="clear" w:color="auto" w:fill="auto"/>
                  <w:vAlign w:val="center"/>
                </w:tcPr>
                <w:p>
                  <w:pPr>
                    <w:widowControl/>
                    <w:jc w:val="center"/>
                    <w:textAlignment w:val="center"/>
                    <w:rPr>
                      <w:kern w:val="0"/>
                      <w:sz w:val="13"/>
                      <w:szCs w:val="13"/>
                    </w:rPr>
                  </w:pPr>
                  <w:r>
                    <w:rPr>
                      <w:kern w:val="0"/>
                      <w:sz w:val="13"/>
                      <w:szCs w:val="13"/>
                    </w:rPr>
                    <w:t>/</w:t>
                  </w:r>
                </w:p>
              </w:tc>
              <w:tc>
                <w:tcPr>
                  <w:tcW w:w="387" w:type="pct"/>
                  <w:tcBorders>
                    <w:tl2br w:val="nil"/>
                    <w:tr2bl w:val="nil"/>
                  </w:tcBorders>
                  <w:vAlign w:val="center"/>
                </w:tcPr>
                <w:p>
                  <w:pPr>
                    <w:widowControl/>
                    <w:jc w:val="center"/>
                    <w:textAlignment w:val="center"/>
                    <w:rPr>
                      <w:kern w:val="0"/>
                      <w:sz w:val="13"/>
                      <w:szCs w:val="13"/>
                    </w:rPr>
                  </w:pPr>
                  <w:r>
                    <w:rPr>
                      <w:sz w:val="13"/>
                      <w:szCs w:val="13"/>
                    </w:rPr>
                    <w:t>4.52×10</w:t>
                  </w:r>
                  <w:r>
                    <w:rPr>
                      <w:sz w:val="13"/>
                      <w:szCs w:val="13"/>
                      <w:vertAlign w:val="superscript"/>
                    </w:rPr>
                    <w:t>-3</w:t>
                  </w:r>
                </w:p>
              </w:tc>
              <w:tc>
                <w:tcPr>
                  <w:tcW w:w="252" w:type="pct"/>
                  <w:tcBorders>
                    <w:tl2br w:val="nil"/>
                    <w:tr2bl w:val="nil"/>
                  </w:tcBorders>
                  <w:vAlign w:val="center"/>
                </w:tcPr>
                <w:p>
                  <w:pPr>
                    <w:widowControl/>
                    <w:jc w:val="center"/>
                    <w:textAlignment w:val="center"/>
                    <w:rPr>
                      <w:kern w:val="0"/>
                      <w:sz w:val="13"/>
                      <w:szCs w:val="13"/>
                    </w:rPr>
                  </w:pPr>
                  <w:r>
                    <w:rPr>
                      <w:kern w:val="0"/>
                      <w:sz w:val="13"/>
                      <w:szCs w:val="13"/>
                    </w:rPr>
                    <w:t>/</w:t>
                  </w:r>
                </w:p>
              </w:tc>
              <w:tc>
                <w:tcPr>
                  <w:tcW w:w="166" w:type="pct"/>
                  <w:tcBorders>
                    <w:tl2br w:val="nil"/>
                    <w:tr2bl w:val="nil"/>
                  </w:tcBorders>
                  <w:vAlign w:val="center"/>
                </w:tcPr>
                <w:p>
                  <w:pPr>
                    <w:widowControl/>
                    <w:jc w:val="center"/>
                    <w:textAlignment w:val="center"/>
                    <w:rPr>
                      <w:kern w:val="0"/>
                      <w:sz w:val="13"/>
                      <w:szCs w:val="13"/>
                    </w:rPr>
                  </w:pPr>
                  <w:r>
                    <w:rPr>
                      <w:rFonts w:hint="eastAsia"/>
                      <w:kern w:val="0"/>
                      <w:sz w:val="13"/>
                      <w:szCs w:val="13"/>
                    </w:rPr>
                    <w:t>30</w:t>
                  </w:r>
                </w:p>
              </w:tc>
              <w:tc>
                <w:tcPr>
                  <w:tcW w:w="384" w:type="pct"/>
                  <w:vMerge w:val="restart"/>
                  <w:tcBorders>
                    <w:tl2br w:val="nil"/>
                    <w:tr2bl w:val="nil"/>
                  </w:tcBorders>
                  <w:vAlign w:val="center"/>
                </w:tcPr>
                <w:p>
                  <w:pPr>
                    <w:pStyle w:val="56"/>
                    <w:rPr>
                      <w:rFonts w:cs="Times New Roman"/>
                      <w:sz w:val="13"/>
                      <w:szCs w:val="13"/>
                    </w:rPr>
                  </w:pPr>
                  <w:r>
                    <w:rPr>
                      <w:rFonts w:cs="Times New Roman"/>
                      <w:sz w:val="13"/>
                      <w:szCs w:val="13"/>
                    </w:rPr>
                    <w:t>污水处理间各处理单元密闭加盖，定时投加除臭剂</w:t>
                  </w:r>
                </w:p>
              </w:tc>
              <w:tc>
                <w:tcPr>
                  <w:tcW w:w="135" w:type="pct"/>
                  <w:tcBorders>
                    <w:tl2br w:val="nil"/>
                    <w:tr2bl w:val="nil"/>
                  </w:tcBorders>
                  <w:vAlign w:val="center"/>
                </w:tcPr>
                <w:p>
                  <w:pPr>
                    <w:pStyle w:val="56"/>
                    <w:rPr>
                      <w:rFonts w:cs="Times New Roman"/>
                      <w:sz w:val="13"/>
                      <w:szCs w:val="13"/>
                    </w:rPr>
                  </w:pPr>
                  <w:r>
                    <w:rPr>
                      <w:rFonts w:cs="Times New Roman"/>
                      <w:sz w:val="13"/>
                      <w:szCs w:val="13"/>
                    </w:rPr>
                    <w:t>是</w:t>
                  </w:r>
                </w:p>
              </w:tc>
              <w:tc>
                <w:tcPr>
                  <w:tcW w:w="99" w:type="pct"/>
                  <w:vMerge w:val="restart"/>
                  <w:tcBorders>
                    <w:tl2br w:val="nil"/>
                    <w:tr2bl w:val="nil"/>
                  </w:tcBorders>
                  <w:vAlign w:val="center"/>
                </w:tcPr>
                <w:p>
                  <w:pPr>
                    <w:pStyle w:val="56"/>
                    <w:rPr>
                      <w:rFonts w:cs="Times New Roman"/>
                      <w:sz w:val="13"/>
                      <w:szCs w:val="13"/>
                    </w:rPr>
                  </w:pPr>
                  <w:r>
                    <w:rPr>
                      <w:rFonts w:cs="Times New Roman"/>
                      <w:sz w:val="13"/>
                      <w:szCs w:val="13"/>
                    </w:rPr>
                    <w:t>类比法</w:t>
                  </w:r>
                </w:p>
              </w:tc>
              <w:tc>
                <w:tcPr>
                  <w:tcW w:w="226" w:type="pct"/>
                  <w:vMerge w:val="restart"/>
                  <w:tcBorders>
                    <w:tl2br w:val="nil"/>
                    <w:tr2bl w:val="nil"/>
                  </w:tcBorders>
                  <w:vAlign w:val="center"/>
                </w:tcPr>
                <w:p>
                  <w:pPr>
                    <w:pStyle w:val="56"/>
                    <w:rPr>
                      <w:rFonts w:cs="Times New Roman"/>
                      <w:sz w:val="13"/>
                      <w:szCs w:val="13"/>
                    </w:rPr>
                  </w:pPr>
                  <w:r>
                    <w:rPr>
                      <w:rFonts w:cs="Times New Roman"/>
                      <w:sz w:val="13"/>
                      <w:szCs w:val="13"/>
                    </w:rPr>
                    <w:t>/</w:t>
                  </w:r>
                </w:p>
              </w:tc>
              <w:tc>
                <w:tcPr>
                  <w:tcW w:w="388" w:type="pct"/>
                  <w:tcBorders>
                    <w:tl2br w:val="nil"/>
                    <w:tr2bl w:val="nil"/>
                  </w:tcBorders>
                  <w:vAlign w:val="center"/>
                </w:tcPr>
                <w:p>
                  <w:pPr>
                    <w:widowControl/>
                    <w:jc w:val="center"/>
                    <w:textAlignment w:val="center"/>
                    <w:rPr>
                      <w:sz w:val="13"/>
                      <w:szCs w:val="13"/>
                    </w:rPr>
                  </w:pPr>
                  <w:r>
                    <w:rPr>
                      <w:sz w:val="13"/>
                      <w:szCs w:val="13"/>
                    </w:rPr>
                    <w:t>/</w:t>
                  </w:r>
                </w:p>
              </w:tc>
              <w:tc>
                <w:tcPr>
                  <w:tcW w:w="236" w:type="pct"/>
                  <w:tcBorders>
                    <w:tl2br w:val="nil"/>
                    <w:tr2bl w:val="nil"/>
                  </w:tcBorders>
                  <w:vAlign w:val="center"/>
                </w:tcPr>
                <w:p>
                  <w:pPr>
                    <w:widowControl/>
                    <w:jc w:val="center"/>
                    <w:textAlignment w:val="center"/>
                    <w:rPr>
                      <w:kern w:val="0"/>
                      <w:sz w:val="13"/>
                      <w:szCs w:val="13"/>
                    </w:rPr>
                  </w:pPr>
                  <w:r>
                    <w:rPr>
                      <w:kern w:val="0"/>
                      <w:sz w:val="13"/>
                      <w:szCs w:val="13"/>
                    </w:rPr>
                    <w:t>/</w:t>
                  </w:r>
                </w:p>
              </w:tc>
              <w:tc>
                <w:tcPr>
                  <w:tcW w:w="417" w:type="pct"/>
                  <w:tcBorders>
                    <w:tl2br w:val="nil"/>
                    <w:tr2bl w:val="nil"/>
                  </w:tcBorders>
                  <w:vAlign w:val="center"/>
                </w:tcPr>
                <w:p>
                  <w:pPr>
                    <w:widowControl/>
                    <w:jc w:val="center"/>
                    <w:textAlignment w:val="center"/>
                    <w:rPr>
                      <w:sz w:val="13"/>
                      <w:szCs w:val="13"/>
                    </w:rPr>
                  </w:pPr>
                  <w:r>
                    <w:rPr>
                      <w:rFonts w:hint="eastAsia"/>
                      <w:sz w:val="13"/>
                      <w:szCs w:val="13"/>
                    </w:rPr>
                    <w:t>3.16</w:t>
                  </w:r>
                  <w:r>
                    <w:rPr>
                      <w:sz w:val="13"/>
                      <w:szCs w:val="13"/>
                    </w:rPr>
                    <w:t>×10</w:t>
                  </w:r>
                  <w:r>
                    <w:rPr>
                      <w:sz w:val="13"/>
                      <w:szCs w:val="13"/>
                      <w:vertAlign w:val="superscript"/>
                    </w:rPr>
                    <w:t>-3</w:t>
                  </w:r>
                </w:p>
              </w:tc>
              <w:tc>
                <w:tcPr>
                  <w:tcW w:w="99" w:type="pct"/>
                  <w:vMerge w:val="restart"/>
                  <w:tcBorders>
                    <w:tl2br w:val="nil"/>
                    <w:tr2bl w:val="nil"/>
                  </w:tcBorders>
                  <w:vAlign w:val="center"/>
                </w:tcPr>
                <w:p>
                  <w:pPr>
                    <w:widowControl/>
                    <w:jc w:val="center"/>
                    <w:textAlignment w:val="center"/>
                    <w:rPr>
                      <w:kern w:val="0"/>
                      <w:sz w:val="13"/>
                      <w:szCs w:val="13"/>
                    </w:rPr>
                  </w:pPr>
                  <w:r>
                    <w:rPr>
                      <w:kern w:val="0"/>
                      <w:sz w:val="13"/>
                      <w:szCs w:val="13"/>
                    </w:rPr>
                    <w:t>/</w:t>
                  </w:r>
                </w:p>
              </w:tc>
              <w:tc>
                <w:tcPr>
                  <w:tcW w:w="99" w:type="pct"/>
                  <w:vMerge w:val="restart"/>
                  <w:tcBorders>
                    <w:tl2br w:val="nil"/>
                    <w:tr2bl w:val="nil"/>
                  </w:tcBorders>
                  <w:vAlign w:val="center"/>
                </w:tcPr>
                <w:p>
                  <w:pPr>
                    <w:widowControl/>
                    <w:jc w:val="center"/>
                    <w:textAlignment w:val="center"/>
                    <w:rPr>
                      <w:kern w:val="0"/>
                      <w:sz w:val="13"/>
                      <w:szCs w:val="13"/>
                    </w:rPr>
                  </w:pPr>
                  <w:r>
                    <w:rPr>
                      <w:kern w:val="0"/>
                      <w:sz w:val="13"/>
                      <w:szCs w:val="13"/>
                    </w:rPr>
                    <w:t>/</w:t>
                  </w:r>
                </w:p>
              </w:tc>
              <w:tc>
                <w:tcPr>
                  <w:tcW w:w="99" w:type="pct"/>
                  <w:vMerge w:val="restart"/>
                  <w:tcBorders>
                    <w:tl2br w:val="nil"/>
                    <w:tr2bl w:val="nil"/>
                  </w:tcBorders>
                  <w:vAlign w:val="center"/>
                </w:tcPr>
                <w:p>
                  <w:pPr>
                    <w:widowControl/>
                    <w:jc w:val="center"/>
                    <w:textAlignment w:val="center"/>
                    <w:rPr>
                      <w:kern w:val="0"/>
                      <w:sz w:val="13"/>
                      <w:szCs w:val="13"/>
                    </w:rPr>
                  </w:pPr>
                  <w:r>
                    <w:rPr>
                      <w:kern w:val="0"/>
                      <w:sz w:val="13"/>
                      <w:szCs w:val="13"/>
                    </w:rPr>
                    <w:t>/</w:t>
                  </w:r>
                </w:p>
              </w:tc>
              <w:tc>
                <w:tcPr>
                  <w:tcW w:w="99" w:type="pct"/>
                  <w:vMerge w:val="restart"/>
                  <w:tcBorders>
                    <w:tl2br w:val="nil"/>
                    <w:tr2bl w:val="nil"/>
                  </w:tcBorders>
                  <w:vAlign w:val="center"/>
                </w:tcPr>
                <w:p>
                  <w:pPr>
                    <w:widowControl/>
                    <w:jc w:val="center"/>
                    <w:textAlignment w:val="center"/>
                    <w:rPr>
                      <w:kern w:val="0"/>
                      <w:sz w:val="13"/>
                      <w:szCs w:val="13"/>
                    </w:rPr>
                  </w:pPr>
                  <w:r>
                    <w:rPr>
                      <w:kern w:val="0"/>
                      <w:sz w:val="13"/>
                      <w:szCs w:val="13"/>
                    </w:rPr>
                    <w:t>/</w:t>
                  </w:r>
                </w:p>
              </w:tc>
              <w:tc>
                <w:tcPr>
                  <w:tcW w:w="99" w:type="pct"/>
                  <w:vMerge w:val="restart"/>
                  <w:tcBorders>
                    <w:tl2br w:val="nil"/>
                    <w:tr2bl w:val="nil"/>
                  </w:tcBorders>
                  <w:vAlign w:val="center"/>
                </w:tcPr>
                <w:p>
                  <w:pPr>
                    <w:widowControl/>
                    <w:jc w:val="center"/>
                    <w:textAlignment w:val="center"/>
                    <w:rPr>
                      <w:kern w:val="0"/>
                      <w:sz w:val="13"/>
                      <w:szCs w:val="13"/>
                    </w:rPr>
                  </w:pPr>
                  <w:r>
                    <w:rPr>
                      <w:kern w:val="0"/>
                      <w:sz w:val="13"/>
                      <w:szCs w:val="13"/>
                    </w:rPr>
                    <w:t>/</w:t>
                  </w:r>
                </w:p>
              </w:tc>
              <w:tc>
                <w:tcPr>
                  <w:tcW w:w="115" w:type="pct"/>
                  <w:vMerge w:val="restart"/>
                  <w:tcBorders>
                    <w:tl2br w:val="nil"/>
                    <w:tr2bl w:val="nil"/>
                  </w:tcBorders>
                  <w:vAlign w:val="center"/>
                </w:tcPr>
                <w:p>
                  <w:pPr>
                    <w:widowControl/>
                    <w:jc w:val="center"/>
                    <w:textAlignment w:val="center"/>
                    <w:rPr>
                      <w:kern w:val="0"/>
                      <w:sz w:val="13"/>
                      <w:szCs w:val="13"/>
                    </w:rPr>
                  </w:pPr>
                  <w:r>
                    <w:rPr>
                      <w:kern w:val="0"/>
                      <w:sz w:val="13"/>
                      <w:szCs w:val="13"/>
                    </w:rPr>
                    <w:t>/</w:t>
                  </w:r>
                </w:p>
              </w:tc>
              <w:tc>
                <w:tcPr>
                  <w:tcW w:w="159" w:type="pct"/>
                  <w:vMerge w:val="restart"/>
                  <w:tcBorders>
                    <w:tl2br w:val="nil"/>
                    <w:tr2bl w:val="nil"/>
                  </w:tcBorders>
                  <w:vAlign w:val="center"/>
                </w:tcPr>
                <w:p>
                  <w:pPr>
                    <w:widowControl/>
                    <w:jc w:val="center"/>
                    <w:textAlignment w:val="center"/>
                    <w:rPr>
                      <w:kern w:val="0"/>
                      <w:sz w:val="13"/>
                      <w:szCs w:val="13"/>
                    </w:rPr>
                  </w:pPr>
                  <w:r>
                    <w:rPr>
                      <w:kern w:val="0"/>
                      <w:sz w:val="13"/>
                      <w:szCs w:val="13"/>
                    </w:rPr>
                    <w:t>/</w:t>
                  </w:r>
                </w:p>
              </w:tc>
              <w:tc>
                <w:tcPr>
                  <w:tcW w:w="669" w:type="pct"/>
                  <w:vMerge w:val="restart"/>
                  <w:tcBorders>
                    <w:tl2br w:val="nil"/>
                    <w:tr2bl w:val="nil"/>
                  </w:tcBorders>
                  <w:vAlign w:val="center"/>
                </w:tcPr>
                <w:p>
                  <w:pPr>
                    <w:pStyle w:val="56"/>
                    <w:rPr>
                      <w:rFonts w:cs="Times New Roman"/>
                      <w:sz w:val="13"/>
                      <w:szCs w:val="13"/>
                    </w:rPr>
                  </w:pPr>
                  <w:r>
                    <w:rPr>
                      <w:rFonts w:cs="Times New Roman"/>
                      <w:sz w:val="13"/>
                      <w:szCs w:val="13"/>
                    </w:rPr>
                    <w:t>《医疗机构水污染物排放标准》（GB18466-2005）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tblHeader/>
              </w:trPr>
              <w:tc>
                <w:tcPr>
                  <w:tcW w:w="99" w:type="pct"/>
                  <w:vMerge w:val="continue"/>
                  <w:tcBorders>
                    <w:tl2br w:val="nil"/>
                    <w:tr2bl w:val="nil"/>
                  </w:tcBorders>
                  <w:vAlign w:val="center"/>
                </w:tcPr>
                <w:p>
                  <w:pPr>
                    <w:pStyle w:val="56"/>
                    <w:rPr>
                      <w:rFonts w:cs="Times New Roman"/>
                      <w:sz w:val="13"/>
                      <w:szCs w:val="13"/>
                    </w:rPr>
                  </w:pPr>
                </w:p>
              </w:tc>
              <w:tc>
                <w:tcPr>
                  <w:tcW w:w="160" w:type="pct"/>
                  <w:tcBorders>
                    <w:tl2br w:val="nil"/>
                    <w:tr2bl w:val="nil"/>
                  </w:tcBorders>
                  <w:vAlign w:val="center"/>
                </w:tcPr>
                <w:p>
                  <w:pPr>
                    <w:pStyle w:val="56"/>
                    <w:rPr>
                      <w:rFonts w:cs="Times New Roman"/>
                      <w:sz w:val="13"/>
                      <w:szCs w:val="13"/>
                    </w:rPr>
                  </w:pPr>
                  <w:r>
                    <w:rPr>
                      <w:rFonts w:cs="Times New Roman"/>
                      <w:sz w:val="13"/>
                      <w:szCs w:val="13"/>
                    </w:rPr>
                    <w:t>H</w:t>
                  </w:r>
                  <w:r>
                    <w:rPr>
                      <w:rFonts w:cs="Times New Roman"/>
                      <w:sz w:val="13"/>
                      <w:szCs w:val="13"/>
                      <w:vertAlign w:val="subscript"/>
                    </w:rPr>
                    <w:t>2</w:t>
                  </w:r>
                  <w:r>
                    <w:rPr>
                      <w:rFonts w:cs="Times New Roman"/>
                      <w:sz w:val="13"/>
                      <w:szCs w:val="13"/>
                    </w:rPr>
                    <w:t>S</w:t>
                  </w:r>
                </w:p>
              </w:tc>
              <w:tc>
                <w:tcPr>
                  <w:tcW w:w="100" w:type="pct"/>
                  <w:vMerge w:val="continue"/>
                  <w:tcBorders>
                    <w:tl2br w:val="nil"/>
                    <w:tr2bl w:val="nil"/>
                  </w:tcBorders>
                  <w:vAlign w:val="center"/>
                </w:tcPr>
                <w:p>
                  <w:pPr>
                    <w:pStyle w:val="56"/>
                    <w:rPr>
                      <w:rFonts w:cs="Times New Roman"/>
                      <w:kern w:val="0"/>
                      <w:sz w:val="13"/>
                      <w:szCs w:val="13"/>
                    </w:rPr>
                  </w:pPr>
                </w:p>
              </w:tc>
              <w:tc>
                <w:tcPr>
                  <w:tcW w:w="226" w:type="pct"/>
                  <w:vMerge w:val="continue"/>
                  <w:tcBorders>
                    <w:tl2br w:val="nil"/>
                    <w:tr2bl w:val="nil"/>
                  </w:tcBorders>
                  <w:vAlign w:val="center"/>
                </w:tcPr>
                <w:p>
                  <w:pPr>
                    <w:pStyle w:val="56"/>
                    <w:rPr>
                      <w:rFonts w:cs="Times New Roman"/>
                      <w:sz w:val="13"/>
                      <w:szCs w:val="13"/>
                    </w:rPr>
                  </w:pPr>
                </w:p>
              </w:tc>
              <w:tc>
                <w:tcPr>
                  <w:tcW w:w="282" w:type="pct"/>
                  <w:tcBorders>
                    <w:tl2br w:val="nil"/>
                    <w:tr2bl w:val="nil"/>
                  </w:tcBorders>
                  <w:shd w:val="clear" w:color="auto" w:fill="auto"/>
                  <w:vAlign w:val="center"/>
                </w:tcPr>
                <w:p>
                  <w:pPr>
                    <w:widowControl/>
                    <w:jc w:val="center"/>
                    <w:textAlignment w:val="center"/>
                    <w:rPr>
                      <w:kern w:val="0"/>
                      <w:sz w:val="13"/>
                      <w:szCs w:val="13"/>
                    </w:rPr>
                  </w:pPr>
                  <w:r>
                    <w:rPr>
                      <w:kern w:val="0"/>
                      <w:sz w:val="13"/>
                      <w:szCs w:val="13"/>
                    </w:rPr>
                    <w:t>/</w:t>
                  </w:r>
                </w:p>
              </w:tc>
              <w:tc>
                <w:tcPr>
                  <w:tcW w:w="387" w:type="pct"/>
                  <w:tcBorders>
                    <w:tl2br w:val="nil"/>
                    <w:tr2bl w:val="nil"/>
                  </w:tcBorders>
                  <w:vAlign w:val="center"/>
                </w:tcPr>
                <w:p>
                  <w:pPr>
                    <w:widowControl/>
                    <w:jc w:val="center"/>
                    <w:textAlignment w:val="center"/>
                    <w:rPr>
                      <w:sz w:val="13"/>
                      <w:szCs w:val="13"/>
                    </w:rPr>
                  </w:pPr>
                  <w:r>
                    <w:rPr>
                      <w:sz w:val="13"/>
                      <w:szCs w:val="13"/>
                    </w:rPr>
                    <w:t>1.32×10</w:t>
                  </w:r>
                  <w:r>
                    <w:rPr>
                      <w:sz w:val="13"/>
                      <w:szCs w:val="13"/>
                      <w:vertAlign w:val="superscript"/>
                    </w:rPr>
                    <w:t>-5</w:t>
                  </w:r>
                </w:p>
              </w:tc>
              <w:tc>
                <w:tcPr>
                  <w:tcW w:w="252" w:type="pct"/>
                  <w:tcBorders>
                    <w:tl2br w:val="nil"/>
                    <w:tr2bl w:val="nil"/>
                  </w:tcBorders>
                  <w:vAlign w:val="center"/>
                </w:tcPr>
                <w:p>
                  <w:pPr>
                    <w:widowControl/>
                    <w:jc w:val="center"/>
                    <w:textAlignment w:val="center"/>
                    <w:rPr>
                      <w:sz w:val="13"/>
                      <w:szCs w:val="13"/>
                    </w:rPr>
                  </w:pPr>
                  <w:r>
                    <w:rPr>
                      <w:sz w:val="13"/>
                      <w:szCs w:val="13"/>
                    </w:rPr>
                    <w:t>/</w:t>
                  </w:r>
                </w:p>
              </w:tc>
              <w:tc>
                <w:tcPr>
                  <w:tcW w:w="166" w:type="pct"/>
                  <w:tcBorders>
                    <w:tl2br w:val="nil"/>
                    <w:tr2bl w:val="nil"/>
                  </w:tcBorders>
                  <w:vAlign w:val="center"/>
                </w:tcPr>
                <w:p>
                  <w:pPr>
                    <w:widowControl/>
                    <w:jc w:val="center"/>
                    <w:textAlignment w:val="center"/>
                    <w:rPr>
                      <w:sz w:val="13"/>
                      <w:szCs w:val="13"/>
                    </w:rPr>
                  </w:pPr>
                  <w:r>
                    <w:rPr>
                      <w:rFonts w:hint="eastAsia"/>
                      <w:sz w:val="13"/>
                      <w:szCs w:val="13"/>
                    </w:rPr>
                    <w:t>30</w:t>
                  </w:r>
                </w:p>
              </w:tc>
              <w:tc>
                <w:tcPr>
                  <w:tcW w:w="384" w:type="pct"/>
                  <w:vMerge w:val="continue"/>
                  <w:tcBorders>
                    <w:tl2br w:val="nil"/>
                    <w:tr2bl w:val="nil"/>
                  </w:tcBorders>
                  <w:vAlign w:val="center"/>
                </w:tcPr>
                <w:p>
                  <w:pPr>
                    <w:pStyle w:val="56"/>
                    <w:rPr>
                      <w:rFonts w:cs="Times New Roman"/>
                      <w:sz w:val="13"/>
                      <w:szCs w:val="13"/>
                    </w:rPr>
                  </w:pPr>
                </w:p>
              </w:tc>
              <w:tc>
                <w:tcPr>
                  <w:tcW w:w="135" w:type="pct"/>
                  <w:tcBorders>
                    <w:tl2br w:val="nil"/>
                    <w:tr2bl w:val="nil"/>
                  </w:tcBorders>
                  <w:vAlign w:val="center"/>
                </w:tcPr>
                <w:p>
                  <w:pPr>
                    <w:pStyle w:val="56"/>
                    <w:rPr>
                      <w:rFonts w:cs="Times New Roman"/>
                      <w:sz w:val="13"/>
                      <w:szCs w:val="13"/>
                    </w:rPr>
                  </w:pPr>
                  <w:r>
                    <w:rPr>
                      <w:rFonts w:cs="Times New Roman"/>
                      <w:sz w:val="13"/>
                      <w:szCs w:val="13"/>
                    </w:rPr>
                    <w:t>是</w:t>
                  </w:r>
                </w:p>
              </w:tc>
              <w:tc>
                <w:tcPr>
                  <w:tcW w:w="99" w:type="pct"/>
                  <w:vMerge w:val="continue"/>
                  <w:tcBorders>
                    <w:tl2br w:val="nil"/>
                    <w:tr2bl w:val="nil"/>
                  </w:tcBorders>
                  <w:vAlign w:val="center"/>
                </w:tcPr>
                <w:p>
                  <w:pPr>
                    <w:pStyle w:val="56"/>
                    <w:rPr>
                      <w:rFonts w:cs="Times New Roman"/>
                      <w:kern w:val="0"/>
                      <w:sz w:val="13"/>
                      <w:szCs w:val="13"/>
                    </w:rPr>
                  </w:pPr>
                </w:p>
              </w:tc>
              <w:tc>
                <w:tcPr>
                  <w:tcW w:w="226" w:type="pct"/>
                  <w:vMerge w:val="continue"/>
                  <w:tcBorders>
                    <w:tl2br w:val="nil"/>
                    <w:tr2bl w:val="nil"/>
                  </w:tcBorders>
                  <w:vAlign w:val="center"/>
                </w:tcPr>
                <w:p>
                  <w:pPr>
                    <w:pStyle w:val="56"/>
                    <w:rPr>
                      <w:rFonts w:cs="Times New Roman"/>
                      <w:sz w:val="13"/>
                      <w:szCs w:val="13"/>
                    </w:rPr>
                  </w:pPr>
                </w:p>
              </w:tc>
              <w:tc>
                <w:tcPr>
                  <w:tcW w:w="388" w:type="pct"/>
                  <w:tcBorders>
                    <w:tl2br w:val="nil"/>
                    <w:tr2bl w:val="nil"/>
                  </w:tcBorders>
                  <w:vAlign w:val="center"/>
                </w:tcPr>
                <w:p>
                  <w:pPr>
                    <w:widowControl/>
                    <w:jc w:val="center"/>
                    <w:textAlignment w:val="center"/>
                    <w:rPr>
                      <w:sz w:val="13"/>
                      <w:szCs w:val="13"/>
                    </w:rPr>
                  </w:pPr>
                  <w:r>
                    <w:rPr>
                      <w:sz w:val="13"/>
                      <w:szCs w:val="13"/>
                    </w:rPr>
                    <w:t>/</w:t>
                  </w:r>
                </w:p>
              </w:tc>
              <w:tc>
                <w:tcPr>
                  <w:tcW w:w="236" w:type="pct"/>
                  <w:tcBorders>
                    <w:tl2br w:val="nil"/>
                    <w:tr2bl w:val="nil"/>
                  </w:tcBorders>
                  <w:vAlign w:val="center"/>
                </w:tcPr>
                <w:p>
                  <w:pPr>
                    <w:widowControl/>
                    <w:jc w:val="center"/>
                    <w:textAlignment w:val="center"/>
                    <w:rPr>
                      <w:sz w:val="13"/>
                      <w:szCs w:val="13"/>
                    </w:rPr>
                  </w:pPr>
                  <w:r>
                    <w:rPr>
                      <w:sz w:val="13"/>
                      <w:szCs w:val="13"/>
                    </w:rPr>
                    <w:t>/</w:t>
                  </w:r>
                </w:p>
              </w:tc>
              <w:tc>
                <w:tcPr>
                  <w:tcW w:w="417" w:type="pct"/>
                  <w:tcBorders>
                    <w:tl2br w:val="nil"/>
                    <w:tr2bl w:val="nil"/>
                  </w:tcBorders>
                  <w:vAlign w:val="center"/>
                </w:tcPr>
                <w:p>
                  <w:pPr>
                    <w:widowControl/>
                    <w:jc w:val="center"/>
                    <w:textAlignment w:val="center"/>
                    <w:rPr>
                      <w:sz w:val="13"/>
                      <w:szCs w:val="13"/>
                    </w:rPr>
                  </w:pPr>
                  <w:r>
                    <w:rPr>
                      <w:rFonts w:hint="eastAsia"/>
                      <w:sz w:val="13"/>
                      <w:szCs w:val="13"/>
                    </w:rPr>
                    <w:t>9.24</w:t>
                  </w:r>
                  <w:r>
                    <w:rPr>
                      <w:sz w:val="13"/>
                      <w:szCs w:val="13"/>
                    </w:rPr>
                    <w:t>×10</w:t>
                  </w:r>
                  <w:r>
                    <w:rPr>
                      <w:sz w:val="13"/>
                      <w:szCs w:val="13"/>
                      <w:vertAlign w:val="superscript"/>
                    </w:rPr>
                    <w:t>-</w:t>
                  </w:r>
                  <w:r>
                    <w:rPr>
                      <w:rFonts w:hint="eastAsia"/>
                      <w:sz w:val="13"/>
                      <w:szCs w:val="13"/>
                      <w:vertAlign w:val="superscript"/>
                    </w:rPr>
                    <w:t>6</w:t>
                  </w:r>
                </w:p>
              </w:tc>
              <w:tc>
                <w:tcPr>
                  <w:tcW w:w="99" w:type="pct"/>
                  <w:vMerge w:val="continue"/>
                  <w:tcBorders>
                    <w:tl2br w:val="nil"/>
                    <w:tr2bl w:val="nil"/>
                  </w:tcBorders>
                  <w:vAlign w:val="center"/>
                </w:tcPr>
                <w:p>
                  <w:pPr>
                    <w:widowControl/>
                    <w:jc w:val="center"/>
                    <w:textAlignment w:val="center"/>
                    <w:rPr>
                      <w:kern w:val="0"/>
                      <w:sz w:val="13"/>
                      <w:szCs w:val="13"/>
                    </w:rPr>
                  </w:pPr>
                </w:p>
              </w:tc>
              <w:tc>
                <w:tcPr>
                  <w:tcW w:w="99" w:type="pct"/>
                  <w:vMerge w:val="continue"/>
                  <w:tcBorders>
                    <w:tl2br w:val="nil"/>
                    <w:tr2bl w:val="nil"/>
                  </w:tcBorders>
                  <w:vAlign w:val="center"/>
                </w:tcPr>
                <w:p>
                  <w:pPr>
                    <w:widowControl/>
                    <w:jc w:val="center"/>
                    <w:textAlignment w:val="center"/>
                    <w:rPr>
                      <w:kern w:val="0"/>
                      <w:sz w:val="13"/>
                      <w:szCs w:val="13"/>
                    </w:rPr>
                  </w:pPr>
                </w:p>
              </w:tc>
              <w:tc>
                <w:tcPr>
                  <w:tcW w:w="99" w:type="pct"/>
                  <w:vMerge w:val="continue"/>
                  <w:tcBorders>
                    <w:tl2br w:val="nil"/>
                    <w:tr2bl w:val="nil"/>
                  </w:tcBorders>
                  <w:vAlign w:val="center"/>
                </w:tcPr>
                <w:p>
                  <w:pPr>
                    <w:widowControl/>
                    <w:jc w:val="center"/>
                    <w:textAlignment w:val="center"/>
                    <w:rPr>
                      <w:kern w:val="0"/>
                      <w:sz w:val="13"/>
                      <w:szCs w:val="13"/>
                    </w:rPr>
                  </w:pPr>
                </w:p>
              </w:tc>
              <w:tc>
                <w:tcPr>
                  <w:tcW w:w="99" w:type="pct"/>
                  <w:vMerge w:val="continue"/>
                  <w:tcBorders>
                    <w:tl2br w:val="nil"/>
                    <w:tr2bl w:val="nil"/>
                  </w:tcBorders>
                  <w:vAlign w:val="center"/>
                </w:tcPr>
                <w:p>
                  <w:pPr>
                    <w:widowControl/>
                    <w:jc w:val="center"/>
                    <w:textAlignment w:val="center"/>
                    <w:rPr>
                      <w:kern w:val="0"/>
                      <w:sz w:val="13"/>
                      <w:szCs w:val="13"/>
                    </w:rPr>
                  </w:pPr>
                </w:p>
              </w:tc>
              <w:tc>
                <w:tcPr>
                  <w:tcW w:w="99" w:type="pct"/>
                  <w:vMerge w:val="continue"/>
                  <w:tcBorders>
                    <w:tl2br w:val="nil"/>
                    <w:tr2bl w:val="nil"/>
                  </w:tcBorders>
                  <w:vAlign w:val="center"/>
                </w:tcPr>
                <w:p>
                  <w:pPr>
                    <w:widowControl/>
                    <w:jc w:val="center"/>
                    <w:textAlignment w:val="center"/>
                    <w:rPr>
                      <w:kern w:val="0"/>
                      <w:sz w:val="13"/>
                      <w:szCs w:val="13"/>
                    </w:rPr>
                  </w:pPr>
                </w:p>
              </w:tc>
              <w:tc>
                <w:tcPr>
                  <w:tcW w:w="115" w:type="pct"/>
                  <w:vMerge w:val="continue"/>
                  <w:tcBorders>
                    <w:tl2br w:val="nil"/>
                    <w:tr2bl w:val="nil"/>
                  </w:tcBorders>
                  <w:vAlign w:val="center"/>
                </w:tcPr>
                <w:p>
                  <w:pPr>
                    <w:widowControl/>
                    <w:jc w:val="center"/>
                    <w:textAlignment w:val="center"/>
                    <w:rPr>
                      <w:kern w:val="0"/>
                      <w:sz w:val="13"/>
                      <w:szCs w:val="13"/>
                    </w:rPr>
                  </w:pPr>
                </w:p>
              </w:tc>
              <w:tc>
                <w:tcPr>
                  <w:tcW w:w="159" w:type="pct"/>
                  <w:vMerge w:val="continue"/>
                  <w:tcBorders>
                    <w:tl2br w:val="nil"/>
                    <w:tr2bl w:val="nil"/>
                  </w:tcBorders>
                  <w:vAlign w:val="center"/>
                </w:tcPr>
                <w:p>
                  <w:pPr>
                    <w:widowControl/>
                    <w:jc w:val="center"/>
                    <w:textAlignment w:val="center"/>
                    <w:rPr>
                      <w:kern w:val="0"/>
                      <w:sz w:val="13"/>
                      <w:szCs w:val="13"/>
                    </w:rPr>
                  </w:pPr>
                </w:p>
              </w:tc>
              <w:tc>
                <w:tcPr>
                  <w:tcW w:w="669" w:type="pct"/>
                  <w:vMerge w:val="continue"/>
                  <w:tcBorders>
                    <w:tl2br w:val="nil"/>
                    <w:tr2bl w:val="nil"/>
                  </w:tcBorders>
                  <w:vAlign w:val="center"/>
                </w:tcPr>
                <w:p>
                  <w:pPr>
                    <w:pStyle w:val="56"/>
                    <w:rPr>
                      <w:rFonts w:cs="Times New Roman"/>
                      <w:sz w:val="13"/>
                      <w:szCs w:val="13"/>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3" w:hRule="atLeast"/>
                <w:tblHeader/>
              </w:trPr>
              <w:tc>
                <w:tcPr>
                  <w:tcW w:w="99" w:type="pct"/>
                  <w:vMerge w:val="continue"/>
                  <w:tcBorders>
                    <w:tl2br w:val="nil"/>
                    <w:tr2bl w:val="nil"/>
                  </w:tcBorders>
                  <w:vAlign w:val="center"/>
                </w:tcPr>
                <w:p>
                  <w:pPr>
                    <w:pStyle w:val="56"/>
                    <w:rPr>
                      <w:rFonts w:cs="Times New Roman"/>
                      <w:sz w:val="13"/>
                      <w:szCs w:val="13"/>
                    </w:rPr>
                  </w:pPr>
                </w:p>
              </w:tc>
              <w:tc>
                <w:tcPr>
                  <w:tcW w:w="160" w:type="pct"/>
                  <w:tcBorders>
                    <w:tl2br w:val="nil"/>
                    <w:tr2bl w:val="nil"/>
                  </w:tcBorders>
                  <w:vAlign w:val="center"/>
                </w:tcPr>
                <w:p>
                  <w:pPr>
                    <w:pStyle w:val="56"/>
                    <w:rPr>
                      <w:rFonts w:cs="Times New Roman"/>
                      <w:sz w:val="13"/>
                      <w:szCs w:val="13"/>
                    </w:rPr>
                  </w:pPr>
                  <w:r>
                    <w:rPr>
                      <w:rFonts w:hint="eastAsia" w:cs="Times New Roman"/>
                      <w:sz w:val="13"/>
                      <w:szCs w:val="13"/>
                    </w:rPr>
                    <w:t>臭气浓度</w:t>
                  </w:r>
                </w:p>
              </w:tc>
              <w:tc>
                <w:tcPr>
                  <w:tcW w:w="100" w:type="pct"/>
                  <w:vMerge w:val="continue"/>
                  <w:tcBorders>
                    <w:tl2br w:val="nil"/>
                    <w:tr2bl w:val="nil"/>
                  </w:tcBorders>
                  <w:vAlign w:val="center"/>
                </w:tcPr>
                <w:p>
                  <w:pPr>
                    <w:pStyle w:val="56"/>
                    <w:rPr>
                      <w:rFonts w:cs="Times New Roman"/>
                      <w:kern w:val="0"/>
                      <w:sz w:val="13"/>
                      <w:szCs w:val="13"/>
                    </w:rPr>
                  </w:pPr>
                </w:p>
              </w:tc>
              <w:tc>
                <w:tcPr>
                  <w:tcW w:w="226" w:type="pct"/>
                  <w:tcBorders>
                    <w:tl2br w:val="nil"/>
                    <w:tr2bl w:val="nil"/>
                  </w:tcBorders>
                  <w:vAlign w:val="center"/>
                </w:tcPr>
                <w:p>
                  <w:pPr>
                    <w:pStyle w:val="56"/>
                    <w:rPr>
                      <w:rFonts w:cs="Times New Roman"/>
                      <w:sz w:val="13"/>
                      <w:szCs w:val="13"/>
                    </w:rPr>
                  </w:pPr>
                  <w:r>
                    <w:rPr>
                      <w:rFonts w:hint="eastAsia" w:cs="Times New Roman"/>
                      <w:sz w:val="13"/>
                      <w:szCs w:val="13"/>
                    </w:rPr>
                    <w:t>/</w:t>
                  </w:r>
                </w:p>
              </w:tc>
              <w:tc>
                <w:tcPr>
                  <w:tcW w:w="282" w:type="pct"/>
                  <w:tcBorders>
                    <w:tl2br w:val="nil"/>
                    <w:tr2bl w:val="nil"/>
                  </w:tcBorders>
                  <w:shd w:val="clear" w:color="auto" w:fill="auto"/>
                  <w:vAlign w:val="center"/>
                </w:tcPr>
                <w:p>
                  <w:pPr>
                    <w:widowControl/>
                    <w:jc w:val="center"/>
                    <w:textAlignment w:val="center"/>
                    <w:rPr>
                      <w:kern w:val="0"/>
                      <w:sz w:val="13"/>
                      <w:szCs w:val="13"/>
                    </w:rPr>
                  </w:pPr>
                  <w:r>
                    <w:rPr>
                      <w:rFonts w:hint="eastAsia"/>
                      <w:kern w:val="0"/>
                      <w:sz w:val="13"/>
                      <w:szCs w:val="13"/>
                    </w:rPr>
                    <w:t>/</w:t>
                  </w:r>
                </w:p>
              </w:tc>
              <w:tc>
                <w:tcPr>
                  <w:tcW w:w="387" w:type="pct"/>
                  <w:tcBorders>
                    <w:tl2br w:val="nil"/>
                    <w:tr2bl w:val="nil"/>
                  </w:tcBorders>
                  <w:vAlign w:val="center"/>
                </w:tcPr>
                <w:p>
                  <w:pPr>
                    <w:widowControl/>
                    <w:jc w:val="center"/>
                    <w:textAlignment w:val="center"/>
                    <w:rPr>
                      <w:sz w:val="13"/>
                      <w:szCs w:val="13"/>
                    </w:rPr>
                  </w:pPr>
                  <w:r>
                    <w:rPr>
                      <w:rFonts w:hint="eastAsia"/>
                      <w:sz w:val="13"/>
                      <w:szCs w:val="13"/>
                    </w:rPr>
                    <w:t>少量（无量纲）</w:t>
                  </w:r>
                </w:p>
              </w:tc>
              <w:tc>
                <w:tcPr>
                  <w:tcW w:w="252" w:type="pct"/>
                  <w:tcBorders>
                    <w:tl2br w:val="nil"/>
                    <w:tr2bl w:val="nil"/>
                  </w:tcBorders>
                  <w:vAlign w:val="center"/>
                </w:tcPr>
                <w:p>
                  <w:pPr>
                    <w:widowControl/>
                    <w:jc w:val="center"/>
                    <w:textAlignment w:val="center"/>
                    <w:rPr>
                      <w:sz w:val="13"/>
                      <w:szCs w:val="13"/>
                    </w:rPr>
                  </w:pPr>
                  <w:r>
                    <w:rPr>
                      <w:rFonts w:hint="eastAsia"/>
                      <w:sz w:val="13"/>
                      <w:szCs w:val="13"/>
                    </w:rPr>
                    <w:t>/</w:t>
                  </w:r>
                </w:p>
              </w:tc>
              <w:tc>
                <w:tcPr>
                  <w:tcW w:w="166" w:type="pct"/>
                  <w:tcBorders>
                    <w:tl2br w:val="nil"/>
                    <w:tr2bl w:val="nil"/>
                  </w:tcBorders>
                  <w:vAlign w:val="center"/>
                </w:tcPr>
                <w:p>
                  <w:pPr>
                    <w:widowControl/>
                    <w:jc w:val="center"/>
                    <w:textAlignment w:val="center"/>
                    <w:rPr>
                      <w:sz w:val="13"/>
                      <w:szCs w:val="13"/>
                    </w:rPr>
                  </w:pPr>
                  <w:r>
                    <w:rPr>
                      <w:rFonts w:hint="eastAsia"/>
                      <w:sz w:val="13"/>
                      <w:szCs w:val="13"/>
                    </w:rPr>
                    <w:t>30</w:t>
                  </w:r>
                </w:p>
              </w:tc>
              <w:tc>
                <w:tcPr>
                  <w:tcW w:w="384" w:type="pct"/>
                  <w:vMerge w:val="continue"/>
                  <w:tcBorders>
                    <w:tl2br w:val="nil"/>
                    <w:tr2bl w:val="nil"/>
                  </w:tcBorders>
                  <w:vAlign w:val="center"/>
                </w:tcPr>
                <w:p>
                  <w:pPr>
                    <w:pStyle w:val="56"/>
                    <w:rPr>
                      <w:rFonts w:cs="Times New Roman"/>
                      <w:sz w:val="13"/>
                      <w:szCs w:val="13"/>
                    </w:rPr>
                  </w:pPr>
                </w:p>
              </w:tc>
              <w:tc>
                <w:tcPr>
                  <w:tcW w:w="135" w:type="pct"/>
                  <w:tcBorders>
                    <w:tl2br w:val="nil"/>
                    <w:tr2bl w:val="nil"/>
                  </w:tcBorders>
                  <w:vAlign w:val="center"/>
                </w:tcPr>
                <w:p>
                  <w:pPr>
                    <w:pStyle w:val="56"/>
                    <w:rPr>
                      <w:rFonts w:cs="Times New Roman"/>
                      <w:sz w:val="13"/>
                      <w:szCs w:val="13"/>
                    </w:rPr>
                  </w:pPr>
                  <w:r>
                    <w:rPr>
                      <w:rFonts w:hint="eastAsia" w:cs="Times New Roman"/>
                      <w:sz w:val="13"/>
                      <w:szCs w:val="13"/>
                    </w:rPr>
                    <w:t>是</w:t>
                  </w:r>
                </w:p>
              </w:tc>
              <w:tc>
                <w:tcPr>
                  <w:tcW w:w="99" w:type="pct"/>
                  <w:vMerge w:val="continue"/>
                  <w:tcBorders>
                    <w:tl2br w:val="nil"/>
                    <w:tr2bl w:val="nil"/>
                  </w:tcBorders>
                  <w:vAlign w:val="center"/>
                </w:tcPr>
                <w:p>
                  <w:pPr>
                    <w:pStyle w:val="56"/>
                    <w:rPr>
                      <w:rFonts w:cs="Times New Roman"/>
                      <w:kern w:val="0"/>
                      <w:sz w:val="13"/>
                      <w:szCs w:val="13"/>
                    </w:rPr>
                  </w:pPr>
                </w:p>
              </w:tc>
              <w:tc>
                <w:tcPr>
                  <w:tcW w:w="226" w:type="pct"/>
                  <w:tcBorders>
                    <w:tl2br w:val="nil"/>
                    <w:tr2bl w:val="nil"/>
                  </w:tcBorders>
                  <w:vAlign w:val="center"/>
                </w:tcPr>
                <w:p>
                  <w:pPr>
                    <w:pStyle w:val="56"/>
                    <w:rPr>
                      <w:rFonts w:cs="Times New Roman"/>
                      <w:sz w:val="13"/>
                      <w:szCs w:val="13"/>
                    </w:rPr>
                  </w:pPr>
                  <w:r>
                    <w:rPr>
                      <w:rFonts w:hint="eastAsia" w:cs="Times New Roman"/>
                      <w:sz w:val="13"/>
                      <w:szCs w:val="13"/>
                    </w:rPr>
                    <w:t>/</w:t>
                  </w:r>
                </w:p>
              </w:tc>
              <w:tc>
                <w:tcPr>
                  <w:tcW w:w="388" w:type="pct"/>
                  <w:tcBorders>
                    <w:tl2br w:val="nil"/>
                    <w:tr2bl w:val="nil"/>
                  </w:tcBorders>
                  <w:vAlign w:val="center"/>
                </w:tcPr>
                <w:p>
                  <w:pPr>
                    <w:widowControl/>
                    <w:jc w:val="center"/>
                    <w:textAlignment w:val="center"/>
                    <w:rPr>
                      <w:sz w:val="13"/>
                      <w:szCs w:val="13"/>
                    </w:rPr>
                  </w:pPr>
                  <w:r>
                    <w:rPr>
                      <w:rFonts w:hint="eastAsia"/>
                      <w:sz w:val="13"/>
                      <w:szCs w:val="13"/>
                    </w:rPr>
                    <w:t>/</w:t>
                  </w:r>
                </w:p>
              </w:tc>
              <w:tc>
                <w:tcPr>
                  <w:tcW w:w="236" w:type="pct"/>
                  <w:tcBorders>
                    <w:tl2br w:val="nil"/>
                    <w:tr2bl w:val="nil"/>
                  </w:tcBorders>
                  <w:vAlign w:val="center"/>
                </w:tcPr>
                <w:p>
                  <w:pPr>
                    <w:widowControl/>
                    <w:jc w:val="center"/>
                    <w:textAlignment w:val="center"/>
                    <w:rPr>
                      <w:sz w:val="13"/>
                      <w:szCs w:val="13"/>
                    </w:rPr>
                  </w:pPr>
                  <w:r>
                    <w:rPr>
                      <w:rFonts w:hint="eastAsia"/>
                      <w:sz w:val="13"/>
                      <w:szCs w:val="13"/>
                    </w:rPr>
                    <w:t>/</w:t>
                  </w:r>
                </w:p>
              </w:tc>
              <w:tc>
                <w:tcPr>
                  <w:tcW w:w="417" w:type="pct"/>
                  <w:tcBorders>
                    <w:tl2br w:val="nil"/>
                    <w:tr2bl w:val="nil"/>
                  </w:tcBorders>
                  <w:vAlign w:val="center"/>
                </w:tcPr>
                <w:p>
                  <w:pPr>
                    <w:widowControl/>
                    <w:jc w:val="center"/>
                    <w:textAlignment w:val="center"/>
                    <w:rPr>
                      <w:sz w:val="13"/>
                      <w:szCs w:val="13"/>
                    </w:rPr>
                  </w:pPr>
                  <w:r>
                    <w:rPr>
                      <w:rFonts w:hint="eastAsia"/>
                      <w:sz w:val="13"/>
                      <w:szCs w:val="13"/>
                    </w:rPr>
                    <w:t>少量（无量纲）</w:t>
                  </w:r>
                </w:p>
              </w:tc>
              <w:tc>
                <w:tcPr>
                  <w:tcW w:w="99" w:type="pct"/>
                  <w:vMerge w:val="continue"/>
                  <w:tcBorders>
                    <w:tl2br w:val="nil"/>
                    <w:tr2bl w:val="nil"/>
                  </w:tcBorders>
                  <w:vAlign w:val="center"/>
                </w:tcPr>
                <w:p>
                  <w:pPr>
                    <w:widowControl/>
                    <w:jc w:val="center"/>
                    <w:textAlignment w:val="center"/>
                    <w:rPr>
                      <w:kern w:val="0"/>
                      <w:sz w:val="13"/>
                      <w:szCs w:val="13"/>
                    </w:rPr>
                  </w:pPr>
                </w:p>
              </w:tc>
              <w:tc>
                <w:tcPr>
                  <w:tcW w:w="99" w:type="pct"/>
                  <w:vMerge w:val="continue"/>
                  <w:tcBorders>
                    <w:tl2br w:val="nil"/>
                    <w:tr2bl w:val="nil"/>
                  </w:tcBorders>
                  <w:vAlign w:val="center"/>
                </w:tcPr>
                <w:p>
                  <w:pPr>
                    <w:widowControl/>
                    <w:jc w:val="center"/>
                    <w:textAlignment w:val="center"/>
                    <w:rPr>
                      <w:kern w:val="0"/>
                      <w:sz w:val="13"/>
                      <w:szCs w:val="13"/>
                    </w:rPr>
                  </w:pPr>
                </w:p>
              </w:tc>
              <w:tc>
                <w:tcPr>
                  <w:tcW w:w="99" w:type="pct"/>
                  <w:vMerge w:val="continue"/>
                  <w:tcBorders>
                    <w:tl2br w:val="nil"/>
                    <w:tr2bl w:val="nil"/>
                  </w:tcBorders>
                  <w:vAlign w:val="center"/>
                </w:tcPr>
                <w:p>
                  <w:pPr>
                    <w:widowControl/>
                    <w:jc w:val="center"/>
                    <w:textAlignment w:val="center"/>
                    <w:rPr>
                      <w:kern w:val="0"/>
                      <w:sz w:val="13"/>
                      <w:szCs w:val="13"/>
                    </w:rPr>
                  </w:pPr>
                </w:p>
              </w:tc>
              <w:tc>
                <w:tcPr>
                  <w:tcW w:w="99" w:type="pct"/>
                  <w:vMerge w:val="continue"/>
                  <w:tcBorders>
                    <w:tl2br w:val="nil"/>
                    <w:tr2bl w:val="nil"/>
                  </w:tcBorders>
                  <w:vAlign w:val="center"/>
                </w:tcPr>
                <w:p>
                  <w:pPr>
                    <w:widowControl/>
                    <w:jc w:val="center"/>
                    <w:textAlignment w:val="center"/>
                    <w:rPr>
                      <w:kern w:val="0"/>
                      <w:sz w:val="13"/>
                      <w:szCs w:val="13"/>
                    </w:rPr>
                  </w:pPr>
                </w:p>
              </w:tc>
              <w:tc>
                <w:tcPr>
                  <w:tcW w:w="99" w:type="pct"/>
                  <w:vMerge w:val="continue"/>
                  <w:tcBorders>
                    <w:tl2br w:val="nil"/>
                    <w:tr2bl w:val="nil"/>
                  </w:tcBorders>
                  <w:vAlign w:val="center"/>
                </w:tcPr>
                <w:p>
                  <w:pPr>
                    <w:widowControl/>
                    <w:jc w:val="center"/>
                    <w:textAlignment w:val="center"/>
                    <w:rPr>
                      <w:kern w:val="0"/>
                      <w:sz w:val="13"/>
                      <w:szCs w:val="13"/>
                    </w:rPr>
                  </w:pPr>
                </w:p>
              </w:tc>
              <w:tc>
                <w:tcPr>
                  <w:tcW w:w="115" w:type="pct"/>
                  <w:vMerge w:val="continue"/>
                  <w:tcBorders>
                    <w:tl2br w:val="nil"/>
                    <w:tr2bl w:val="nil"/>
                  </w:tcBorders>
                  <w:vAlign w:val="center"/>
                </w:tcPr>
                <w:p>
                  <w:pPr>
                    <w:widowControl/>
                    <w:jc w:val="center"/>
                    <w:textAlignment w:val="center"/>
                    <w:rPr>
                      <w:kern w:val="0"/>
                      <w:sz w:val="13"/>
                      <w:szCs w:val="13"/>
                    </w:rPr>
                  </w:pPr>
                </w:p>
              </w:tc>
              <w:tc>
                <w:tcPr>
                  <w:tcW w:w="159" w:type="pct"/>
                  <w:vMerge w:val="continue"/>
                  <w:tcBorders>
                    <w:tl2br w:val="nil"/>
                    <w:tr2bl w:val="nil"/>
                  </w:tcBorders>
                  <w:vAlign w:val="center"/>
                </w:tcPr>
                <w:p>
                  <w:pPr>
                    <w:widowControl/>
                    <w:jc w:val="center"/>
                    <w:textAlignment w:val="center"/>
                    <w:rPr>
                      <w:kern w:val="0"/>
                      <w:sz w:val="13"/>
                      <w:szCs w:val="13"/>
                    </w:rPr>
                  </w:pPr>
                </w:p>
              </w:tc>
              <w:tc>
                <w:tcPr>
                  <w:tcW w:w="669" w:type="pct"/>
                  <w:vMerge w:val="continue"/>
                  <w:tcBorders>
                    <w:tl2br w:val="nil"/>
                    <w:tr2bl w:val="nil"/>
                  </w:tcBorders>
                  <w:vAlign w:val="center"/>
                </w:tcPr>
                <w:p>
                  <w:pPr>
                    <w:pStyle w:val="56"/>
                    <w:rPr>
                      <w:rFonts w:cs="Times New Roman"/>
                      <w:sz w:val="13"/>
                      <w:szCs w:val="13"/>
                    </w:rPr>
                  </w:pPr>
                </w:p>
              </w:tc>
            </w:tr>
          </w:tbl>
          <w:p>
            <w:pPr>
              <w:spacing w:line="360" w:lineRule="auto"/>
              <w:ind w:firstLine="420" w:firstLineChars="200"/>
              <w:rPr>
                <w:rFonts w:hint="eastAsia"/>
                <w:szCs w:val="21"/>
              </w:rPr>
            </w:pPr>
            <w:r>
              <w:rPr>
                <w:rFonts w:hint="eastAsia"/>
                <w:szCs w:val="21"/>
              </w:rPr>
              <w:t>本项目恶臭环境保护措施与《排污许可证申请与核发技术规范 医疗机构》（HJ 1105-2020）医疗机构废气治理可行性技术对比表见表</w:t>
            </w:r>
            <w:r>
              <w:rPr>
                <w:rFonts w:hint="eastAsia"/>
                <w:szCs w:val="21"/>
                <w:lang w:val="en-US" w:eastAsia="zh-CN"/>
              </w:rPr>
              <w:t>16</w:t>
            </w:r>
            <w:r>
              <w:rPr>
                <w:rFonts w:hint="eastAsia"/>
                <w:szCs w:val="21"/>
              </w:rPr>
              <w:t>。</w:t>
            </w:r>
          </w:p>
          <w:p>
            <w:pPr>
              <w:pStyle w:val="21"/>
              <w:rPr>
                <w:rFonts w:hint="eastAsia"/>
                <w:szCs w:val="21"/>
              </w:rPr>
            </w:pPr>
          </w:p>
          <w:p>
            <w:pPr>
              <w:rPr>
                <w:rFonts w:hint="eastAsia"/>
                <w:szCs w:val="21"/>
              </w:rPr>
            </w:pPr>
          </w:p>
          <w:p>
            <w:pPr>
              <w:pStyle w:val="21"/>
            </w:pPr>
          </w:p>
          <w:p>
            <w:pPr>
              <w:pStyle w:val="32"/>
            </w:pPr>
            <w:r>
              <w:rPr>
                <w:rFonts w:hint="eastAsia"/>
              </w:rPr>
              <w:t xml:space="preserve"> 恶臭环境保护措施与排污许可申请与核发技术规范可行性技术对比表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3"/>
              <w:gridCol w:w="1177"/>
              <w:gridCol w:w="912"/>
              <w:gridCol w:w="2269"/>
              <w:gridCol w:w="2452"/>
              <w:gridCol w:w="8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8" w:type="pct"/>
                  <w:noWrap/>
                  <w:vAlign w:val="center"/>
                </w:tcPr>
                <w:p>
                  <w:pPr>
                    <w:ind w:left="-3"/>
                    <w:jc w:val="center"/>
                    <w:rPr>
                      <w:szCs w:val="21"/>
                    </w:rPr>
                  </w:pPr>
                  <w:r>
                    <w:rPr>
                      <w:szCs w:val="21"/>
                    </w:rPr>
                    <w:t>污染物产生设施</w:t>
                  </w:r>
                </w:p>
              </w:tc>
              <w:tc>
                <w:tcPr>
                  <w:tcW w:w="693" w:type="pct"/>
                  <w:noWrap/>
                  <w:vAlign w:val="center"/>
                </w:tcPr>
                <w:p>
                  <w:pPr>
                    <w:ind w:left="-3"/>
                    <w:jc w:val="center"/>
                    <w:rPr>
                      <w:szCs w:val="21"/>
                    </w:rPr>
                  </w:pPr>
                  <w:r>
                    <w:rPr>
                      <w:szCs w:val="21"/>
                    </w:rPr>
                    <w:t>污染物种类</w:t>
                  </w:r>
                </w:p>
              </w:tc>
              <w:tc>
                <w:tcPr>
                  <w:tcW w:w="537" w:type="pct"/>
                  <w:noWrap/>
                  <w:vAlign w:val="center"/>
                </w:tcPr>
                <w:p>
                  <w:pPr>
                    <w:ind w:left="-3"/>
                    <w:jc w:val="center"/>
                    <w:rPr>
                      <w:szCs w:val="21"/>
                    </w:rPr>
                  </w:pPr>
                  <w:r>
                    <w:rPr>
                      <w:szCs w:val="21"/>
                    </w:rPr>
                    <w:t>排放形式</w:t>
                  </w:r>
                </w:p>
              </w:tc>
              <w:tc>
                <w:tcPr>
                  <w:tcW w:w="1335" w:type="pct"/>
                  <w:noWrap/>
                  <w:vAlign w:val="center"/>
                </w:tcPr>
                <w:p>
                  <w:pPr>
                    <w:ind w:left="-3"/>
                    <w:jc w:val="center"/>
                    <w:rPr>
                      <w:szCs w:val="21"/>
                    </w:rPr>
                  </w:pPr>
                  <w:r>
                    <w:rPr>
                      <w:szCs w:val="21"/>
                    </w:rPr>
                    <w:t>《排污许可证申请与核发技术规范 医疗机构》（HJ1105-2020）医疗机构废气治理可行性技术</w:t>
                  </w:r>
                </w:p>
              </w:tc>
              <w:tc>
                <w:tcPr>
                  <w:tcW w:w="1443" w:type="pct"/>
                  <w:noWrap/>
                  <w:vAlign w:val="center"/>
                </w:tcPr>
                <w:p>
                  <w:pPr>
                    <w:ind w:left="-3"/>
                    <w:jc w:val="center"/>
                    <w:rPr>
                      <w:szCs w:val="21"/>
                    </w:rPr>
                  </w:pPr>
                  <w:r>
                    <w:rPr>
                      <w:szCs w:val="21"/>
                    </w:rPr>
                    <w:t>本项目废气治理措施</w:t>
                  </w:r>
                </w:p>
              </w:tc>
              <w:tc>
                <w:tcPr>
                  <w:tcW w:w="481" w:type="pct"/>
                  <w:noWrap/>
                  <w:vAlign w:val="center"/>
                </w:tcPr>
                <w:p>
                  <w:pPr>
                    <w:ind w:left="-3"/>
                    <w:jc w:val="center"/>
                    <w:rPr>
                      <w:szCs w:val="21"/>
                    </w:rPr>
                  </w:pPr>
                  <w:r>
                    <w:rPr>
                      <w:szCs w:val="21"/>
                    </w:rPr>
                    <w:t>是否为可行性技术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08" w:type="pct"/>
                  <w:vMerge w:val="restart"/>
                  <w:noWrap/>
                  <w:vAlign w:val="center"/>
                </w:tcPr>
                <w:p>
                  <w:pPr>
                    <w:ind w:left="-3"/>
                    <w:jc w:val="center"/>
                    <w:rPr>
                      <w:szCs w:val="21"/>
                    </w:rPr>
                  </w:pPr>
                  <w:r>
                    <w:rPr>
                      <w:szCs w:val="21"/>
                    </w:rPr>
                    <w:t>污水处理站</w:t>
                  </w:r>
                </w:p>
              </w:tc>
              <w:tc>
                <w:tcPr>
                  <w:tcW w:w="693" w:type="pct"/>
                  <w:noWrap/>
                  <w:vAlign w:val="center"/>
                </w:tcPr>
                <w:p>
                  <w:pPr>
                    <w:ind w:left="-3"/>
                    <w:jc w:val="center"/>
                    <w:rPr>
                      <w:szCs w:val="21"/>
                    </w:rPr>
                  </w:pPr>
                  <w:r>
                    <w:rPr>
                      <w:szCs w:val="21"/>
                    </w:rPr>
                    <w:t>氨、硫化氢、臭气浓度、甲烷、氯气</w:t>
                  </w:r>
                </w:p>
              </w:tc>
              <w:tc>
                <w:tcPr>
                  <w:tcW w:w="537" w:type="pct"/>
                  <w:noWrap/>
                  <w:vAlign w:val="center"/>
                </w:tcPr>
                <w:p>
                  <w:pPr>
                    <w:ind w:left="-3"/>
                    <w:jc w:val="center"/>
                    <w:rPr>
                      <w:szCs w:val="21"/>
                    </w:rPr>
                  </w:pPr>
                  <w:r>
                    <w:rPr>
                      <w:szCs w:val="21"/>
                    </w:rPr>
                    <w:t>无组织</w:t>
                  </w:r>
                </w:p>
              </w:tc>
              <w:tc>
                <w:tcPr>
                  <w:tcW w:w="1335" w:type="pct"/>
                  <w:noWrap/>
                  <w:vAlign w:val="center"/>
                </w:tcPr>
                <w:p>
                  <w:pPr>
                    <w:spacing w:after="120"/>
                  </w:pPr>
                  <w:r>
                    <w:t>产生恶臭区域加罩或加盖，投加除臭剂</w:t>
                  </w:r>
                </w:p>
              </w:tc>
              <w:tc>
                <w:tcPr>
                  <w:tcW w:w="1443" w:type="pct"/>
                  <w:noWrap/>
                  <w:vAlign w:val="center"/>
                </w:tcPr>
                <w:p>
                  <w:pPr>
                    <w:spacing w:after="120"/>
                  </w:pPr>
                  <w:r>
                    <w:t>污水处理间为密闭房间，污水处理间各处理单元密闭</w:t>
                  </w:r>
                  <w:r>
                    <w:rPr>
                      <w:rFonts w:hint="eastAsia"/>
                    </w:rPr>
                    <w:t>加盖，定时投加除臭剂。</w:t>
                  </w:r>
                </w:p>
              </w:tc>
              <w:tc>
                <w:tcPr>
                  <w:tcW w:w="481" w:type="pct"/>
                  <w:noWrap/>
                  <w:vAlign w:val="center"/>
                </w:tcPr>
                <w:p>
                  <w:pPr>
                    <w:ind w:left="-3"/>
                    <w:jc w:val="center"/>
                    <w:rPr>
                      <w:szCs w:val="21"/>
                    </w:rPr>
                  </w:pPr>
                  <w:r>
                    <w:rPr>
                      <w:szCs w:val="21"/>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8" w:type="pct"/>
                  <w:vMerge w:val="continue"/>
                  <w:noWrap/>
                  <w:vAlign w:val="center"/>
                </w:tcPr>
                <w:p>
                  <w:pPr>
                    <w:ind w:left="-3"/>
                    <w:jc w:val="center"/>
                    <w:rPr>
                      <w:szCs w:val="21"/>
                    </w:rPr>
                  </w:pPr>
                </w:p>
              </w:tc>
              <w:tc>
                <w:tcPr>
                  <w:tcW w:w="693" w:type="pct"/>
                  <w:noWrap/>
                  <w:vAlign w:val="center"/>
                </w:tcPr>
                <w:p>
                  <w:pPr>
                    <w:ind w:left="-3"/>
                    <w:jc w:val="center"/>
                    <w:rPr>
                      <w:szCs w:val="21"/>
                    </w:rPr>
                  </w:pPr>
                  <w:r>
                    <w:rPr>
                      <w:szCs w:val="21"/>
                    </w:rPr>
                    <w:t>氨、硫化氢、臭气浓度</w:t>
                  </w:r>
                </w:p>
              </w:tc>
              <w:tc>
                <w:tcPr>
                  <w:tcW w:w="537" w:type="pct"/>
                  <w:noWrap/>
                  <w:vAlign w:val="center"/>
                </w:tcPr>
                <w:p>
                  <w:pPr>
                    <w:ind w:left="-3"/>
                    <w:jc w:val="center"/>
                    <w:rPr>
                      <w:szCs w:val="21"/>
                    </w:rPr>
                  </w:pPr>
                  <w:r>
                    <w:rPr>
                      <w:szCs w:val="21"/>
                    </w:rPr>
                    <w:t>有组织</w:t>
                  </w:r>
                </w:p>
              </w:tc>
              <w:tc>
                <w:tcPr>
                  <w:tcW w:w="1335" w:type="pct"/>
                  <w:noWrap/>
                  <w:vAlign w:val="center"/>
                </w:tcPr>
                <w:p>
                  <w:pPr>
                    <w:spacing w:after="120"/>
                    <w:jc w:val="center"/>
                  </w:pPr>
                  <w:r>
                    <w:t>集中收集恶臭气体经处理（喷淋塔除臭、活性炭吸附、生物除臭等）后经排气筒排放</w:t>
                  </w:r>
                </w:p>
              </w:tc>
              <w:tc>
                <w:tcPr>
                  <w:tcW w:w="1443" w:type="pct"/>
                  <w:noWrap/>
                  <w:vAlign w:val="center"/>
                </w:tcPr>
                <w:p>
                  <w:pPr>
                    <w:spacing w:after="120"/>
                    <w:jc w:val="center"/>
                  </w:pPr>
                  <w:r>
                    <w:t>/</w:t>
                  </w:r>
                </w:p>
              </w:tc>
              <w:tc>
                <w:tcPr>
                  <w:tcW w:w="481" w:type="pct"/>
                  <w:noWrap/>
                  <w:vAlign w:val="center"/>
                </w:tcPr>
                <w:p>
                  <w:pPr>
                    <w:ind w:left="-3"/>
                    <w:jc w:val="center"/>
                    <w:rPr>
                      <w:szCs w:val="21"/>
                    </w:rPr>
                  </w:pPr>
                  <w:r>
                    <w:rPr>
                      <w:szCs w:val="21"/>
                    </w:rPr>
                    <w:t>/</w:t>
                  </w:r>
                </w:p>
              </w:tc>
            </w:tr>
          </w:tbl>
          <w:p>
            <w:pPr>
              <w:spacing w:line="360" w:lineRule="auto"/>
              <w:ind w:firstLine="420" w:firstLineChars="200"/>
              <w:rPr>
                <w:rFonts w:ascii="宋体" w:hAnsi="宋体" w:cs="宋体"/>
                <w:kern w:val="0"/>
                <w:szCs w:val="21"/>
              </w:rPr>
            </w:pPr>
            <w:r>
              <w:rPr>
                <w:rFonts w:hint="eastAsia"/>
                <w:kern w:val="0"/>
                <w:szCs w:val="21"/>
              </w:rPr>
              <w:t>本项目污水处理站恶臭气体治理措施是《排污许可证申请与核发技术规范 医疗机构》（HJ 1105-2020）医疗机构废气治理可行性技术，工艺可行，同时恶臭采用无组织排放形式是《排污许可证申请与核发技术规范 医疗机构》（HJ 1105-2020）中允许的排放形式，污水处理站周界氨、硫化氢、臭气浓度能够满足《医疗机构水污染物排放标准》（GB18466-2005）中表3 污水处理站周边大气污染物最高允许浓度</w:t>
            </w:r>
            <w:r>
              <w:rPr>
                <w:kern w:val="0"/>
                <w:szCs w:val="21"/>
              </w:rPr>
              <w:t>要求</w:t>
            </w:r>
            <w:r>
              <w:rPr>
                <w:rFonts w:hint="eastAsia"/>
                <w:kern w:val="0"/>
                <w:szCs w:val="21"/>
              </w:rPr>
              <w:t>，对周围环境空气影响较小。</w:t>
            </w:r>
          </w:p>
          <w:p>
            <w:pPr>
              <w:spacing w:line="360" w:lineRule="auto"/>
              <w:ind w:firstLine="420" w:firstLineChars="200"/>
              <w:rPr>
                <w:kern w:val="21"/>
                <w:szCs w:val="21"/>
              </w:rPr>
            </w:pPr>
            <w:r>
              <w:rPr>
                <w:rFonts w:hint="eastAsia"/>
                <w:kern w:val="21"/>
                <w:szCs w:val="21"/>
              </w:rPr>
              <w:t>2）监测要求</w:t>
            </w:r>
          </w:p>
          <w:p>
            <w:pPr>
              <w:spacing w:line="360" w:lineRule="auto"/>
              <w:ind w:firstLine="420" w:firstLineChars="200"/>
              <w:rPr>
                <w:kern w:val="21"/>
                <w:szCs w:val="21"/>
              </w:rPr>
            </w:pPr>
            <w:r>
              <w:rPr>
                <w:rFonts w:hint="eastAsia"/>
                <w:kern w:val="21"/>
                <w:szCs w:val="21"/>
              </w:rPr>
              <w:t>根据《固定污染源排污许可分类管理名录（2019年版）》，本次评价参考《排污单位自行监测技术指南 总则》（HJ819-2017）、《排污许可证申请与核发技术规范 医疗机构》（HJ1105-2020）提出废气监测要求，具体监测指标及监测频次见表</w:t>
            </w:r>
            <w:r>
              <w:rPr>
                <w:rFonts w:hint="eastAsia"/>
                <w:kern w:val="21"/>
                <w:szCs w:val="21"/>
                <w:lang w:val="en-US" w:eastAsia="zh-CN"/>
              </w:rPr>
              <w:t>17</w:t>
            </w:r>
            <w:r>
              <w:rPr>
                <w:rFonts w:hint="eastAsia"/>
                <w:kern w:val="21"/>
                <w:szCs w:val="21"/>
              </w:rPr>
              <w:t>。</w:t>
            </w:r>
          </w:p>
          <w:p>
            <w:pPr>
              <w:pStyle w:val="32"/>
            </w:pPr>
            <w:r>
              <w:t xml:space="preserve"> 废</w:t>
            </w:r>
            <w:r>
              <w:rPr>
                <w:rFonts w:hint="eastAsia"/>
              </w:rPr>
              <w:t>气</w:t>
            </w:r>
            <w:r>
              <w:t>监测要求</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08"/>
              <w:gridCol w:w="2805"/>
              <w:gridCol w:w="2391"/>
              <w:gridCol w:w="16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47" w:type="pct"/>
                  <w:noWrap/>
                  <w:vAlign w:val="center"/>
                </w:tcPr>
                <w:p>
                  <w:pPr>
                    <w:adjustRightInd w:val="0"/>
                    <w:snapToGrid w:val="0"/>
                    <w:jc w:val="center"/>
                    <w:rPr>
                      <w:szCs w:val="21"/>
                    </w:rPr>
                  </w:pPr>
                  <w:r>
                    <w:rPr>
                      <w:rFonts w:hint="eastAsia"/>
                      <w:szCs w:val="21"/>
                    </w:rPr>
                    <w:t>排放形式</w:t>
                  </w:r>
                </w:p>
              </w:tc>
              <w:tc>
                <w:tcPr>
                  <w:tcW w:w="1651" w:type="pct"/>
                  <w:noWrap/>
                  <w:vAlign w:val="center"/>
                </w:tcPr>
                <w:p>
                  <w:pPr>
                    <w:adjustRightInd w:val="0"/>
                    <w:snapToGrid w:val="0"/>
                    <w:jc w:val="center"/>
                    <w:rPr>
                      <w:szCs w:val="21"/>
                    </w:rPr>
                  </w:pPr>
                  <w:r>
                    <w:rPr>
                      <w:rFonts w:hint="eastAsia"/>
                      <w:szCs w:val="21"/>
                    </w:rPr>
                    <w:t>监测点位</w:t>
                  </w:r>
                </w:p>
              </w:tc>
              <w:tc>
                <w:tcPr>
                  <w:tcW w:w="1407" w:type="pct"/>
                  <w:noWrap/>
                  <w:vAlign w:val="center"/>
                </w:tcPr>
                <w:p>
                  <w:pPr>
                    <w:adjustRightInd w:val="0"/>
                    <w:snapToGrid w:val="0"/>
                    <w:jc w:val="center"/>
                    <w:rPr>
                      <w:szCs w:val="21"/>
                    </w:rPr>
                  </w:pPr>
                  <w:r>
                    <w:rPr>
                      <w:rFonts w:hint="eastAsia"/>
                      <w:szCs w:val="21"/>
                    </w:rPr>
                    <w:t>监测指标</w:t>
                  </w:r>
                </w:p>
              </w:tc>
              <w:tc>
                <w:tcPr>
                  <w:tcW w:w="993" w:type="pct"/>
                  <w:noWrap/>
                  <w:vAlign w:val="center"/>
                </w:tcPr>
                <w:p>
                  <w:pPr>
                    <w:adjustRightInd w:val="0"/>
                    <w:snapToGrid w:val="0"/>
                    <w:jc w:val="center"/>
                    <w:rPr>
                      <w:szCs w:val="21"/>
                    </w:rPr>
                  </w:pPr>
                  <w:r>
                    <w:rPr>
                      <w:rFonts w:hint="eastAsia"/>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47" w:type="pct"/>
                  <w:noWrap/>
                  <w:vAlign w:val="center"/>
                </w:tcPr>
                <w:p>
                  <w:pPr>
                    <w:adjustRightInd w:val="0"/>
                    <w:snapToGrid w:val="0"/>
                    <w:jc w:val="center"/>
                    <w:rPr>
                      <w:szCs w:val="21"/>
                    </w:rPr>
                  </w:pPr>
                  <w:r>
                    <w:rPr>
                      <w:rFonts w:hint="eastAsia"/>
                      <w:szCs w:val="21"/>
                    </w:rPr>
                    <w:t>无组织</w:t>
                  </w:r>
                </w:p>
              </w:tc>
              <w:tc>
                <w:tcPr>
                  <w:tcW w:w="1651" w:type="pct"/>
                  <w:noWrap/>
                  <w:vAlign w:val="center"/>
                </w:tcPr>
                <w:p>
                  <w:pPr>
                    <w:adjustRightInd w:val="0"/>
                    <w:snapToGrid w:val="0"/>
                    <w:jc w:val="center"/>
                    <w:rPr>
                      <w:szCs w:val="21"/>
                    </w:rPr>
                  </w:pPr>
                  <w:r>
                    <w:rPr>
                      <w:rFonts w:hint="eastAsia"/>
                      <w:szCs w:val="21"/>
                    </w:rPr>
                    <w:t>污水处理间周界</w:t>
                  </w:r>
                </w:p>
              </w:tc>
              <w:tc>
                <w:tcPr>
                  <w:tcW w:w="1407" w:type="pct"/>
                  <w:noWrap/>
                  <w:vAlign w:val="center"/>
                </w:tcPr>
                <w:p>
                  <w:pPr>
                    <w:adjustRightInd w:val="0"/>
                    <w:snapToGrid w:val="0"/>
                    <w:jc w:val="center"/>
                    <w:rPr>
                      <w:szCs w:val="21"/>
                    </w:rPr>
                  </w:pPr>
                  <w:r>
                    <w:rPr>
                      <w:rFonts w:hint="eastAsia"/>
                      <w:szCs w:val="21"/>
                    </w:rPr>
                    <w:t>氨、硫化氢、臭气浓度</w:t>
                  </w:r>
                </w:p>
              </w:tc>
              <w:tc>
                <w:tcPr>
                  <w:tcW w:w="993" w:type="pct"/>
                  <w:noWrap/>
                  <w:vAlign w:val="center"/>
                </w:tcPr>
                <w:p>
                  <w:pPr>
                    <w:adjustRightInd w:val="0"/>
                    <w:snapToGrid w:val="0"/>
                    <w:jc w:val="center"/>
                    <w:rPr>
                      <w:szCs w:val="21"/>
                    </w:rPr>
                  </w:pPr>
                  <w:r>
                    <w:rPr>
                      <w:rFonts w:hint="eastAsia"/>
                      <w:bCs/>
                      <w:szCs w:val="21"/>
                    </w:rPr>
                    <w:t>1次/季度</w:t>
                  </w:r>
                </w:p>
              </w:tc>
            </w:tr>
          </w:tbl>
          <w:p>
            <w:pPr>
              <w:spacing w:line="360" w:lineRule="auto"/>
              <w:ind w:firstLine="422" w:firstLineChars="200"/>
              <w:rPr>
                <w:b/>
                <w:bCs/>
                <w:kern w:val="21"/>
                <w:szCs w:val="21"/>
              </w:rPr>
            </w:pPr>
            <w:r>
              <w:rPr>
                <w:rFonts w:hint="eastAsia"/>
                <w:b/>
                <w:bCs/>
                <w:kern w:val="21"/>
                <w:szCs w:val="21"/>
              </w:rPr>
              <w:t>2、废水</w:t>
            </w:r>
          </w:p>
          <w:p>
            <w:pPr>
              <w:spacing w:line="360" w:lineRule="auto"/>
              <w:ind w:firstLine="420" w:firstLineChars="200"/>
              <w:rPr>
                <w:kern w:val="21"/>
                <w:szCs w:val="21"/>
              </w:rPr>
            </w:pPr>
            <w:r>
              <w:rPr>
                <w:rFonts w:hint="eastAsia"/>
                <w:kern w:val="21"/>
                <w:szCs w:val="21"/>
              </w:rPr>
              <w:t>（1）废水污染源源强核算</w:t>
            </w:r>
          </w:p>
          <w:p>
            <w:pPr>
              <w:spacing w:line="360" w:lineRule="auto"/>
              <w:ind w:firstLine="420" w:firstLineChars="200"/>
              <w:rPr>
                <w:kern w:val="21"/>
                <w:szCs w:val="21"/>
              </w:rPr>
            </w:pPr>
            <w:r>
              <w:rPr>
                <w:rFonts w:hint="eastAsia"/>
                <w:kern w:val="21"/>
                <w:szCs w:val="21"/>
              </w:rPr>
              <w:t>本项目水浴锅灭活用水循环使用，不外排。本项目实验室排放废水主要为纯水制备产生废水、实验室检测人员洗手废水、医疗废物高压消毒废水和实验室地面清洁废水，实验室排放废水经二氧化氯消毒（直接采用二氧化氯消毒粉AB剂）消毒预处理后与本项目办公区生活污水一同进入污水处理间处理。</w:t>
            </w:r>
          </w:p>
          <w:p>
            <w:pPr>
              <w:widowControl/>
              <w:spacing w:line="360" w:lineRule="auto"/>
              <w:ind w:firstLine="420" w:firstLineChars="200"/>
              <w:rPr>
                <w:szCs w:val="21"/>
              </w:rPr>
            </w:pPr>
            <w:r>
              <w:rPr>
                <w:rFonts w:hint="eastAsia"/>
                <w:kern w:val="21"/>
                <w:szCs w:val="21"/>
              </w:rPr>
              <w:t>本项目新建污水处理间，污水处理规模20m</w:t>
            </w:r>
            <w:r>
              <w:rPr>
                <w:rFonts w:hint="eastAsia"/>
                <w:kern w:val="21"/>
                <w:szCs w:val="21"/>
                <w:vertAlign w:val="superscript"/>
              </w:rPr>
              <w:t>3</w:t>
            </w:r>
            <w:r>
              <w:rPr>
                <w:rFonts w:hint="eastAsia"/>
                <w:kern w:val="21"/>
                <w:szCs w:val="21"/>
              </w:rPr>
              <w:t>/d，处理工艺采用采用“絮凝沉淀+二氧化氯消毒”工艺处理。根据本项目原辅材料情况，本项目废水不涉及重金属和放射性。</w:t>
            </w:r>
          </w:p>
          <w:p>
            <w:pPr>
              <w:pStyle w:val="42"/>
              <w:ind w:firstLine="420"/>
              <w:rPr>
                <w:rFonts w:hint="eastAsia"/>
                <w:kern w:val="21"/>
                <w:szCs w:val="21"/>
              </w:rPr>
            </w:pPr>
            <w:r>
              <w:rPr>
                <w:rFonts w:hint="eastAsia"/>
                <w:kern w:val="21"/>
                <w:szCs w:val="21"/>
              </w:rPr>
              <w:t>本项目废水的产生、治理及排放情况统计见表</w:t>
            </w:r>
            <w:r>
              <w:rPr>
                <w:rFonts w:hint="eastAsia"/>
                <w:kern w:val="21"/>
                <w:szCs w:val="21"/>
                <w:lang w:val="en-US" w:eastAsia="zh-CN"/>
              </w:rPr>
              <w:t>18</w:t>
            </w:r>
            <w:r>
              <w:rPr>
                <w:rFonts w:hint="eastAsia"/>
                <w:kern w:val="21"/>
                <w:szCs w:val="21"/>
              </w:rPr>
              <w:t>。</w:t>
            </w:r>
          </w:p>
          <w:p>
            <w:pPr>
              <w:pStyle w:val="42"/>
              <w:ind w:firstLine="420"/>
              <w:rPr>
                <w:rFonts w:hint="eastAsia"/>
                <w:kern w:val="21"/>
                <w:szCs w:val="21"/>
              </w:rPr>
            </w:pPr>
          </w:p>
          <w:p>
            <w:pPr>
              <w:pStyle w:val="42"/>
              <w:ind w:firstLine="420"/>
              <w:rPr>
                <w:rFonts w:hint="eastAsia"/>
                <w:kern w:val="21"/>
                <w:szCs w:val="21"/>
              </w:rPr>
            </w:pPr>
          </w:p>
          <w:p>
            <w:pPr>
              <w:pStyle w:val="42"/>
              <w:ind w:left="0" w:leftChars="0" w:firstLine="0" w:firstLineChars="0"/>
              <w:rPr>
                <w:rFonts w:hint="eastAsia"/>
                <w:kern w:val="21"/>
                <w:szCs w:val="21"/>
              </w:rPr>
            </w:pPr>
          </w:p>
          <w:p>
            <w:pPr>
              <w:pStyle w:val="42"/>
              <w:spacing w:line="240" w:lineRule="auto"/>
              <w:ind w:left="0" w:leftChars="0" w:firstLine="0" w:firstLineChars="0"/>
              <w:rPr>
                <w:rFonts w:hint="eastAsia"/>
                <w:kern w:val="21"/>
                <w:szCs w:val="21"/>
              </w:rPr>
            </w:pPr>
          </w:p>
          <w:p>
            <w:pPr>
              <w:pStyle w:val="32"/>
              <w:keepNext w:val="0"/>
              <w:keepLines w:val="0"/>
              <w:pageBreakBefore w:val="0"/>
              <w:widowControl/>
              <w:kinsoku/>
              <w:wordWrap/>
              <w:overflowPunct/>
              <w:topLinePunct w:val="0"/>
              <w:autoSpaceDE/>
              <w:autoSpaceDN/>
              <w:bidi w:val="0"/>
              <w:adjustRightInd/>
              <w:snapToGrid/>
              <w:ind w:left="0"/>
              <w:textAlignment w:val="auto"/>
              <w:rPr>
                <w:lang w:val="zh-CN"/>
              </w:rPr>
            </w:pPr>
            <w:r>
              <w:rPr>
                <w:lang w:val="zh-CN"/>
              </w:rPr>
              <w:t xml:space="preserve"> 废水污染源源强核算结果及相关参数一览表</w:t>
            </w:r>
          </w:p>
          <w:tbl>
            <w:tblPr>
              <w:tblStyle w:val="2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97"/>
              <w:gridCol w:w="782"/>
              <w:gridCol w:w="463"/>
              <w:gridCol w:w="664"/>
              <w:gridCol w:w="681"/>
              <w:gridCol w:w="804"/>
              <w:gridCol w:w="664"/>
              <w:gridCol w:w="467"/>
              <w:gridCol w:w="516"/>
              <w:gridCol w:w="631"/>
              <w:gridCol w:w="698"/>
              <w:gridCol w:w="835"/>
              <w:gridCol w:w="5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411" w:type="pct"/>
                  <w:vMerge w:val="restart"/>
                  <w:tcBorders>
                    <w:tl2br w:val="nil"/>
                    <w:tr2bl w:val="nil"/>
                  </w:tcBorders>
                  <w:noWrap/>
                  <w:vAlign w:val="center"/>
                </w:tcPr>
                <w:p>
                  <w:pPr>
                    <w:pStyle w:val="54"/>
                    <w:spacing w:line="240" w:lineRule="auto"/>
                    <w:ind w:firstLine="0" w:firstLineChars="0"/>
                    <w:rPr>
                      <w:sz w:val="21"/>
                      <w:szCs w:val="21"/>
                    </w:rPr>
                  </w:pPr>
                  <w:r>
                    <w:rPr>
                      <w:sz w:val="21"/>
                      <w:szCs w:val="21"/>
                    </w:rPr>
                    <w:t>污染源</w:t>
                  </w:r>
                </w:p>
              </w:tc>
              <w:tc>
                <w:tcPr>
                  <w:tcW w:w="461" w:type="pct"/>
                  <w:vMerge w:val="restart"/>
                  <w:tcBorders>
                    <w:tl2br w:val="nil"/>
                    <w:tr2bl w:val="nil"/>
                  </w:tcBorders>
                  <w:noWrap/>
                  <w:vAlign w:val="center"/>
                </w:tcPr>
                <w:p>
                  <w:pPr>
                    <w:pStyle w:val="54"/>
                    <w:spacing w:line="240" w:lineRule="auto"/>
                    <w:ind w:firstLine="0" w:firstLineChars="0"/>
                    <w:rPr>
                      <w:sz w:val="21"/>
                      <w:szCs w:val="21"/>
                    </w:rPr>
                  </w:pPr>
                  <w:r>
                    <w:rPr>
                      <w:sz w:val="21"/>
                      <w:szCs w:val="21"/>
                    </w:rPr>
                    <w:t>污染物</w:t>
                  </w:r>
                </w:p>
              </w:tc>
              <w:tc>
                <w:tcPr>
                  <w:tcW w:w="1539" w:type="pct"/>
                  <w:gridSpan w:val="4"/>
                  <w:tcBorders>
                    <w:tl2br w:val="nil"/>
                    <w:tr2bl w:val="nil"/>
                  </w:tcBorders>
                  <w:noWrap/>
                  <w:vAlign w:val="center"/>
                </w:tcPr>
                <w:p>
                  <w:pPr>
                    <w:pStyle w:val="54"/>
                    <w:spacing w:line="240" w:lineRule="auto"/>
                    <w:ind w:firstLine="0" w:firstLineChars="0"/>
                    <w:rPr>
                      <w:sz w:val="21"/>
                      <w:szCs w:val="21"/>
                    </w:rPr>
                  </w:pPr>
                  <w:r>
                    <w:rPr>
                      <w:sz w:val="21"/>
                      <w:szCs w:val="21"/>
                    </w:rPr>
                    <w:t>污染物产生</w:t>
                  </w:r>
                </w:p>
              </w:tc>
              <w:tc>
                <w:tcPr>
                  <w:tcW w:w="666" w:type="pct"/>
                  <w:gridSpan w:val="2"/>
                  <w:tcBorders>
                    <w:tl2br w:val="nil"/>
                    <w:tr2bl w:val="nil"/>
                  </w:tcBorders>
                  <w:noWrap/>
                  <w:vAlign w:val="center"/>
                </w:tcPr>
                <w:p>
                  <w:pPr>
                    <w:pStyle w:val="54"/>
                    <w:spacing w:line="240" w:lineRule="auto"/>
                    <w:ind w:firstLine="0" w:firstLineChars="0"/>
                    <w:rPr>
                      <w:sz w:val="21"/>
                      <w:szCs w:val="21"/>
                    </w:rPr>
                  </w:pPr>
                  <w:r>
                    <w:rPr>
                      <w:sz w:val="21"/>
                      <w:szCs w:val="21"/>
                    </w:rPr>
                    <w:t>治理措施</w:t>
                  </w:r>
                </w:p>
              </w:tc>
              <w:tc>
                <w:tcPr>
                  <w:tcW w:w="1579" w:type="pct"/>
                  <w:gridSpan w:val="4"/>
                  <w:tcBorders>
                    <w:tl2br w:val="nil"/>
                    <w:tr2bl w:val="nil"/>
                  </w:tcBorders>
                  <w:noWrap/>
                  <w:vAlign w:val="center"/>
                </w:tcPr>
                <w:p>
                  <w:pPr>
                    <w:pStyle w:val="54"/>
                    <w:spacing w:line="240" w:lineRule="auto"/>
                    <w:ind w:firstLine="0" w:firstLineChars="0"/>
                    <w:rPr>
                      <w:sz w:val="21"/>
                      <w:szCs w:val="21"/>
                    </w:rPr>
                  </w:pPr>
                  <w:r>
                    <w:rPr>
                      <w:sz w:val="21"/>
                      <w:szCs w:val="21"/>
                    </w:rPr>
                    <w:t>污染物排放</w:t>
                  </w:r>
                </w:p>
              </w:tc>
              <w:tc>
                <w:tcPr>
                  <w:tcW w:w="341" w:type="pct"/>
                  <w:vMerge w:val="restart"/>
                  <w:tcBorders>
                    <w:tl2br w:val="nil"/>
                    <w:tr2bl w:val="nil"/>
                  </w:tcBorders>
                  <w:noWrap/>
                  <w:vAlign w:val="center"/>
                </w:tcPr>
                <w:p>
                  <w:pPr>
                    <w:pStyle w:val="54"/>
                    <w:spacing w:line="240" w:lineRule="auto"/>
                    <w:ind w:firstLine="0" w:firstLineChars="0"/>
                    <w:rPr>
                      <w:sz w:val="21"/>
                      <w:szCs w:val="21"/>
                    </w:rPr>
                  </w:pPr>
                  <w:r>
                    <w:rPr>
                      <w:sz w:val="21"/>
                      <w:szCs w:val="21"/>
                    </w:rPr>
                    <w:t>排放时间(d)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1" w:hRule="atLeast"/>
                <w:jc w:val="center"/>
              </w:trPr>
              <w:tc>
                <w:tcPr>
                  <w:tcW w:w="411" w:type="pct"/>
                  <w:vMerge w:val="continue"/>
                  <w:tcBorders>
                    <w:tl2br w:val="nil"/>
                    <w:tr2bl w:val="nil"/>
                  </w:tcBorders>
                  <w:noWrap/>
                  <w:vAlign w:val="center"/>
                </w:tcPr>
                <w:p>
                  <w:pPr>
                    <w:pStyle w:val="54"/>
                    <w:spacing w:line="240" w:lineRule="auto"/>
                    <w:ind w:firstLine="0" w:firstLineChars="0"/>
                    <w:rPr>
                      <w:sz w:val="21"/>
                      <w:szCs w:val="21"/>
                    </w:rPr>
                  </w:pPr>
                </w:p>
              </w:tc>
              <w:tc>
                <w:tcPr>
                  <w:tcW w:w="461" w:type="pct"/>
                  <w:vMerge w:val="continue"/>
                  <w:tcBorders>
                    <w:tl2br w:val="nil"/>
                    <w:tr2bl w:val="nil"/>
                  </w:tcBorders>
                  <w:noWrap/>
                  <w:vAlign w:val="center"/>
                </w:tcPr>
                <w:p>
                  <w:pPr>
                    <w:pStyle w:val="54"/>
                    <w:spacing w:line="240" w:lineRule="auto"/>
                    <w:ind w:firstLine="0" w:firstLineChars="0"/>
                    <w:rPr>
                      <w:sz w:val="21"/>
                      <w:szCs w:val="21"/>
                    </w:rPr>
                  </w:pPr>
                </w:p>
              </w:tc>
              <w:tc>
                <w:tcPr>
                  <w:tcW w:w="273" w:type="pct"/>
                  <w:tcBorders>
                    <w:tl2br w:val="nil"/>
                    <w:tr2bl w:val="nil"/>
                  </w:tcBorders>
                  <w:noWrap/>
                  <w:vAlign w:val="center"/>
                </w:tcPr>
                <w:p>
                  <w:pPr>
                    <w:pStyle w:val="54"/>
                    <w:spacing w:line="240" w:lineRule="auto"/>
                    <w:ind w:firstLine="0" w:firstLineChars="0"/>
                    <w:rPr>
                      <w:sz w:val="21"/>
                      <w:szCs w:val="21"/>
                    </w:rPr>
                  </w:pPr>
                  <w:r>
                    <w:rPr>
                      <w:sz w:val="21"/>
                      <w:szCs w:val="21"/>
                    </w:rPr>
                    <w:t>核算方法</w:t>
                  </w:r>
                </w:p>
              </w:tc>
              <w:tc>
                <w:tcPr>
                  <w:tcW w:w="391" w:type="pct"/>
                  <w:tcBorders>
                    <w:tl2br w:val="nil"/>
                    <w:tr2bl w:val="nil"/>
                  </w:tcBorders>
                  <w:noWrap/>
                  <w:vAlign w:val="center"/>
                </w:tcPr>
                <w:p>
                  <w:pPr>
                    <w:pStyle w:val="54"/>
                    <w:spacing w:line="240" w:lineRule="auto"/>
                    <w:ind w:firstLine="0" w:firstLineChars="0"/>
                    <w:rPr>
                      <w:sz w:val="21"/>
                      <w:szCs w:val="21"/>
                    </w:rPr>
                  </w:pPr>
                  <w:r>
                    <w:rPr>
                      <w:sz w:val="21"/>
                      <w:szCs w:val="21"/>
                    </w:rPr>
                    <w:t>产生废水量</w:t>
                  </w:r>
                </w:p>
              </w:tc>
              <w:tc>
                <w:tcPr>
                  <w:tcW w:w="401" w:type="pct"/>
                  <w:tcBorders>
                    <w:tl2br w:val="nil"/>
                    <w:tr2bl w:val="nil"/>
                  </w:tcBorders>
                  <w:noWrap/>
                  <w:vAlign w:val="center"/>
                </w:tcPr>
                <w:p>
                  <w:pPr>
                    <w:pStyle w:val="54"/>
                    <w:spacing w:line="240" w:lineRule="auto"/>
                    <w:ind w:firstLine="0" w:firstLineChars="0"/>
                    <w:rPr>
                      <w:sz w:val="21"/>
                      <w:szCs w:val="21"/>
                    </w:rPr>
                  </w:pPr>
                  <w:r>
                    <w:rPr>
                      <w:sz w:val="21"/>
                      <w:szCs w:val="21"/>
                    </w:rPr>
                    <w:t>产生浓度mg/L</w:t>
                  </w:r>
                </w:p>
              </w:tc>
              <w:tc>
                <w:tcPr>
                  <w:tcW w:w="472" w:type="pct"/>
                  <w:tcBorders>
                    <w:tl2br w:val="nil"/>
                    <w:tr2bl w:val="nil"/>
                  </w:tcBorders>
                  <w:noWrap/>
                  <w:vAlign w:val="center"/>
                </w:tcPr>
                <w:p>
                  <w:pPr>
                    <w:pStyle w:val="54"/>
                    <w:spacing w:line="240" w:lineRule="auto"/>
                    <w:ind w:firstLine="0" w:firstLineChars="0"/>
                    <w:rPr>
                      <w:sz w:val="21"/>
                      <w:szCs w:val="21"/>
                    </w:rPr>
                  </w:pPr>
                  <w:r>
                    <w:rPr>
                      <w:sz w:val="21"/>
                      <w:szCs w:val="21"/>
                    </w:rPr>
                    <w:t>产生量t/a</w:t>
                  </w:r>
                </w:p>
              </w:tc>
              <w:tc>
                <w:tcPr>
                  <w:tcW w:w="391" w:type="pct"/>
                  <w:tcBorders>
                    <w:tl2br w:val="nil"/>
                    <w:tr2bl w:val="nil"/>
                  </w:tcBorders>
                  <w:noWrap/>
                  <w:vAlign w:val="center"/>
                </w:tcPr>
                <w:p>
                  <w:pPr>
                    <w:pStyle w:val="54"/>
                    <w:spacing w:line="240" w:lineRule="auto"/>
                    <w:ind w:firstLine="0" w:firstLineChars="0"/>
                    <w:rPr>
                      <w:sz w:val="21"/>
                      <w:szCs w:val="21"/>
                    </w:rPr>
                  </w:pPr>
                  <w:r>
                    <w:rPr>
                      <w:sz w:val="21"/>
                      <w:szCs w:val="21"/>
                    </w:rPr>
                    <w:t>工艺</w:t>
                  </w:r>
                </w:p>
              </w:tc>
              <w:tc>
                <w:tcPr>
                  <w:tcW w:w="274" w:type="pct"/>
                  <w:tcBorders>
                    <w:tl2br w:val="nil"/>
                    <w:tr2bl w:val="nil"/>
                  </w:tcBorders>
                  <w:noWrap/>
                  <w:vAlign w:val="center"/>
                </w:tcPr>
                <w:p>
                  <w:pPr>
                    <w:pStyle w:val="54"/>
                    <w:spacing w:line="240" w:lineRule="auto"/>
                    <w:ind w:firstLine="0" w:firstLineChars="0"/>
                    <w:rPr>
                      <w:sz w:val="21"/>
                      <w:szCs w:val="21"/>
                    </w:rPr>
                  </w:pPr>
                  <w:r>
                    <w:rPr>
                      <w:sz w:val="21"/>
                      <w:szCs w:val="21"/>
                    </w:rPr>
                    <w:t>效率/%</w:t>
                  </w:r>
                </w:p>
              </w:tc>
              <w:tc>
                <w:tcPr>
                  <w:tcW w:w="304" w:type="pct"/>
                  <w:tcBorders>
                    <w:tl2br w:val="nil"/>
                    <w:tr2bl w:val="nil"/>
                  </w:tcBorders>
                  <w:noWrap/>
                  <w:vAlign w:val="center"/>
                </w:tcPr>
                <w:p>
                  <w:pPr>
                    <w:pStyle w:val="54"/>
                    <w:spacing w:line="240" w:lineRule="auto"/>
                    <w:ind w:firstLine="0" w:firstLineChars="0"/>
                    <w:rPr>
                      <w:sz w:val="21"/>
                      <w:szCs w:val="21"/>
                    </w:rPr>
                  </w:pPr>
                  <w:r>
                    <w:rPr>
                      <w:sz w:val="21"/>
                      <w:szCs w:val="21"/>
                    </w:rPr>
                    <w:t>核算方法</w:t>
                  </w:r>
                </w:p>
              </w:tc>
              <w:tc>
                <w:tcPr>
                  <w:tcW w:w="372" w:type="pct"/>
                  <w:tcBorders>
                    <w:tl2br w:val="nil"/>
                    <w:tr2bl w:val="nil"/>
                  </w:tcBorders>
                  <w:noWrap/>
                  <w:vAlign w:val="center"/>
                </w:tcPr>
                <w:p>
                  <w:pPr>
                    <w:pStyle w:val="54"/>
                    <w:spacing w:line="240" w:lineRule="auto"/>
                    <w:ind w:firstLine="0" w:firstLineChars="0"/>
                    <w:rPr>
                      <w:sz w:val="21"/>
                      <w:szCs w:val="21"/>
                    </w:rPr>
                  </w:pPr>
                  <w:r>
                    <w:rPr>
                      <w:sz w:val="21"/>
                      <w:szCs w:val="21"/>
                    </w:rPr>
                    <w:t>排放废水量</w:t>
                  </w:r>
                </w:p>
              </w:tc>
              <w:tc>
                <w:tcPr>
                  <w:tcW w:w="411" w:type="pct"/>
                  <w:tcBorders>
                    <w:tl2br w:val="nil"/>
                    <w:tr2bl w:val="nil"/>
                  </w:tcBorders>
                  <w:noWrap/>
                  <w:vAlign w:val="center"/>
                </w:tcPr>
                <w:p>
                  <w:pPr>
                    <w:pStyle w:val="54"/>
                    <w:spacing w:line="240" w:lineRule="auto"/>
                    <w:ind w:firstLine="0" w:firstLineChars="0"/>
                    <w:rPr>
                      <w:sz w:val="21"/>
                      <w:szCs w:val="21"/>
                    </w:rPr>
                  </w:pPr>
                  <w:r>
                    <w:rPr>
                      <w:sz w:val="21"/>
                      <w:szCs w:val="21"/>
                    </w:rPr>
                    <w:t>排放浓度mg/L</w:t>
                  </w:r>
                </w:p>
              </w:tc>
              <w:tc>
                <w:tcPr>
                  <w:tcW w:w="491" w:type="pct"/>
                  <w:tcBorders>
                    <w:tl2br w:val="nil"/>
                    <w:tr2bl w:val="nil"/>
                  </w:tcBorders>
                  <w:noWrap/>
                  <w:vAlign w:val="center"/>
                </w:tcPr>
                <w:p>
                  <w:pPr>
                    <w:pStyle w:val="54"/>
                    <w:spacing w:line="240" w:lineRule="auto"/>
                    <w:ind w:firstLine="0" w:firstLineChars="0"/>
                    <w:rPr>
                      <w:sz w:val="21"/>
                      <w:szCs w:val="21"/>
                    </w:rPr>
                  </w:pPr>
                  <w:r>
                    <w:rPr>
                      <w:sz w:val="21"/>
                      <w:szCs w:val="21"/>
                    </w:rPr>
                    <w:t>排放量t/a</w:t>
                  </w:r>
                </w:p>
              </w:tc>
              <w:tc>
                <w:tcPr>
                  <w:tcW w:w="341" w:type="pct"/>
                  <w:vMerge w:val="continue"/>
                  <w:tcBorders>
                    <w:tl2br w:val="nil"/>
                    <w:tr2bl w:val="nil"/>
                  </w:tcBorders>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411" w:type="pct"/>
                  <w:vMerge w:val="restart"/>
                  <w:tcBorders>
                    <w:tl2br w:val="nil"/>
                    <w:tr2bl w:val="nil"/>
                  </w:tcBorders>
                  <w:noWrap/>
                  <w:vAlign w:val="center"/>
                </w:tcPr>
                <w:p>
                  <w:pPr>
                    <w:pStyle w:val="54"/>
                    <w:spacing w:line="240" w:lineRule="auto"/>
                    <w:ind w:firstLine="0" w:firstLineChars="0"/>
                    <w:rPr>
                      <w:sz w:val="21"/>
                      <w:szCs w:val="21"/>
                    </w:rPr>
                  </w:pPr>
                  <w:r>
                    <w:rPr>
                      <w:rFonts w:hint="eastAsia"/>
                      <w:sz w:val="21"/>
                      <w:szCs w:val="21"/>
                    </w:rPr>
                    <w:t>核酸检测基地</w:t>
                  </w:r>
                  <w:r>
                    <w:rPr>
                      <w:sz w:val="21"/>
                      <w:szCs w:val="21"/>
                    </w:rPr>
                    <w:t>废水</w:t>
                  </w:r>
                </w:p>
              </w:tc>
              <w:tc>
                <w:tcPr>
                  <w:tcW w:w="461" w:type="pct"/>
                  <w:tcBorders>
                    <w:tl2br w:val="nil"/>
                    <w:tr2bl w:val="nil"/>
                  </w:tcBorders>
                  <w:noWrap/>
                  <w:vAlign w:val="center"/>
                </w:tcPr>
                <w:p>
                  <w:pPr>
                    <w:pStyle w:val="54"/>
                    <w:spacing w:line="240" w:lineRule="auto"/>
                    <w:ind w:firstLine="0" w:firstLineChars="0"/>
                    <w:rPr>
                      <w:sz w:val="21"/>
                      <w:szCs w:val="21"/>
                    </w:rPr>
                  </w:pPr>
                  <w:r>
                    <w:rPr>
                      <w:sz w:val="21"/>
                      <w:szCs w:val="21"/>
                    </w:rPr>
                    <w:t>COD</w:t>
                  </w:r>
                </w:p>
              </w:tc>
              <w:tc>
                <w:tcPr>
                  <w:tcW w:w="273" w:type="pct"/>
                  <w:vMerge w:val="restart"/>
                  <w:tcBorders>
                    <w:tl2br w:val="nil"/>
                    <w:tr2bl w:val="nil"/>
                  </w:tcBorders>
                  <w:noWrap/>
                  <w:vAlign w:val="center"/>
                </w:tcPr>
                <w:p>
                  <w:pPr>
                    <w:pStyle w:val="54"/>
                    <w:spacing w:line="240" w:lineRule="auto"/>
                    <w:ind w:firstLine="0" w:firstLineChars="0"/>
                    <w:rPr>
                      <w:sz w:val="21"/>
                      <w:szCs w:val="21"/>
                    </w:rPr>
                  </w:pPr>
                  <w:r>
                    <w:rPr>
                      <w:sz w:val="21"/>
                      <w:szCs w:val="21"/>
                    </w:rPr>
                    <w:t>类比法</w:t>
                  </w:r>
                </w:p>
              </w:tc>
              <w:tc>
                <w:tcPr>
                  <w:tcW w:w="391" w:type="pct"/>
                  <w:vMerge w:val="restart"/>
                  <w:tcBorders>
                    <w:tl2br w:val="nil"/>
                    <w:tr2bl w:val="nil"/>
                  </w:tcBorders>
                  <w:noWrap/>
                  <w:vAlign w:val="center"/>
                </w:tcPr>
                <w:p>
                  <w:pPr>
                    <w:pStyle w:val="54"/>
                    <w:spacing w:line="240" w:lineRule="auto"/>
                    <w:ind w:firstLine="0" w:firstLineChars="0"/>
                    <w:rPr>
                      <w:sz w:val="21"/>
                      <w:szCs w:val="21"/>
                    </w:rPr>
                  </w:pPr>
                  <w:r>
                    <w:rPr>
                      <w:rFonts w:hint="eastAsia"/>
                      <w:sz w:val="21"/>
                      <w:szCs w:val="21"/>
                    </w:rPr>
                    <w:t>1249.6</w:t>
                  </w:r>
                  <w:r>
                    <w:rPr>
                      <w:sz w:val="21"/>
                      <w:szCs w:val="21"/>
                    </w:rPr>
                    <w:t>m</w:t>
                  </w:r>
                  <w:r>
                    <w:rPr>
                      <w:sz w:val="21"/>
                      <w:szCs w:val="21"/>
                      <w:vertAlign w:val="superscript"/>
                    </w:rPr>
                    <w:t>3</w:t>
                  </w:r>
                  <w:r>
                    <w:rPr>
                      <w:sz w:val="21"/>
                      <w:szCs w:val="21"/>
                    </w:rPr>
                    <w:t>/a</w:t>
                  </w:r>
                </w:p>
              </w:tc>
              <w:tc>
                <w:tcPr>
                  <w:tcW w:w="401" w:type="pct"/>
                  <w:tcBorders>
                    <w:tl2br w:val="nil"/>
                    <w:tr2bl w:val="nil"/>
                  </w:tcBorders>
                  <w:noWrap/>
                  <w:vAlign w:val="center"/>
                </w:tcPr>
                <w:p>
                  <w:pPr>
                    <w:pStyle w:val="54"/>
                    <w:spacing w:line="240" w:lineRule="auto"/>
                    <w:ind w:firstLine="0" w:firstLineChars="0"/>
                    <w:rPr>
                      <w:sz w:val="21"/>
                      <w:szCs w:val="21"/>
                    </w:rPr>
                  </w:pPr>
                  <w:r>
                    <w:rPr>
                      <w:rFonts w:hint="eastAsia"/>
                      <w:sz w:val="21"/>
                      <w:szCs w:val="21"/>
                    </w:rPr>
                    <w:t>300</w:t>
                  </w:r>
                </w:p>
              </w:tc>
              <w:tc>
                <w:tcPr>
                  <w:tcW w:w="472" w:type="pct"/>
                  <w:tcBorders>
                    <w:tl2br w:val="nil"/>
                    <w:tr2bl w:val="nil"/>
                  </w:tcBorders>
                  <w:noWrap/>
                  <w:vAlign w:val="center"/>
                </w:tcPr>
                <w:p>
                  <w:pPr>
                    <w:widowControl/>
                    <w:jc w:val="center"/>
                    <w:textAlignment w:val="center"/>
                    <w:rPr>
                      <w:szCs w:val="21"/>
                    </w:rPr>
                  </w:pPr>
                  <w:r>
                    <w:rPr>
                      <w:kern w:val="0"/>
                      <w:szCs w:val="21"/>
                    </w:rPr>
                    <w:t xml:space="preserve">0.375 </w:t>
                  </w:r>
                </w:p>
              </w:tc>
              <w:tc>
                <w:tcPr>
                  <w:tcW w:w="391" w:type="pct"/>
                  <w:vMerge w:val="restart"/>
                  <w:tcBorders>
                    <w:tl2br w:val="nil"/>
                    <w:tr2bl w:val="nil"/>
                  </w:tcBorders>
                  <w:noWrap/>
                  <w:vAlign w:val="center"/>
                </w:tcPr>
                <w:p>
                  <w:pPr>
                    <w:pStyle w:val="54"/>
                    <w:spacing w:line="240" w:lineRule="auto"/>
                    <w:ind w:firstLine="0" w:firstLineChars="0"/>
                    <w:rPr>
                      <w:sz w:val="21"/>
                      <w:szCs w:val="21"/>
                    </w:rPr>
                  </w:pPr>
                  <w:r>
                    <w:rPr>
                      <w:rFonts w:hint="eastAsia"/>
                      <w:sz w:val="21"/>
                      <w:szCs w:val="21"/>
                    </w:rPr>
                    <w:t>混凝沉淀</w:t>
                  </w:r>
                  <w:r>
                    <w:rPr>
                      <w:sz w:val="21"/>
                      <w:szCs w:val="21"/>
                    </w:rPr>
                    <w:t>+二氧化氯消毒</w:t>
                  </w:r>
                </w:p>
              </w:tc>
              <w:tc>
                <w:tcPr>
                  <w:tcW w:w="274" w:type="pct"/>
                  <w:tcBorders>
                    <w:tl2br w:val="nil"/>
                    <w:tr2bl w:val="nil"/>
                  </w:tcBorders>
                  <w:noWrap/>
                  <w:vAlign w:val="center"/>
                </w:tcPr>
                <w:p>
                  <w:pPr>
                    <w:pStyle w:val="54"/>
                    <w:spacing w:line="240" w:lineRule="auto"/>
                    <w:ind w:firstLine="0" w:firstLineChars="0"/>
                    <w:rPr>
                      <w:sz w:val="21"/>
                      <w:szCs w:val="21"/>
                    </w:rPr>
                  </w:pPr>
                  <w:r>
                    <w:rPr>
                      <w:rFonts w:hint="eastAsia"/>
                      <w:sz w:val="21"/>
                      <w:szCs w:val="21"/>
                    </w:rPr>
                    <w:t>40</w:t>
                  </w:r>
                </w:p>
              </w:tc>
              <w:tc>
                <w:tcPr>
                  <w:tcW w:w="304" w:type="pct"/>
                  <w:vMerge w:val="restart"/>
                  <w:tcBorders>
                    <w:tl2br w:val="nil"/>
                    <w:tr2bl w:val="nil"/>
                  </w:tcBorders>
                  <w:noWrap/>
                  <w:vAlign w:val="center"/>
                </w:tcPr>
                <w:p>
                  <w:pPr>
                    <w:pStyle w:val="54"/>
                    <w:spacing w:line="240" w:lineRule="auto"/>
                    <w:ind w:firstLine="0" w:firstLineChars="0"/>
                    <w:rPr>
                      <w:sz w:val="21"/>
                      <w:szCs w:val="21"/>
                    </w:rPr>
                  </w:pPr>
                  <w:r>
                    <w:rPr>
                      <w:sz w:val="21"/>
                      <w:szCs w:val="21"/>
                    </w:rPr>
                    <w:t>类比法</w:t>
                  </w:r>
                </w:p>
              </w:tc>
              <w:tc>
                <w:tcPr>
                  <w:tcW w:w="372" w:type="pct"/>
                  <w:vMerge w:val="restart"/>
                  <w:tcBorders>
                    <w:tl2br w:val="nil"/>
                    <w:tr2bl w:val="nil"/>
                  </w:tcBorders>
                  <w:noWrap/>
                  <w:vAlign w:val="center"/>
                </w:tcPr>
                <w:p>
                  <w:pPr>
                    <w:pStyle w:val="54"/>
                    <w:spacing w:line="240" w:lineRule="auto"/>
                    <w:ind w:firstLine="0" w:firstLineChars="0"/>
                    <w:rPr>
                      <w:sz w:val="21"/>
                      <w:szCs w:val="21"/>
                    </w:rPr>
                  </w:pPr>
                  <w:r>
                    <w:rPr>
                      <w:rFonts w:hint="eastAsia"/>
                      <w:sz w:val="21"/>
                      <w:szCs w:val="21"/>
                    </w:rPr>
                    <w:t>1249.6</w:t>
                  </w:r>
                  <w:r>
                    <w:rPr>
                      <w:sz w:val="21"/>
                      <w:szCs w:val="21"/>
                    </w:rPr>
                    <w:t>m</w:t>
                  </w:r>
                  <w:r>
                    <w:rPr>
                      <w:sz w:val="21"/>
                      <w:szCs w:val="21"/>
                      <w:vertAlign w:val="superscript"/>
                    </w:rPr>
                    <w:t>3</w:t>
                  </w:r>
                  <w:r>
                    <w:rPr>
                      <w:sz w:val="21"/>
                      <w:szCs w:val="21"/>
                    </w:rPr>
                    <w:t>/a</w:t>
                  </w:r>
                </w:p>
              </w:tc>
              <w:tc>
                <w:tcPr>
                  <w:tcW w:w="411" w:type="pct"/>
                  <w:tcBorders>
                    <w:tl2br w:val="nil"/>
                    <w:tr2bl w:val="nil"/>
                  </w:tcBorders>
                  <w:noWrap/>
                  <w:vAlign w:val="center"/>
                </w:tcPr>
                <w:p>
                  <w:pPr>
                    <w:widowControl/>
                    <w:jc w:val="center"/>
                    <w:textAlignment w:val="center"/>
                    <w:rPr>
                      <w:szCs w:val="21"/>
                    </w:rPr>
                  </w:pPr>
                  <w:r>
                    <w:rPr>
                      <w:kern w:val="0"/>
                      <w:szCs w:val="21"/>
                    </w:rPr>
                    <w:t>180</w:t>
                  </w:r>
                </w:p>
              </w:tc>
              <w:tc>
                <w:tcPr>
                  <w:tcW w:w="491" w:type="pct"/>
                  <w:tcBorders>
                    <w:tl2br w:val="nil"/>
                    <w:tr2bl w:val="nil"/>
                  </w:tcBorders>
                  <w:noWrap/>
                  <w:vAlign w:val="center"/>
                </w:tcPr>
                <w:p>
                  <w:pPr>
                    <w:widowControl/>
                    <w:jc w:val="center"/>
                    <w:textAlignment w:val="center"/>
                    <w:rPr>
                      <w:szCs w:val="21"/>
                    </w:rPr>
                  </w:pPr>
                  <w:r>
                    <w:rPr>
                      <w:kern w:val="0"/>
                      <w:szCs w:val="21"/>
                    </w:rPr>
                    <w:t xml:space="preserve">0.225 </w:t>
                  </w:r>
                </w:p>
              </w:tc>
              <w:tc>
                <w:tcPr>
                  <w:tcW w:w="341" w:type="pct"/>
                  <w:vMerge w:val="restart"/>
                  <w:tcBorders>
                    <w:tl2br w:val="nil"/>
                    <w:tr2bl w:val="nil"/>
                  </w:tcBorders>
                  <w:noWrap/>
                  <w:vAlign w:val="center"/>
                </w:tcPr>
                <w:p>
                  <w:pPr>
                    <w:pStyle w:val="54"/>
                    <w:spacing w:line="240" w:lineRule="auto"/>
                    <w:ind w:firstLine="0" w:firstLineChars="0"/>
                    <w:rPr>
                      <w:sz w:val="21"/>
                      <w:szCs w:val="21"/>
                    </w:rPr>
                  </w:pPr>
                  <w:r>
                    <w:rPr>
                      <w:sz w:val="21"/>
                      <w:szCs w:val="21"/>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411" w:type="pct"/>
                  <w:vMerge w:val="continue"/>
                  <w:tcBorders>
                    <w:tl2br w:val="nil"/>
                    <w:tr2bl w:val="nil"/>
                  </w:tcBorders>
                  <w:noWrap/>
                  <w:vAlign w:val="center"/>
                </w:tcPr>
                <w:p>
                  <w:pPr>
                    <w:pStyle w:val="54"/>
                    <w:spacing w:line="240" w:lineRule="auto"/>
                    <w:ind w:firstLine="0" w:firstLineChars="0"/>
                    <w:rPr>
                      <w:sz w:val="21"/>
                      <w:szCs w:val="21"/>
                    </w:rPr>
                  </w:pPr>
                </w:p>
              </w:tc>
              <w:tc>
                <w:tcPr>
                  <w:tcW w:w="461" w:type="pct"/>
                  <w:tcBorders>
                    <w:tl2br w:val="nil"/>
                    <w:tr2bl w:val="nil"/>
                  </w:tcBorders>
                  <w:noWrap/>
                  <w:vAlign w:val="center"/>
                </w:tcPr>
                <w:p>
                  <w:pPr>
                    <w:pStyle w:val="54"/>
                    <w:spacing w:line="240" w:lineRule="auto"/>
                    <w:ind w:firstLine="0" w:firstLineChars="0"/>
                    <w:rPr>
                      <w:sz w:val="21"/>
                      <w:szCs w:val="21"/>
                    </w:rPr>
                  </w:pPr>
                  <w:r>
                    <w:rPr>
                      <w:sz w:val="21"/>
                      <w:szCs w:val="21"/>
                    </w:rPr>
                    <w:t>氨氮</w:t>
                  </w:r>
                </w:p>
              </w:tc>
              <w:tc>
                <w:tcPr>
                  <w:tcW w:w="273" w:type="pct"/>
                  <w:vMerge w:val="continue"/>
                  <w:tcBorders>
                    <w:tl2br w:val="nil"/>
                    <w:tr2bl w:val="nil"/>
                  </w:tcBorders>
                  <w:noWrap/>
                  <w:vAlign w:val="center"/>
                </w:tcPr>
                <w:p>
                  <w:pPr>
                    <w:pStyle w:val="54"/>
                    <w:spacing w:line="240" w:lineRule="auto"/>
                    <w:ind w:firstLine="0" w:firstLineChars="0"/>
                    <w:rPr>
                      <w:sz w:val="21"/>
                      <w:szCs w:val="21"/>
                    </w:rPr>
                  </w:pPr>
                </w:p>
              </w:tc>
              <w:tc>
                <w:tcPr>
                  <w:tcW w:w="391" w:type="pct"/>
                  <w:vMerge w:val="continue"/>
                  <w:tcBorders>
                    <w:tl2br w:val="nil"/>
                    <w:tr2bl w:val="nil"/>
                  </w:tcBorders>
                  <w:noWrap/>
                  <w:vAlign w:val="center"/>
                </w:tcPr>
                <w:p>
                  <w:pPr>
                    <w:pStyle w:val="54"/>
                    <w:spacing w:line="240" w:lineRule="auto"/>
                    <w:ind w:firstLine="0" w:firstLineChars="0"/>
                    <w:rPr>
                      <w:sz w:val="21"/>
                      <w:szCs w:val="21"/>
                    </w:rPr>
                  </w:pPr>
                </w:p>
              </w:tc>
              <w:tc>
                <w:tcPr>
                  <w:tcW w:w="401" w:type="pct"/>
                  <w:tcBorders>
                    <w:tl2br w:val="nil"/>
                    <w:tr2bl w:val="nil"/>
                  </w:tcBorders>
                  <w:noWrap/>
                  <w:vAlign w:val="center"/>
                </w:tcPr>
                <w:p>
                  <w:pPr>
                    <w:pStyle w:val="54"/>
                    <w:spacing w:line="240" w:lineRule="auto"/>
                    <w:ind w:firstLine="0" w:firstLineChars="0"/>
                    <w:rPr>
                      <w:sz w:val="21"/>
                      <w:szCs w:val="21"/>
                    </w:rPr>
                  </w:pPr>
                  <w:r>
                    <w:rPr>
                      <w:rFonts w:hint="eastAsia"/>
                      <w:sz w:val="21"/>
                      <w:szCs w:val="21"/>
                    </w:rPr>
                    <w:t>25</w:t>
                  </w:r>
                </w:p>
              </w:tc>
              <w:tc>
                <w:tcPr>
                  <w:tcW w:w="472" w:type="pct"/>
                  <w:tcBorders>
                    <w:tl2br w:val="nil"/>
                    <w:tr2bl w:val="nil"/>
                  </w:tcBorders>
                  <w:noWrap/>
                  <w:vAlign w:val="center"/>
                </w:tcPr>
                <w:p>
                  <w:pPr>
                    <w:widowControl/>
                    <w:jc w:val="center"/>
                    <w:textAlignment w:val="center"/>
                    <w:rPr>
                      <w:szCs w:val="21"/>
                    </w:rPr>
                  </w:pPr>
                  <w:r>
                    <w:rPr>
                      <w:kern w:val="0"/>
                      <w:szCs w:val="21"/>
                    </w:rPr>
                    <w:t>0.03</w:t>
                  </w:r>
                  <w:r>
                    <w:rPr>
                      <w:rFonts w:hint="eastAsia"/>
                      <w:kern w:val="0"/>
                      <w:szCs w:val="21"/>
                    </w:rPr>
                    <w:t xml:space="preserve">1 </w:t>
                  </w:r>
                </w:p>
              </w:tc>
              <w:tc>
                <w:tcPr>
                  <w:tcW w:w="391" w:type="pct"/>
                  <w:vMerge w:val="continue"/>
                  <w:tcBorders>
                    <w:tl2br w:val="nil"/>
                    <w:tr2bl w:val="nil"/>
                  </w:tcBorders>
                  <w:noWrap/>
                  <w:vAlign w:val="center"/>
                </w:tcPr>
                <w:p>
                  <w:pPr>
                    <w:pStyle w:val="54"/>
                    <w:spacing w:line="240" w:lineRule="auto"/>
                    <w:ind w:firstLine="0" w:firstLineChars="0"/>
                    <w:rPr>
                      <w:sz w:val="21"/>
                      <w:szCs w:val="21"/>
                    </w:rPr>
                  </w:pPr>
                </w:p>
              </w:tc>
              <w:tc>
                <w:tcPr>
                  <w:tcW w:w="274" w:type="pct"/>
                  <w:tcBorders>
                    <w:tl2br w:val="nil"/>
                    <w:tr2bl w:val="nil"/>
                  </w:tcBorders>
                  <w:noWrap/>
                  <w:vAlign w:val="center"/>
                </w:tcPr>
                <w:p>
                  <w:pPr>
                    <w:pStyle w:val="54"/>
                    <w:spacing w:line="240" w:lineRule="auto"/>
                    <w:ind w:firstLine="0" w:firstLineChars="0"/>
                    <w:rPr>
                      <w:sz w:val="21"/>
                      <w:szCs w:val="21"/>
                    </w:rPr>
                  </w:pPr>
                  <w:r>
                    <w:rPr>
                      <w:rFonts w:hint="eastAsia"/>
                      <w:sz w:val="21"/>
                      <w:szCs w:val="21"/>
                    </w:rPr>
                    <w:t>40</w:t>
                  </w:r>
                </w:p>
              </w:tc>
              <w:tc>
                <w:tcPr>
                  <w:tcW w:w="304" w:type="pct"/>
                  <w:vMerge w:val="continue"/>
                  <w:tcBorders>
                    <w:tl2br w:val="nil"/>
                    <w:tr2bl w:val="nil"/>
                  </w:tcBorders>
                  <w:noWrap/>
                  <w:vAlign w:val="center"/>
                </w:tcPr>
                <w:p>
                  <w:pPr>
                    <w:pStyle w:val="54"/>
                    <w:spacing w:line="240" w:lineRule="auto"/>
                    <w:ind w:firstLine="0" w:firstLineChars="0"/>
                    <w:rPr>
                      <w:sz w:val="21"/>
                      <w:szCs w:val="21"/>
                    </w:rPr>
                  </w:pPr>
                </w:p>
              </w:tc>
              <w:tc>
                <w:tcPr>
                  <w:tcW w:w="372" w:type="pct"/>
                  <w:vMerge w:val="continue"/>
                  <w:tcBorders>
                    <w:tl2br w:val="nil"/>
                    <w:tr2bl w:val="nil"/>
                  </w:tcBorders>
                  <w:noWrap/>
                  <w:vAlign w:val="center"/>
                </w:tcPr>
                <w:p>
                  <w:pPr>
                    <w:pStyle w:val="54"/>
                    <w:spacing w:line="240" w:lineRule="auto"/>
                    <w:ind w:firstLine="0" w:firstLineChars="0"/>
                    <w:rPr>
                      <w:sz w:val="21"/>
                      <w:szCs w:val="21"/>
                    </w:rPr>
                  </w:pPr>
                </w:p>
              </w:tc>
              <w:tc>
                <w:tcPr>
                  <w:tcW w:w="411" w:type="pct"/>
                  <w:tcBorders>
                    <w:tl2br w:val="nil"/>
                    <w:tr2bl w:val="nil"/>
                  </w:tcBorders>
                  <w:noWrap/>
                  <w:vAlign w:val="center"/>
                </w:tcPr>
                <w:p>
                  <w:pPr>
                    <w:widowControl/>
                    <w:jc w:val="center"/>
                    <w:textAlignment w:val="center"/>
                    <w:rPr>
                      <w:szCs w:val="21"/>
                    </w:rPr>
                  </w:pPr>
                  <w:r>
                    <w:rPr>
                      <w:kern w:val="0"/>
                      <w:szCs w:val="21"/>
                    </w:rPr>
                    <w:t>1</w:t>
                  </w:r>
                  <w:r>
                    <w:rPr>
                      <w:rFonts w:hint="eastAsia"/>
                      <w:kern w:val="0"/>
                      <w:szCs w:val="21"/>
                    </w:rPr>
                    <w:t>5</w:t>
                  </w:r>
                </w:p>
              </w:tc>
              <w:tc>
                <w:tcPr>
                  <w:tcW w:w="491" w:type="pct"/>
                  <w:tcBorders>
                    <w:tl2br w:val="nil"/>
                    <w:tr2bl w:val="nil"/>
                  </w:tcBorders>
                  <w:noWrap/>
                  <w:vAlign w:val="center"/>
                </w:tcPr>
                <w:p>
                  <w:pPr>
                    <w:widowControl/>
                    <w:jc w:val="center"/>
                    <w:textAlignment w:val="center"/>
                    <w:rPr>
                      <w:szCs w:val="21"/>
                    </w:rPr>
                  </w:pPr>
                  <w:r>
                    <w:rPr>
                      <w:kern w:val="0"/>
                      <w:szCs w:val="21"/>
                    </w:rPr>
                    <w:t>0.0</w:t>
                  </w:r>
                  <w:r>
                    <w:rPr>
                      <w:rFonts w:hint="eastAsia"/>
                      <w:kern w:val="0"/>
                      <w:szCs w:val="21"/>
                    </w:rPr>
                    <w:t>19</w:t>
                  </w:r>
                </w:p>
              </w:tc>
              <w:tc>
                <w:tcPr>
                  <w:tcW w:w="341" w:type="pct"/>
                  <w:vMerge w:val="continue"/>
                  <w:tcBorders>
                    <w:tl2br w:val="nil"/>
                    <w:tr2bl w:val="nil"/>
                  </w:tcBorders>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411" w:type="pct"/>
                  <w:vMerge w:val="continue"/>
                  <w:tcBorders>
                    <w:tl2br w:val="nil"/>
                    <w:tr2bl w:val="nil"/>
                  </w:tcBorders>
                  <w:noWrap/>
                  <w:vAlign w:val="center"/>
                </w:tcPr>
                <w:p>
                  <w:pPr>
                    <w:pStyle w:val="54"/>
                    <w:spacing w:line="240" w:lineRule="auto"/>
                    <w:ind w:firstLine="0" w:firstLineChars="0"/>
                    <w:rPr>
                      <w:sz w:val="21"/>
                      <w:szCs w:val="21"/>
                    </w:rPr>
                  </w:pPr>
                </w:p>
              </w:tc>
              <w:tc>
                <w:tcPr>
                  <w:tcW w:w="461" w:type="pct"/>
                  <w:tcBorders>
                    <w:tl2br w:val="nil"/>
                    <w:tr2bl w:val="nil"/>
                  </w:tcBorders>
                  <w:noWrap/>
                  <w:vAlign w:val="center"/>
                </w:tcPr>
                <w:p>
                  <w:pPr>
                    <w:pStyle w:val="54"/>
                    <w:spacing w:line="240" w:lineRule="auto"/>
                    <w:ind w:firstLine="0" w:firstLineChars="0"/>
                    <w:rPr>
                      <w:sz w:val="21"/>
                      <w:szCs w:val="21"/>
                    </w:rPr>
                  </w:pPr>
                  <w:r>
                    <w:rPr>
                      <w:sz w:val="21"/>
                      <w:szCs w:val="21"/>
                    </w:rPr>
                    <w:t>BOD</w:t>
                  </w:r>
                  <w:r>
                    <w:rPr>
                      <w:sz w:val="21"/>
                      <w:szCs w:val="21"/>
                      <w:vertAlign w:val="subscript"/>
                    </w:rPr>
                    <w:t>5</w:t>
                  </w:r>
                </w:p>
              </w:tc>
              <w:tc>
                <w:tcPr>
                  <w:tcW w:w="273" w:type="pct"/>
                  <w:vMerge w:val="continue"/>
                  <w:tcBorders>
                    <w:tl2br w:val="nil"/>
                    <w:tr2bl w:val="nil"/>
                  </w:tcBorders>
                  <w:noWrap/>
                  <w:vAlign w:val="center"/>
                </w:tcPr>
                <w:p>
                  <w:pPr>
                    <w:pStyle w:val="54"/>
                    <w:spacing w:line="240" w:lineRule="auto"/>
                    <w:ind w:firstLine="0" w:firstLineChars="0"/>
                    <w:rPr>
                      <w:sz w:val="21"/>
                      <w:szCs w:val="21"/>
                    </w:rPr>
                  </w:pPr>
                </w:p>
              </w:tc>
              <w:tc>
                <w:tcPr>
                  <w:tcW w:w="391" w:type="pct"/>
                  <w:vMerge w:val="continue"/>
                  <w:tcBorders>
                    <w:tl2br w:val="nil"/>
                    <w:tr2bl w:val="nil"/>
                  </w:tcBorders>
                  <w:noWrap/>
                  <w:vAlign w:val="center"/>
                </w:tcPr>
                <w:p>
                  <w:pPr>
                    <w:pStyle w:val="54"/>
                    <w:spacing w:line="240" w:lineRule="auto"/>
                    <w:ind w:firstLine="0" w:firstLineChars="0"/>
                    <w:rPr>
                      <w:sz w:val="21"/>
                      <w:szCs w:val="21"/>
                    </w:rPr>
                  </w:pPr>
                </w:p>
              </w:tc>
              <w:tc>
                <w:tcPr>
                  <w:tcW w:w="401" w:type="pct"/>
                  <w:tcBorders>
                    <w:tl2br w:val="nil"/>
                    <w:tr2bl w:val="nil"/>
                  </w:tcBorders>
                  <w:noWrap/>
                  <w:vAlign w:val="center"/>
                </w:tcPr>
                <w:p>
                  <w:pPr>
                    <w:pStyle w:val="54"/>
                    <w:spacing w:line="240" w:lineRule="auto"/>
                    <w:ind w:firstLine="0" w:firstLineChars="0"/>
                    <w:rPr>
                      <w:sz w:val="21"/>
                      <w:szCs w:val="21"/>
                    </w:rPr>
                  </w:pPr>
                  <w:r>
                    <w:rPr>
                      <w:sz w:val="21"/>
                      <w:szCs w:val="21"/>
                    </w:rPr>
                    <w:t>150</w:t>
                  </w:r>
                </w:p>
              </w:tc>
              <w:tc>
                <w:tcPr>
                  <w:tcW w:w="472" w:type="pct"/>
                  <w:tcBorders>
                    <w:tl2br w:val="nil"/>
                    <w:tr2bl w:val="nil"/>
                  </w:tcBorders>
                  <w:noWrap/>
                  <w:vAlign w:val="center"/>
                </w:tcPr>
                <w:p>
                  <w:pPr>
                    <w:widowControl/>
                    <w:jc w:val="center"/>
                    <w:textAlignment w:val="center"/>
                    <w:rPr>
                      <w:szCs w:val="21"/>
                    </w:rPr>
                  </w:pPr>
                  <w:r>
                    <w:rPr>
                      <w:kern w:val="0"/>
                      <w:szCs w:val="21"/>
                    </w:rPr>
                    <w:t xml:space="preserve">0.187 </w:t>
                  </w:r>
                </w:p>
              </w:tc>
              <w:tc>
                <w:tcPr>
                  <w:tcW w:w="391" w:type="pct"/>
                  <w:vMerge w:val="continue"/>
                  <w:tcBorders>
                    <w:tl2br w:val="nil"/>
                    <w:tr2bl w:val="nil"/>
                  </w:tcBorders>
                  <w:noWrap/>
                  <w:vAlign w:val="center"/>
                </w:tcPr>
                <w:p>
                  <w:pPr>
                    <w:pStyle w:val="54"/>
                    <w:spacing w:line="240" w:lineRule="auto"/>
                    <w:ind w:firstLine="0" w:firstLineChars="0"/>
                    <w:rPr>
                      <w:sz w:val="21"/>
                      <w:szCs w:val="21"/>
                    </w:rPr>
                  </w:pPr>
                </w:p>
              </w:tc>
              <w:tc>
                <w:tcPr>
                  <w:tcW w:w="274" w:type="pct"/>
                  <w:tcBorders>
                    <w:tl2br w:val="nil"/>
                    <w:tr2bl w:val="nil"/>
                  </w:tcBorders>
                  <w:noWrap/>
                  <w:vAlign w:val="center"/>
                </w:tcPr>
                <w:p>
                  <w:pPr>
                    <w:pStyle w:val="54"/>
                    <w:spacing w:line="240" w:lineRule="auto"/>
                    <w:ind w:firstLine="0" w:firstLineChars="0"/>
                    <w:rPr>
                      <w:sz w:val="21"/>
                      <w:szCs w:val="21"/>
                    </w:rPr>
                  </w:pPr>
                  <w:r>
                    <w:rPr>
                      <w:rFonts w:hint="eastAsia"/>
                      <w:sz w:val="21"/>
                      <w:szCs w:val="21"/>
                    </w:rPr>
                    <w:t>40</w:t>
                  </w:r>
                </w:p>
              </w:tc>
              <w:tc>
                <w:tcPr>
                  <w:tcW w:w="304" w:type="pct"/>
                  <w:vMerge w:val="continue"/>
                  <w:tcBorders>
                    <w:tl2br w:val="nil"/>
                    <w:tr2bl w:val="nil"/>
                  </w:tcBorders>
                  <w:noWrap/>
                  <w:vAlign w:val="center"/>
                </w:tcPr>
                <w:p>
                  <w:pPr>
                    <w:pStyle w:val="54"/>
                    <w:spacing w:line="240" w:lineRule="auto"/>
                    <w:ind w:firstLine="0" w:firstLineChars="0"/>
                    <w:rPr>
                      <w:sz w:val="21"/>
                      <w:szCs w:val="21"/>
                    </w:rPr>
                  </w:pPr>
                </w:p>
              </w:tc>
              <w:tc>
                <w:tcPr>
                  <w:tcW w:w="372" w:type="pct"/>
                  <w:vMerge w:val="continue"/>
                  <w:tcBorders>
                    <w:tl2br w:val="nil"/>
                    <w:tr2bl w:val="nil"/>
                  </w:tcBorders>
                  <w:noWrap/>
                  <w:vAlign w:val="center"/>
                </w:tcPr>
                <w:p>
                  <w:pPr>
                    <w:pStyle w:val="54"/>
                    <w:spacing w:line="240" w:lineRule="auto"/>
                    <w:ind w:firstLine="0" w:firstLineChars="0"/>
                    <w:rPr>
                      <w:sz w:val="21"/>
                      <w:szCs w:val="21"/>
                    </w:rPr>
                  </w:pPr>
                </w:p>
              </w:tc>
              <w:tc>
                <w:tcPr>
                  <w:tcW w:w="411" w:type="pct"/>
                  <w:tcBorders>
                    <w:tl2br w:val="nil"/>
                    <w:tr2bl w:val="nil"/>
                  </w:tcBorders>
                  <w:noWrap/>
                  <w:vAlign w:val="center"/>
                </w:tcPr>
                <w:p>
                  <w:pPr>
                    <w:widowControl/>
                    <w:jc w:val="center"/>
                    <w:textAlignment w:val="center"/>
                    <w:rPr>
                      <w:szCs w:val="21"/>
                    </w:rPr>
                  </w:pPr>
                  <w:r>
                    <w:rPr>
                      <w:kern w:val="0"/>
                      <w:szCs w:val="21"/>
                    </w:rPr>
                    <w:t>90</w:t>
                  </w:r>
                </w:p>
              </w:tc>
              <w:tc>
                <w:tcPr>
                  <w:tcW w:w="491" w:type="pct"/>
                  <w:tcBorders>
                    <w:tl2br w:val="nil"/>
                    <w:tr2bl w:val="nil"/>
                  </w:tcBorders>
                  <w:noWrap/>
                  <w:vAlign w:val="center"/>
                </w:tcPr>
                <w:p>
                  <w:pPr>
                    <w:widowControl/>
                    <w:jc w:val="center"/>
                    <w:textAlignment w:val="center"/>
                    <w:rPr>
                      <w:szCs w:val="21"/>
                    </w:rPr>
                  </w:pPr>
                  <w:r>
                    <w:rPr>
                      <w:kern w:val="0"/>
                      <w:szCs w:val="21"/>
                    </w:rPr>
                    <w:t xml:space="preserve">0.112 </w:t>
                  </w:r>
                </w:p>
              </w:tc>
              <w:tc>
                <w:tcPr>
                  <w:tcW w:w="341" w:type="pct"/>
                  <w:vMerge w:val="continue"/>
                  <w:tcBorders>
                    <w:tl2br w:val="nil"/>
                    <w:tr2bl w:val="nil"/>
                  </w:tcBorders>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411" w:type="pct"/>
                  <w:vMerge w:val="continue"/>
                  <w:tcBorders>
                    <w:tl2br w:val="nil"/>
                    <w:tr2bl w:val="nil"/>
                  </w:tcBorders>
                  <w:noWrap/>
                  <w:vAlign w:val="center"/>
                </w:tcPr>
                <w:p>
                  <w:pPr>
                    <w:pStyle w:val="54"/>
                    <w:spacing w:line="240" w:lineRule="auto"/>
                    <w:ind w:firstLine="0" w:firstLineChars="0"/>
                    <w:rPr>
                      <w:sz w:val="21"/>
                      <w:szCs w:val="21"/>
                    </w:rPr>
                  </w:pPr>
                </w:p>
              </w:tc>
              <w:tc>
                <w:tcPr>
                  <w:tcW w:w="461" w:type="pct"/>
                  <w:tcBorders>
                    <w:tl2br w:val="nil"/>
                    <w:tr2bl w:val="nil"/>
                  </w:tcBorders>
                  <w:noWrap/>
                  <w:vAlign w:val="center"/>
                </w:tcPr>
                <w:p>
                  <w:pPr>
                    <w:pStyle w:val="54"/>
                    <w:spacing w:line="240" w:lineRule="auto"/>
                    <w:ind w:firstLine="0" w:firstLineChars="0"/>
                    <w:rPr>
                      <w:sz w:val="21"/>
                      <w:szCs w:val="21"/>
                    </w:rPr>
                  </w:pPr>
                  <w:r>
                    <w:rPr>
                      <w:sz w:val="21"/>
                      <w:szCs w:val="21"/>
                    </w:rPr>
                    <w:t>SS</w:t>
                  </w:r>
                </w:p>
              </w:tc>
              <w:tc>
                <w:tcPr>
                  <w:tcW w:w="273" w:type="pct"/>
                  <w:vMerge w:val="continue"/>
                  <w:tcBorders>
                    <w:tl2br w:val="nil"/>
                    <w:tr2bl w:val="nil"/>
                  </w:tcBorders>
                  <w:noWrap/>
                  <w:vAlign w:val="center"/>
                </w:tcPr>
                <w:p>
                  <w:pPr>
                    <w:pStyle w:val="54"/>
                    <w:spacing w:line="240" w:lineRule="auto"/>
                    <w:ind w:firstLine="0" w:firstLineChars="0"/>
                    <w:rPr>
                      <w:sz w:val="21"/>
                      <w:szCs w:val="21"/>
                    </w:rPr>
                  </w:pPr>
                </w:p>
              </w:tc>
              <w:tc>
                <w:tcPr>
                  <w:tcW w:w="391" w:type="pct"/>
                  <w:vMerge w:val="continue"/>
                  <w:tcBorders>
                    <w:tl2br w:val="nil"/>
                    <w:tr2bl w:val="nil"/>
                  </w:tcBorders>
                  <w:noWrap/>
                  <w:vAlign w:val="center"/>
                </w:tcPr>
                <w:p>
                  <w:pPr>
                    <w:pStyle w:val="54"/>
                    <w:spacing w:line="240" w:lineRule="auto"/>
                    <w:ind w:firstLine="0" w:firstLineChars="0"/>
                    <w:rPr>
                      <w:sz w:val="21"/>
                      <w:szCs w:val="21"/>
                    </w:rPr>
                  </w:pPr>
                </w:p>
              </w:tc>
              <w:tc>
                <w:tcPr>
                  <w:tcW w:w="401" w:type="pct"/>
                  <w:tcBorders>
                    <w:tl2br w:val="nil"/>
                    <w:tr2bl w:val="nil"/>
                  </w:tcBorders>
                  <w:noWrap/>
                  <w:vAlign w:val="center"/>
                </w:tcPr>
                <w:p>
                  <w:pPr>
                    <w:pStyle w:val="54"/>
                    <w:spacing w:line="240" w:lineRule="auto"/>
                    <w:ind w:firstLine="0" w:firstLineChars="0"/>
                    <w:rPr>
                      <w:sz w:val="21"/>
                      <w:szCs w:val="21"/>
                    </w:rPr>
                  </w:pPr>
                  <w:r>
                    <w:rPr>
                      <w:rFonts w:hint="eastAsia"/>
                      <w:sz w:val="21"/>
                      <w:szCs w:val="21"/>
                    </w:rPr>
                    <w:t>200</w:t>
                  </w:r>
                </w:p>
              </w:tc>
              <w:tc>
                <w:tcPr>
                  <w:tcW w:w="472" w:type="pct"/>
                  <w:tcBorders>
                    <w:tl2br w:val="nil"/>
                    <w:tr2bl w:val="nil"/>
                  </w:tcBorders>
                  <w:noWrap/>
                  <w:vAlign w:val="center"/>
                </w:tcPr>
                <w:p>
                  <w:pPr>
                    <w:widowControl/>
                    <w:jc w:val="center"/>
                    <w:textAlignment w:val="center"/>
                    <w:rPr>
                      <w:szCs w:val="21"/>
                    </w:rPr>
                  </w:pPr>
                  <w:r>
                    <w:rPr>
                      <w:kern w:val="0"/>
                      <w:szCs w:val="21"/>
                    </w:rPr>
                    <w:t xml:space="preserve">0.150 </w:t>
                  </w:r>
                </w:p>
              </w:tc>
              <w:tc>
                <w:tcPr>
                  <w:tcW w:w="391" w:type="pct"/>
                  <w:vMerge w:val="continue"/>
                  <w:tcBorders>
                    <w:tl2br w:val="nil"/>
                    <w:tr2bl w:val="nil"/>
                  </w:tcBorders>
                  <w:noWrap/>
                  <w:vAlign w:val="center"/>
                </w:tcPr>
                <w:p>
                  <w:pPr>
                    <w:pStyle w:val="54"/>
                    <w:spacing w:line="240" w:lineRule="auto"/>
                    <w:ind w:firstLine="0" w:firstLineChars="0"/>
                    <w:rPr>
                      <w:sz w:val="21"/>
                      <w:szCs w:val="21"/>
                    </w:rPr>
                  </w:pPr>
                </w:p>
              </w:tc>
              <w:tc>
                <w:tcPr>
                  <w:tcW w:w="274" w:type="pct"/>
                  <w:tcBorders>
                    <w:tl2br w:val="nil"/>
                    <w:tr2bl w:val="nil"/>
                  </w:tcBorders>
                  <w:noWrap/>
                  <w:vAlign w:val="center"/>
                </w:tcPr>
                <w:p>
                  <w:pPr>
                    <w:pStyle w:val="54"/>
                    <w:spacing w:line="240" w:lineRule="auto"/>
                    <w:ind w:firstLine="0" w:firstLineChars="0"/>
                    <w:rPr>
                      <w:sz w:val="21"/>
                      <w:szCs w:val="21"/>
                    </w:rPr>
                  </w:pPr>
                  <w:r>
                    <w:rPr>
                      <w:sz w:val="21"/>
                      <w:szCs w:val="21"/>
                    </w:rPr>
                    <w:t>8</w:t>
                  </w:r>
                  <w:r>
                    <w:rPr>
                      <w:rFonts w:hint="eastAsia"/>
                      <w:sz w:val="21"/>
                      <w:szCs w:val="21"/>
                    </w:rPr>
                    <w:t>5</w:t>
                  </w:r>
                </w:p>
              </w:tc>
              <w:tc>
                <w:tcPr>
                  <w:tcW w:w="304" w:type="pct"/>
                  <w:vMerge w:val="continue"/>
                  <w:tcBorders>
                    <w:tl2br w:val="nil"/>
                    <w:tr2bl w:val="nil"/>
                  </w:tcBorders>
                  <w:noWrap/>
                  <w:vAlign w:val="center"/>
                </w:tcPr>
                <w:p>
                  <w:pPr>
                    <w:pStyle w:val="54"/>
                    <w:spacing w:line="240" w:lineRule="auto"/>
                    <w:ind w:firstLine="0" w:firstLineChars="0"/>
                    <w:rPr>
                      <w:sz w:val="21"/>
                      <w:szCs w:val="21"/>
                    </w:rPr>
                  </w:pPr>
                </w:p>
              </w:tc>
              <w:tc>
                <w:tcPr>
                  <w:tcW w:w="372" w:type="pct"/>
                  <w:vMerge w:val="continue"/>
                  <w:tcBorders>
                    <w:tl2br w:val="nil"/>
                    <w:tr2bl w:val="nil"/>
                  </w:tcBorders>
                  <w:noWrap/>
                  <w:vAlign w:val="center"/>
                </w:tcPr>
                <w:p>
                  <w:pPr>
                    <w:pStyle w:val="54"/>
                    <w:spacing w:line="240" w:lineRule="auto"/>
                    <w:ind w:firstLine="0" w:firstLineChars="0"/>
                    <w:rPr>
                      <w:sz w:val="21"/>
                      <w:szCs w:val="21"/>
                    </w:rPr>
                  </w:pPr>
                </w:p>
              </w:tc>
              <w:tc>
                <w:tcPr>
                  <w:tcW w:w="411" w:type="pct"/>
                  <w:tcBorders>
                    <w:tl2br w:val="nil"/>
                    <w:tr2bl w:val="nil"/>
                  </w:tcBorders>
                  <w:noWrap/>
                  <w:vAlign w:val="center"/>
                </w:tcPr>
                <w:p>
                  <w:pPr>
                    <w:widowControl/>
                    <w:jc w:val="center"/>
                    <w:textAlignment w:val="center"/>
                    <w:rPr>
                      <w:szCs w:val="21"/>
                    </w:rPr>
                  </w:pPr>
                  <w:r>
                    <w:rPr>
                      <w:rFonts w:hint="eastAsia"/>
                      <w:kern w:val="0"/>
                      <w:szCs w:val="21"/>
                    </w:rPr>
                    <w:t>30</w:t>
                  </w:r>
                </w:p>
              </w:tc>
              <w:tc>
                <w:tcPr>
                  <w:tcW w:w="491" w:type="pct"/>
                  <w:tcBorders>
                    <w:tl2br w:val="nil"/>
                    <w:tr2bl w:val="nil"/>
                  </w:tcBorders>
                  <w:noWrap/>
                  <w:vAlign w:val="center"/>
                </w:tcPr>
                <w:p>
                  <w:pPr>
                    <w:widowControl/>
                    <w:jc w:val="center"/>
                    <w:textAlignment w:val="center"/>
                    <w:rPr>
                      <w:szCs w:val="21"/>
                    </w:rPr>
                  </w:pPr>
                  <w:r>
                    <w:rPr>
                      <w:kern w:val="0"/>
                      <w:szCs w:val="21"/>
                    </w:rPr>
                    <w:t xml:space="preserve">0.030 </w:t>
                  </w:r>
                </w:p>
              </w:tc>
              <w:tc>
                <w:tcPr>
                  <w:tcW w:w="341" w:type="pct"/>
                  <w:vMerge w:val="continue"/>
                  <w:tcBorders>
                    <w:tl2br w:val="nil"/>
                    <w:tr2bl w:val="nil"/>
                  </w:tcBorders>
                  <w:noWrap/>
                  <w:vAlign w:val="center"/>
                </w:tcPr>
                <w:p>
                  <w:pPr>
                    <w:pStyle w:val="54"/>
                    <w:spacing w:line="240" w:lineRule="auto"/>
                    <w:ind w:firstLine="0" w:firstLineChars="0"/>
                    <w:rPr>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5000" w:type="pct"/>
                  <w:gridSpan w:val="13"/>
                  <w:tcBorders>
                    <w:tl2br w:val="nil"/>
                    <w:tr2bl w:val="nil"/>
                  </w:tcBorders>
                  <w:noWrap/>
                  <w:vAlign w:val="center"/>
                </w:tcPr>
                <w:p>
                  <w:pPr>
                    <w:pStyle w:val="54"/>
                    <w:spacing w:line="240" w:lineRule="auto"/>
                    <w:ind w:firstLine="0" w:firstLineChars="0"/>
                    <w:jc w:val="left"/>
                    <w:rPr>
                      <w:sz w:val="21"/>
                      <w:szCs w:val="21"/>
                    </w:rPr>
                  </w:pPr>
                  <w:r>
                    <w:rPr>
                      <w:sz w:val="21"/>
                      <w:szCs w:val="21"/>
                    </w:rPr>
                    <w:t>核算方法说明：</w:t>
                  </w:r>
                </w:p>
                <w:p>
                  <w:pPr>
                    <w:pStyle w:val="54"/>
                    <w:spacing w:line="240" w:lineRule="auto"/>
                    <w:ind w:firstLine="0" w:firstLineChars="0"/>
                    <w:jc w:val="left"/>
                    <w:rPr>
                      <w:sz w:val="21"/>
                      <w:szCs w:val="21"/>
                    </w:rPr>
                  </w:pPr>
                  <w:r>
                    <w:rPr>
                      <w:rFonts w:hint="eastAsia"/>
                      <w:sz w:val="21"/>
                      <w:szCs w:val="21"/>
                    </w:rPr>
                    <w:t>（1）</w:t>
                  </w:r>
                  <w:r>
                    <w:rPr>
                      <w:sz w:val="21"/>
                      <w:szCs w:val="21"/>
                    </w:rPr>
                    <w:t>产生废水量</w:t>
                  </w:r>
                  <w:r>
                    <w:rPr>
                      <w:rFonts w:hint="eastAsia"/>
                      <w:sz w:val="21"/>
                      <w:szCs w:val="21"/>
                    </w:rPr>
                    <w:t>详见本项目水平衡；</w:t>
                  </w:r>
                </w:p>
                <w:p>
                  <w:pPr>
                    <w:pStyle w:val="54"/>
                    <w:numPr>
                      <w:ilvl w:val="0"/>
                      <w:numId w:val="4"/>
                    </w:numPr>
                    <w:spacing w:line="240" w:lineRule="auto"/>
                    <w:ind w:firstLine="0" w:firstLineChars="0"/>
                    <w:jc w:val="left"/>
                    <w:rPr>
                      <w:sz w:val="21"/>
                      <w:szCs w:val="21"/>
                    </w:rPr>
                  </w:pPr>
                  <w:r>
                    <w:rPr>
                      <w:sz w:val="21"/>
                      <w:szCs w:val="21"/>
                    </w:rPr>
                    <w:t>污染物产生浓度取《医院污水处理工程技术规范》（HJ2029-2013）中的水质浓度取值，治理措施</w:t>
                  </w:r>
                  <w:r>
                    <w:rPr>
                      <w:rFonts w:hint="eastAsia"/>
                      <w:sz w:val="21"/>
                      <w:szCs w:val="21"/>
                    </w:rPr>
                    <w:t>处理效率类比同类设施处理效率。</w:t>
                  </w:r>
                </w:p>
              </w:tc>
            </w:tr>
          </w:tbl>
          <w:p>
            <w:pPr>
              <w:pStyle w:val="32"/>
              <w:keepNext w:val="0"/>
              <w:keepLines w:val="0"/>
              <w:pageBreakBefore w:val="0"/>
              <w:widowControl/>
              <w:kinsoku/>
              <w:wordWrap/>
              <w:overflowPunct/>
              <w:topLinePunct w:val="0"/>
              <w:autoSpaceDE/>
              <w:autoSpaceDN/>
              <w:bidi w:val="0"/>
              <w:adjustRightInd/>
              <w:snapToGrid/>
              <w:ind w:left="0"/>
              <w:textAlignment w:val="auto"/>
              <w:rPr>
                <w:lang w:val="zh-CN"/>
              </w:rPr>
            </w:pPr>
            <w:r>
              <w:rPr>
                <w:lang w:val="zh-CN"/>
              </w:rPr>
              <w:t xml:space="preserve">  废水类别、污染物及污染治理设施信息表</w:t>
            </w:r>
          </w:p>
          <w:tbl>
            <w:tblPr>
              <w:tblStyle w:val="26"/>
              <w:tblW w:w="4999"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410"/>
              <w:gridCol w:w="818"/>
              <w:gridCol w:w="650"/>
              <w:gridCol w:w="521"/>
              <w:gridCol w:w="907"/>
              <w:gridCol w:w="662"/>
              <w:gridCol w:w="793"/>
              <w:gridCol w:w="623"/>
              <w:gridCol w:w="649"/>
              <w:gridCol w:w="902"/>
              <w:gridCol w:w="155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32" w:hRule="atLeast"/>
              </w:trPr>
              <w:tc>
                <w:tcPr>
                  <w:tcW w:w="241" w:type="pct"/>
                  <w:vMerge w:val="restart"/>
                  <w:noWrap/>
                  <w:vAlign w:val="center"/>
                </w:tcPr>
                <w:p>
                  <w:pPr>
                    <w:jc w:val="center"/>
                    <w:rPr>
                      <w:szCs w:val="21"/>
                    </w:rPr>
                  </w:pPr>
                  <w:r>
                    <w:rPr>
                      <w:szCs w:val="21"/>
                    </w:rPr>
                    <w:t>序号</w:t>
                  </w:r>
                </w:p>
              </w:tc>
              <w:tc>
                <w:tcPr>
                  <w:tcW w:w="481" w:type="pct"/>
                  <w:vMerge w:val="restart"/>
                  <w:noWrap/>
                  <w:vAlign w:val="center"/>
                </w:tcPr>
                <w:p>
                  <w:pPr>
                    <w:jc w:val="center"/>
                    <w:rPr>
                      <w:szCs w:val="21"/>
                    </w:rPr>
                  </w:pPr>
                  <w:r>
                    <w:rPr>
                      <w:szCs w:val="21"/>
                    </w:rPr>
                    <w:t>废水类别</w:t>
                  </w:r>
                </w:p>
              </w:tc>
              <w:tc>
                <w:tcPr>
                  <w:tcW w:w="382" w:type="pct"/>
                  <w:vMerge w:val="restart"/>
                  <w:noWrap/>
                  <w:vAlign w:val="center"/>
                </w:tcPr>
                <w:p>
                  <w:pPr>
                    <w:jc w:val="center"/>
                    <w:rPr>
                      <w:szCs w:val="21"/>
                    </w:rPr>
                  </w:pPr>
                  <w:r>
                    <w:rPr>
                      <w:szCs w:val="21"/>
                    </w:rPr>
                    <w:t>污染物种类</w:t>
                  </w:r>
                </w:p>
              </w:tc>
              <w:tc>
                <w:tcPr>
                  <w:tcW w:w="307" w:type="pct"/>
                  <w:vMerge w:val="restart"/>
                  <w:noWrap/>
                  <w:vAlign w:val="center"/>
                </w:tcPr>
                <w:p>
                  <w:pPr>
                    <w:jc w:val="center"/>
                    <w:rPr>
                      <w:szCs w:val="21"/>
                    </w:rPr>
                  </w:pPr>
                  <w:r>
                    <w:rPr>
                      <w:szCs w:val="21"/>
                    </w:rPr>
                    <w:t>排放去向</w:t>
                  </w:r>
                </w:p>
              </w:tc>
              <w:tc>
                <w:tcPr>
                  <w:tcW w:w="533" w:type="pct"/>
                  <w:vMerge w:val="restart"/>
                  <w:noWrap/>
                  <w:vAlign w:val="center"/>
                </w:tcPr>
                <w:p>
                  <w:pPr>
                    <w:jc w:val="center"/>
                    <w:rPr>
                      <w:szCs w:val="21"/>
                    </w:rPr>
                  </w:pPr>
                  <w:r>
                    <w:rPr>
                      <w:szCs w:val="21"/>
                    </w:rPr>
                    <w:t>排放规律</w:t>
                  </w:r>
                </w:p>
              </w:tc>
              <w:tc>
                <w:tcPr>
                  <w:tcW w:w="1224" w:type="pct"/>
                  <w:gridSpan w:val="3"/>
                  <w:noWrap/>
                  <w:vAlign w:val="center"/>
                </w:tcPr>
                <w:p>
                  <w:pPr>
                    <w:jc w:val="center"/>
                    <w:rPr>
                      <w:szCs w:val="21"/>
                    </w:rPr>
                  </w:pPr>
                  <w:r>
                    <w:rPr>
                      <w:szCs w:val="21"/>
                    </w:rPr>
                    <w:t>污染治理设施</w:t>
                  </w:r>
                </w:p>
              </w:tc>
              <w:tc>
                <w:tcPr>
                  <w:tcW w:w="382" w:type="pct"/>
                  <w:vMerge w:val="restart"/>
                  <w:noWrap/>
                  <w:vAlign w:val="center"/>
                </w:tcPr>
                <w:p>
                  <w:pPr>
                    <w:jc w:val="center"/>
                    <w:rPr>
                      <w:szCs w:val="21"/>
                    </w:rPr>
                  </w:pPr>
                  <w:r>
                    <w:rPr>
                      <w:szCs w:val="21"/>
                    </w:rPr>
                    <w:t>排放口编号</w:t>
                  </w:r>
                </w:p>
              </w:tc>
              <w:tc>
                <w:tcPr>
                  <w:tcW w:w="530" w:type="pct"/>
                  <w:vMerge w:val="restart"/>
                  <w:noWrap/>
                  <w:vAlign w:val="center"/>
                </w:tcPr>
                <w:p>
                  <w:pPr>
                    <w:jc w:val="center"/>
                    <w:rPr>
                      <w:szCs w:val="21"/>
                    </w:rPr>
                  </w:pPr>
                  <w:r>
                    <w:rPr>
                      <w:szCs w:val="21"/>
                    </w:rPr>
                    <w:t>排放口设置是否符合要求</w:t>
                  </w:r>
                </w:p>
              </w:tc>
              <w:tc>
                <w:tcPr>
                  <w:tcW w:w="915" w:type="pct"/>
                  <w:vMerge w:val="restart"/>
                  <w:noWrap/>
                  <w:vAlign w:val="center"/>
                </w:tcPr>
                <w:p>
                  <w:pPr>
                    <w:jc w:val="center"/>
                    <w:rPr>
                      <w:szCs w:val="21"/>
                    </w:rPr>
                  </w:pPr>
                  <w:r>
                    <w:rPr>
                      <w:szCs w:val="21"/>
                    </w:rPr>
                    <w:t>排放口类型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69" w:hRule="atLeast"/>
              </w:trPr>
              <w:tc>
                <w:tcPr>
                  <w:tcW w:w="241" w:type="pct"/>
                  <w:vMerge w:val="continue"/>
                  <w:noWrap/>
                  <w:vAlign w:val="center"/>
                </w:tcPr>
                <w:p>
                  <w:pPr>
                    <w:jc w:val="center"/>
                    <w:rPr>
                      <w:szCs w:val="21"/>
                    </w:rPr>
                  </w:pPr>
                </w:p>
              </w:tc>
              <w:tc>
                <w:tcPr>
                  <w:tcW w:w="481" w:type="pct"/>
                  <w:vMerge w:val="continue"/>
                  <w:noWrap/>
                  <w:vAlign w:val="center"/>
                </w:tcPr>
                <w:p>
                  <w:pPr>
                    <w:jc w:val="center"/>
                    <w:rPr>
                      <w:szCs w:val="21"/>
                    </w:rPr>
                  </w:pPr>
                </w:p>
              </w:tc>
              <w:tc>
                <w:tcPr>
                  <w:tcW w:w="382" w:type="pct"/>
                  <w:vMerge w:val="continue"/>
                  <w:noWrap/>
                  <w:vAlign w:val="center"/>
                </w:tcPr>
                <w:p>
                  <w:pPr>
                    <w:jc w:val="center"/>
                    <w:rPr>
                      <w:szCs w:val="21"/>
                    </w:rPr>
                  </w:pPr>
                </w:p>
              </w:tc>
              <w:tc>
                <w:tcPr>
                  <w:tcW w:w="307" w:type="pct"/>
                  <w:vMerge w:val="continue"/>
                  <w:noWrap/>
                  <w:vAlign w:val="center"/>
                </w:tcPr>
                <w:p>
                  <w:pPr>
                    <w:jc w:val="center"/>
                    <w:rPr>
                      <w:szCs w:val="21"/>
                    </w:rPr>
                  </w:pPr>
                </w:p>
              </w:tc>
              <w:tc>
                <w:tcPr>
                  <w:tcW w:w="533" w:type="pct"/>
                  <w:vMerge w:val="continue"/>
                  <w:noWrap/>
                  <w:vAlign w:val="center"/>
                </w:tcPr>
                <w:p>
                  <w:pPr>
                    <w:jc w:val="center"/>
                    <w:rPr>
                      <w:szCs w:val="21"/>
                    </w:rPr>
                  </w:pPr>
                </w:p>
              </w:tc>
              <w:tc>
                <w:tcPr>
                  <w:tcW w:w="390" w:type="pct"/>
                  <w:noWrap/>
                  <w:vAlign w:val="center"/>
                </w:tcPr>
                <w:p>
                  <w:pPr>
                    <w:jc w:val="center"/>
                    <w:rPr>
                      <w:szCs w:val="21"/>
                    </w:rPr>
                  </w:pPr>
                  <w:r>
                    <w:rPr>
                      <w:szCs w:val="21"/>
                    </w:rPr>
                    <w:t>污染治理设施编号</w:t>
                  </w:r>
                </w:p>
              </w:tc>
              <w:tc>
                <w:tcPr>
                  <w:tcW w:w="467" w:type="pct"/>
                  <w:noWrap/>
                  <w:vAlign w:val="center"/>
                </w:tcPr>
                <w:p>
                  <w:pPr>
                    <w:jc w:val="center"/>
                    <w:rPr>
                      <w:szCs w:val="21"/>
                    </w:rPr>
                  </w:pPr>
                  <w:r>
                    <w:rPr>
                      <w:szCs w:val="21"/>
                    </w:rPr>
                    <w:t>污染治理设施名称</w:t>
                  </w:r>
                </w:p>
              </w:tc>
              <w:tc>
                <w:tcPr>
                  <w:tcW w:w="366" w:type="pct"/>
                  <w:noWrap/>
                  <w:vAlign w:val="center"/>
                </w:tcPr>
                <w:p>
                  <w:pPr>
                    <w:jc w:val="center"/>
                    <w:rPr>
                      <w:szCs w:val="21"/>
                    </w:rPr>
                  </w:pPr>
                  <w:r>
                    <w:rPr>
                      <w:szCs w:val="21"/>
                    </w:rPr>
                    <w:t>污染治理设施工艺</w:t>
                  </w:r>
                </w:p>
              </w:tc>
              <w:tc>
                <w:tcPr>
                  <w:tcW w:w="382" w:type="pct"/>
                  <w:vMerge w:val="continue"/>
                  <w:noWrap/>
                  <w:vAlign w:val="center"/>
                </w:tcPr>
                <w:p>
                  <w:pPr>
                    <w:jc w:val="center"/>
                    <w:rPr>
                      <w:szCs w:val="21"/>
                    </w:rPr>
                  </w:pPr>
                </w:p>
              </w:tc>
              <w:tc>
                <w:tcPr>
                  <w:tcW w:w="530" w:type="pct"/>
                  <w:vMerge w:val="continue"/>
                  <w:noWrap/>
                  <w:vAlign w:val="center"/>
                </w:tcPr>
                <w:p>
                  <w:pPr>
                    <w:jc w:val="center"/>
                    <w:rPr>
                      <w:szCs w:val="21"/>
                    </w:rPr>
                  </w:pPr>
                </w:p>
              </w:tc>
              <w:tc>
                <w:tcPr>
                  <w:tcW w:w="915" w:type="pct"/>
                  <w:vMerge w:val="continue"/>
                  <w:noWrap/>
                  <w:vAlign w:val="center"/>
                </w:tcPr>
                <w:p>
                  <w:pPr>
                    <w:jc w:val="center"/>
                    <w:rPr>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3" w:hRule="atLeast"/>
              </w:trPr>
              <w:tc>
                <w:tcPr>
                  <w:tcW w:w="241" w:type="pct"/>
                  <w:noWrap/>
                  <w:vAlign w:val="center"/>
                </w:tcPr>
                <w:p>
                  <w:pPr>
                    <w:jc w:val="center"/>
                    <w:rPr>
                      <w:szCs w:val="21"/>
                    </w:rPr>
                  </w:pPr>
                  <w:r>
                    <w:rPr>
                      <w:szCs w:val="21"/>
                    </w:rPr>
                    <w:t>1</w:t>
                  </w:r>
                </w:p>
              </w:tc>
              <w:tc>
                <w:tcPr>
                  <w:tcW w:w="481" w:type="pct"/>
                  <w:noWrap/>
                  <w:vAlign w:val="center"/>
                </w:tcPr>
                <w:p>
                  <w:pPr>
                    <w:jc w:val="center"/>
                    <w:rPr>
                      <w:szCs w:val="21"/>
                    </w:rPr>
                  </w:pPr>
                  <w:r>
                    <w:rPr>
                      <w:rFonts w:hint="eastAsia"/>
                      <w:szCs w:val="21"/>
                    </w:rPr>
                    <w:t>核酸检测基地废水</w:t>
                  </w:r>
                </w:p>
              </w:tc>
              <w:tc>
                <w:tcPr>
                  <w:tcW w:w="382" w:type="pct"/>
                  <w:noWrap/>
                  <w:vAlign w:val="center"/>
                </w:tcPr>
                <w:p>
                  <w:pPr>
                    <w:jc w:val="center"/>
                    <w:rPr>
                      <w:szCs w:val="21"/>
                    </w:rPr>
                  </w:pPr>
                  <w:r>
                    <w:rPr>
                      <w:szCs w:val="21"/>
                    </w:rPr>
                    <w:t>COD、氨氮</w:t>
                  </w:r>
                </w:p>
              </w:tc>
              <w:tc>
                <w:tcPr>
                  <w:tcW w:w="307" w:type="pct"/>
                  <w:noWrap/>
                  <w:vAlign w:val="center"/>
                </w:tcPr>
                <w:p>
                  <w:pPr>
                    <w:jc w:val="center"/>
                    <w:rPr>
                      <w:szCs w:val="21"/>
                    </w:rPr>
                  </w:pPr>
                  <w:r>
                    <w:rPr>
                      <w:szCs w:val="21"/>
                    </w:rPr>
                    <w:t>进入城市污水处理厂</w:t>
                  </w:r>
                </w:p>
              </w:tc>
              <w:tc>
                <w:tcPr>
                  <w:tcW w:w="533" w:type="pct"/>
                  <w:noWrap/>
                  <w:vAlign w:val="center"/>
                </w:tcPr>
                <w:p>
                  <w:pPr>
                    <w:jc w:val="center"/>
                    <w:rPr>
                      <w:szCs w:val="21"/>
                    </w:rPr>
                  </w:pPr>
                  <w:r>
                    <w:rPr>
                      <w:szCs w:val="21"/>
                    </w:rPr>
                    <w:t>间断排放，排放期间流量不稳定，但有周期性规律</w:t>
                  </w:r>
                </w:p>
              </w:tc>
              <w:tc>
                <w:tcPr>
                  <w:tcW w:w="390" w:type="pct"/>
                  <w:noWrap/>
                  <w:vAlign w:val="center"/>
                </w:tcPr>
                <w:p>
                  <w:pPr>
                    <w:jc w:val="center"/>
                    <w:rPr>
                      <w:szCs w:val="21"/>
                    </w:rPr>
                  </w:pPr>
                  <w:r>
                    <w:rPr>
                      <w:rFonts w:hint="eastAsia"/>
                      <w:szCs w:val="21"/>
                    </w:rPr>
                    <w:t>/</w:t>
                  </w:r>
                </w:p>
              </w:tc>
              <w:tc>
                <w:tcPr>
                  <w:tcW w:w="467" w:type="pct"/>
                  <w:noWrap/>
                  <w:vAlign w:val="center"/>
                </w:tcPr>
                <w:p>
                  <w:pPr>
                    <w:jc w:val="center"/>
                    <w:rPr>
                      <w:szCs w:val="21"/>
                    </w:rPr>
                  </w:pPr>
                  <w:r>
                    <w:rPr>
                      <w:rFonts w:hint="eastAsia"/>
                      <w:szCs w:val="21"/>
                    </w:rPr>
                    <w:t>污水处理间</w:t>
                  </w:r>
                </w:p>
              </w:tc>
              <w:tc>
                <w:tcPr>
                  <w:tcW w:w="366" w:type="pct"/>
                  <w:noWrap/>
                  <w:vAlign w:val="center"/>
                </w:tcPr>
                <w:p>
                  <w:pPr>
                    <w:jc w:val="center"/>
                    <w:rPr>
                      <w:szCs w:val="21"/>
                    </w:rPr>
                  </w:pPr>
                  <w:r>
                    <w:rPr>
                      <w:rFonts w:hint="eastAsia"/>
                      <w:szCs w:val="21"/>
                    </w:rPr>
                    <w:t>混凝沉淀+二氧化氯消毒</w:t>
                  </w:r>
                </w:p>
              </w:tc>
              <w:tc>
                <w:tcPr>
                  <w:tcW w:w="382" w:type="pct"/>
                  <w:noWrap/>
                  <w:vAlign w:val="center"/>
                </w:tcPr>
                <w:p>
                  <w:pPr>
                    <w:jc w:val="center"/>
                    <w:rPr>
                      <w:szCs w:val="21"/>
                    </w:rPr>
                  </w:pPr>
                  <w:r>
                    <w:rPr>
                      <w:szCs w:val="21"/>
                    </w:rPr>
                    <w:t>DW001</w:t>
                  </w:r>
                </w:p>
              </w:tc>
              <w:tc>
                <w:tcPr>
                  <w:tcW w:w="530" w:type="pct"/>
                  <w:noWrap/>
                  <w:vAlign w:val="center"/>
                </w:tcPr>
                <w:p>
                  <w:pPr>
                    <w:jc w:val="center"/>
                    <w:rPr>
                      <w:szCs w:val="21"/>
                    </w:rPr>
                  </w:pPr>
                  <w:r>
                    <w:rPr>
                      <w:szCs w:val="21"/>
                    </w:rPr>
                    <w:t>是</w:t>
                  </w:r>
                  <w:r>
                    <w:rPr>
                      <w:rFonts w:ascii="Segoe UI Symbol" w:hAnsi="Segoe UI Symbol" w:eastAsia="MS Gothic" w:cs="Segoe UI Symbol"/>
                      <w:bCs/>
                      <w:kern w:val="0"/>
                      <w:szCs w:val="21"/>
                    </w:rPr>
                    <w:t>☑</w:t>
                  </w:r>
                </w:p>
                <w:p>
                  <w:pPr>
                    <w:jc w:val="center"/>
                    <w:rPr>
                      <w:szCs w:val="21"/>
                    </w:rPr>
                  </w:pPr>
                  <w:r>
                    <w:rPr>
                      <w:szCs w:val="21"/>
                    </w:rPr>
                    <w:t>否□</w:t>
                  </w:r>
                </w:p>
              </w:tc>
              <w:tc>
                <w:tcPr>
                  <w:tcW w:w="915" w:type="pct"/>
                  <w:noWrap/>
                  <w:vAlign w:val="center"/>
                </w:tcPr>
                <w:p>
                  <w:pPr>
                    <w:jc w:val="center"/>
                    <w:rPr>
                      <w:bCs/>
                      <w:kern w:val="0"/>
                      <w:szCs w:val="21"/>
                    </w:rPr>
                  </w:pPr>
                  <w:r>
                    <w:rPr>
                      <w:rFonts w:ascii="Segoe UI Symbol" w:hAnsi="Segoe UI Symbol" w:eastAsia="MS Gothic" w:cs="Segoe UI Symbol"/>
                      <w:bCs/>
                      <w:kern w:val="0"/>
                      <w:szCs w:val="21"/>
                    </w:rPr>
                    <w:t>☑</w:t>
                  </w:r>
                  <w:r>
                    <w:rPr>
                      <w:bCs/>
                      <w:kern w:val="0"/>
                      <w:szCs w:val="21"/>
                    </w:rPr>
                    <w:t>企业总排</w:t>
                  </w:r>
                </w:p>
                <w:p>
                  <w:pPr>
                    <w:jc w:val="center"/>
                    <w:rPr>
                      <w:bCs/>
                      <w:kern w:val="0"/>
                      <w:szCs w:val="21"/>
                    </w:rPr>
                  </w:pPr>
                  <w:r>
                    <w:rPr>
                      <w:szCs w:val="21"/>
                    </w:rPr>
                    <w:t>□</w:t>
                  </w:r>
                  <w:r>
                    <w:rPr>
                      <w:bCs/>
                      <w:kern w:val="0"/>
                      <w:szCs w:val="21"/>
                    </w:rPr>
                    <w:t>雨水总排</w:t>
                  </w:r>
                </w:p>
                <w:p>
                  <w:pPr>
                    <w:jc w:val="center"/>
                    <w:rPr>
                      <w:bCs/>
                      <w:kern w:val="0"/>
                      <w:szCs w:val="21"/>
                    </w:rPr>
                  </w:pPr>
                  <w:r>
                    <w:rPr>
                      <w:szCs w:val="21"/>
                    </w:rPr>
                    <w:t>□</w:t>
                  </w:r>
                  <w:r>
                    <w:rPr>
                      <w:bCs/>
                      <w:kern w:val="0"/>
                      <w:szCs w:val="21"/>
                    </w:rPr>
                    <w:t>清净下水排放</w:t>
                  </w:r>
                </w:p>
                <w:p>
                  <w:pPr>
                    <w:jc w:val="center"/>
                    <w:rPr>
                      <w:bCs/>
                      <w:kern w:val="0"/>
                      <w:szCs w:val="21"/>
                    </w:rPr>
                  </w:pPr>
                  <w:r>
                    <w:rPr>
                      <w:szCs w:val="21"/>
                    </w:rPr>
                    <w:t>□</w:t>
                  </w:r>
                  <w:r>
                    <w:rPr>
                      <w:bCs/>
                      <w:kern w:val="0"/>
                      <w:szCs w:val="21"/>
                    </w:rPr>
                    <w:t>温排水排放</w:t>
                  </w:r>
                </w:p>
                <w:p>
                  <w:pPr>
                    <w:jc w:val="center"/>
                    <w:rPr>
                      <w:szCs w:val="21"/>
                    </w:rPr>
                  </w:pPr>
                  <w:r>
                    <w:rPr>
                      <w:szCs w:val="21"/>
                    </w:rPr>
                    <w:t>□</w:t>
                  </w:r>
                  <w:r>
                    <w:rPr>
                      <w:bCs/>
                      <w:kern w:val="0"/>
                      <w:szCs w:val="21"/>
                    </w:rPr>
                    <w:t>车间或车间处理设施排放口</w:t>
                  </w:r>
                </w:p>
              </w:tc>
            </w:tr>
          </w:tbl>
          <w:p>
            <w:pPr>
              <w:pStyle w:val="32"/>
              <w:keepNext w:val="0"/>
              <w:keepLines w:val="0"/>
              <w:pageBreakBefore w:val="0"/>
              <w:widowControl/>
              <w:kinsoku/>
              <w:wordWrap/>
              <w:overflowPunct/>
              <w:topLinePunct w:val="0"/>
              <w:autoSpaceDE/>
              <w:autoSpaceDN/>
              <w:bidi w:val="0"/>
              <w:adjustRightInd/>
              <w:snapToGrid/>
              <w:ind w:left="0"/>
              <w:textAlignment w:val="auto"/>
              <w:rPr>
                <w:lang w:val="zh-CN"/>
              </w:rPr>
            </w:pPr>
            <w:r>
              <w:rPr>
                <w:lang w:val="zh-CN"/>
              </w:rPr>
              <w:t xml:space="preserve"> 废水间接排放口基本情况表</w:t>
            </w:r>
          </w:p>
          <w:tbl>
            <w:tblPr>
              <w:tblStyle w:val="26"/>
              <w:tblW w:w="5000" w:type="pct"/>
              <w:jc w:val="center"/>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6"/>
              <w:gridCol w:w="776"/>
              <w:gridCol w:w="985"/>
              <w:gridCol w:w="1029"/>
              <w:gridCol w:w="632"/>
              <w:gridCol w:w="502"/>
              <w:gridCol w:w="757"/>
              <w:gridCol w:w="555"/>
              <w:gridCol w:w="548"/>
              <w:gridCol w:w="1192"/>
              <w:gridCol w:w="1136"/>
            </w:tblGrid>
            <w:tr>
              <w:tblPrEx>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1" w:type="pct"/>
                  <w:vMerge w:val="restart"/>
                  <w:noWrap/>
                  <w:vAlign w:val="center"/>
                </w:tcPr>
                <w:p>
                  <w:pPr>
                    <w:jc w:val="center"/>
                    <w:rPr>
                      <w:szCs w:val="21"/>
                    </w:rPr>
                  </w:pPr>
                  <w:r>
                    <w:rPr>
                      <w:szCs w:val="21"/>
                    </w:rPr>
                    <w:t>序号</w:t>
                  </w:r>
                </w:p>
              </w:tc>
              <w:tc>
                <w:tcPr>
                  <w:tcW w:w="457" w:type="pct"/>
                  <w:vMerge w:val="restart"/>
                  <w:noWrap/>
                  <w:vAlign w:val="center"/>
                </w:tcPr>
                <w:p>
                  <w:pPr>
                    <w:jc w:val="center"/>
                    <w:rPr>
                      <w:szCs w:val="21"/>
                    </w:rPr>
                  </w:pPr>
                  <w:r>
                    <w:rPr>
                      <w:szCs w:val="21"/>
                    </w:rPr>
                    <w:t>排放口编号</w:t>
                  </w:r>
                </w:p>
              </w:tc>
              <w:tc>
                <w:tcPr>
                  <w:tcW w:w="1184" w:type="pct"/>
                  <w:gridSpan w:val="2"/>
                  <w:noWrap/>
                  <w:vAlign w:val="center"/>
                </w:tcPr>
                <w:p>
                  <w:pPr>
                    <w:jc w:val="center"/>
                    <w:rPr>
                      <w:szCs w:val="21"/>
                      <w:vertAlign w:val="superscript"/>
                    </w:rPr>
                  </w:pPr>
                  <w:r>
                    <w:rPr>
                      <w:szCs w:val="21"/>
                    </w:rPr>
                    <w:t>排放口地理坐标</w:t>
                  </w:r>
                </w:p>
              </w:tc>
              <w:tc>
                <w:tcPr>
                  <w:tcW w:w="372" w:type="pct"/>
                  <w:vMerge w:val="restart"/>
                  <w:noWrap/>
                  <w:vAlign w:val="center"/>
                </w:tcPr>
                <w:p>
                  <w:pPr>
                    <w:jc w:val="center"/>
                    <w:rPr>
                      <w:szCs w:val="21"/>
                    </w:rPr>
                  </w:pPr>
                  <w:r>
                    <w:rPr>
                      <w:szCs w:val="21"/>
                    </w:rPr>
                    <w:t>废水排放量/（t/a）</w:t>
                  </w:r>
                </w:p>
              </w:tc>
              <w:tc>
                <w:tcPr>
                  <w:tcW w:w="296" w:type="pct"/>
                  <w:vMerge w:val="restart"/>
                  <w:noWrap/>
                  <w:vAlign w:val="center"/>
                </w:tcPr>
                <w:p>
                  <w:pPr>
                    <w:jc w:val="center"/>
                    <w:rPr>
                      <w:szCs w:val="21"/>
                    </w:rPr>
                  </w:pPr>
                  <w:r>
                    <w:rPr>
                      <w:szCs w:val="21"/>
                    </w:rPr>
                    <w:t>排放去向</w:t>
                  </w:r>
                </w:p>
              </w:tc>
              <w:tc>
                <w:tcPr>
                  <w:tcW w:w="446" w:type="pct"/>
                  <w:vMerge w:val="restart"/>
                  <w:noWrap/>
                  <w:vAlign w:val="center"/>
                </w:tcPr>
                <w:p>
                  <w:pPr>
                    <w:jc w:val="center"/>
                    <w:rPr>
                      <w:szCs w:val="21"/>
                    </w:rPr>
                  </w:pPr>
                  <w:r>
                    <w:rPr>
                      <w:szCs w:val="21"/>
                    </w:rPr>
                    <w:t>排放规律</w:t>
                  </w:r>
                </w:p>
              </w:tc>
              <w:tc>
                <w:tcPr>
                  <w:tcW w:w="327" w:type="pct"/>
                  <w:vMerge w:val="restart"/>
                  <w:noWrap/>
                  <w:vAlign w:val="center"/>
                </w:tcPr>
                <w:p>
                  <w:pPr>
                    <w:jc w:val="center"/>
                    <w:rPr>
                      <w:szCs w:val="21"/>
                    </w:rPr>
                  </w:pPr>
                  <w:r>
                    <w:rPr>
                      <w:szCs w:val="21"/>
                    </w:rPr>
                    <w:t>间歇排放时段</w:t>
                  </w:r>
                </w:p>
              </w:tc>
              <w:tc>
                <w:tcPr>
                  <w:tcW w:w="1692" w:type="pct"/>
                  <w:gridSpan w:val="3"/>
                  <w:noWrap/>
                  <w:vAlign w:val="center"/>
                </w:tcPr>
                <w:p>
                  <w:pPr>
                    <w:jc w:val="center"/>
                    <w:rPr>
                      <w:szCs w:val="21"/>
                    </w:rPr>
                  </w:pPr>
                  <w:r>
                    <w:rPr>
                      <w:szCs w:val="21"/>
                    </w:rPr>
                    <w:t>受纳污水处理厂信息</w:t>
                  </w:r>
                </w:p>
              </w:tc>
            </w:tr>
            <w:tr>
              <w:tblPrEx>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1" w:type="pct"/>
                  <w:vMerge w:val="continue"/>
                  <w:noWrap/>
                  <w:vAlign w:val="center"/>
                </w:tcPr>
                <w:p>
                  <w:pPr>
                    <w:jc w:val="center"/>
                    <w:rPr>
                      <w:szCs w:val="21"/>
                    </w:rPr>
                  </w:pPr>
                </w:p>
              </w:tc>
              <w:tc>
                <w:tcPr>
                  <w:tcW w:w="457" w:type="pct"/>
                  <w:vMerge w:val="continue"/>
                  <w:noWrap/>
                  <w:vAlign w:val="center"/>
                </w:tcPr>
                <w:p>
                  <w:pPr>
                    <w:jc w:val="center"/>
                    <w:rPr>
                      <w:szCs w:val="21"/>
                    </w:rPr>
                  </w:pPr>
                </w:p>
              </w:tc>
              <w:tc>
                <w:tcPr>
                  <w:tcW w:w="579" w:type="pct"/>
                  <w:noWrap/>
                  <w:vAlign w:val="center"/>
                </w:tcPr>
                <w:p>
                  <w:pPr>
                    <w:jc w:val="center"/>
                    <w:rPr>
                      <w:szCs w:val="21"/>
                    </w:rPr>
                  </w:pPr>
                  <w:r>
                    <w:rPr>
                      <w:szCs w:val="21"/>
                    </w:rPr>
                    <w:t>经度</w:t>
                  </w:r>
                </w:p>
              </w:tc>
              <w:tc>
                <w:tcPr>
                  <w:tcW w:w="605" w:type="pct"/>
                  <w:noWrap/>
                  <w:vAlign w:val="center"/>
                </w:tcPr>
                <w:p>
                  <w:pPr>
                    <w:jc w:val="center"/>
                    <w:rPr>
                      <w:szCs w:val="21"/>
                    </w:rPr>
                  </w:pPr>
                  <w:r>
                    <w:rPr>
                      <w:szCs w:val="21"/>
                    </w:rPr>
                    <w:t>纬度</w:t>
                  </w:r>
                </w:p>
              </w:tc>
              <w:tc>
                <w:tcPr>
                  <w:tcW w:w="372" w:type="pct"/>
                  <w:vMerge w:val="continue"/>
                  <w:noWrap/>
                  <w:vAlign w:val="center"/>
                </w:tcPr>
                <w:p>
                  <w:pPr>
                    <w:jc w:val="center"/>
                    <w:rPr>
                      <w:szCs w:val="21"/>
                    </w:rPr>
                  </w:pPr>
                </w:p>
              </w:tc>
              <w:tc>
                <w:tcPr>
                  <w:tcW w:w="296" w:type="pct"/>
                  <w:vMerge w:val="continue"/>
                  <w:noWrap/>
                  <w:vAlign w:val="center"/>
                </w:tcPr>
                <w:p>
                  <w:pPr>
                    <w:jc w:val="center"/>
                    <w:rPr>
                      <w:szCs w:val="21"/>
                    </w:rPr>
                  </w:pPr>
                </w:p>
              </w:tc>
              <w:tc>
                <w:tcPr>
                  <w:tcW w:w="446" w:type="pct"/>
                  <w:vMerge w:val="continue"/>
                  <w:noWrap/>
                  <w:vAlign w:val="center"/>
                </w:tcPr>
                <w:p>
                  <w:pPr>
                    <w:jc w:val="center"/>
                    <w:rPr>
                      <w:szCs w:val="21"/>
                    </w:rPr>
                  </w:pPr>
                </w:p>
              </w:tc>
              <w:tc>
                <w:tcPr>
                  <w:tcW w:w="327" w:type="pct"/>
                  <w:vMerge w:val="continue"/>
                  <w:noWrap/>
                  <w:vAlign w:val="center"/>
                </w:tcPr>
                <w:p>
                  <w:pPr>
                    <w:jc w:val="center"/>
                    <w:rPr>
                      <w:szCs w:val="21"/>
                    </w:rPr>
                  </w:pPr>
                </w:p>
              </w:tc>
              <w:tc>
                <w:tcPr>
                  <w:tcW w:w="323" w:type="pct"/>
                  <w:noWrap/>
                  <w:vAlign w:val="center"/>
                </w:tcPr>
                <w:p>
                  <w:pPr>
                    <w:jc w:val="center"/>
                    <w:rPr>
                      <w:szCs w:val="21"/>
                      <w:vertAlign w:val="superscript"/>
                    </w:rPr>
                  </w:pPr>
                  <w:r>
                    <w:rPr>
                      <w:szCs w:val="21"/>
                    </w:rPr>
                    <w:t>名称</w:t>
                  </w:r>
                </w:p>
              </w:tc>
              <w:tc>
                <w:tcPr>
                  <w:tcW w:w="701" w:type="pct"/>
                  <w:noWrap/>
                  <w:vAlign w:val="center"/>
                </w:tcPr>
                <w:p>
                  <w:pPr>
                    <w:jc w:val="center"/>
                    <w:rPr>
                      <w:szCs w:val="21"/>
                    </w:rPr>
                  </w:pPr>
                  <w:r>
                    <w:rPr>
                      <w:szCs w:val="21"/>
                    </w:rPr>
                    <w:t>污染物种类</w:t>
                  </w:r>
                </w:p>
              </w:tc>
              <w:tc>
                <w:tcPr>
                  <w:tcW w:w="667" w:type="pct"/>
                  <w:noWrap/>
                  <w:vAlign w:val="center"/>
                </w:tcPr>
                <w:p>
                  <w:pPr>
                    <w:jc w:val="center"/>
                    <w:rPr>
                      <w:szCs w:val="21"/>
                    </w:rPr>
                  </w:pPr>
                  <w:r>
                    <w:rPr>
                      <w:szCs w:val="21"/>
                    </w:rPr>
                    <w:t>国家或地方污染物排放标准浓度/（mg/L）</w:t>
                  </w:r>
                </w:p>
              </w:tc>
            </w:tr>
            <w:tr>
              <w:tblPrEx>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Merge w:val="restart"/>
                  <w:noWrap/>
                  <w:vAlign w:val="center"/>
                </w:tcPr>
                <w:p>
                  <w:pPr>
                    <w:jc w:val="center"/>
                    <w:rPr>
                      <w:szCs w:val="21"/>
                    </w:rPr>
                  </w:pPr>
                  <w:r>
                    <w:rPr>
                      <w:szCs w:val="21"/>
                    </w:rPr>
                    <w:t>1</w:t>
                  </w:r>
                </w:p>
              </w:tc>
              <w:tc>
                <w:tcPr>
                  <w:tcW w:w="457" w:type="pct"/>
                  <w:vMerge w:val="restart"/>
                  <w:noWrap/>
                  <w:vAlign w:val="center"/>
                </w:tcPr>
                <w:p>
                  <w:pPr>
                    <w:jc w:val="center"/>
                    <w:rPr>
                      <w:szCs w:val="21"/>
                    </w:rPr>
                  </w:pPr>
                  <w:r>
                    <w:rPr>
                      <w:szCs w:val="21"/>
                    </w:rPr>
                    <w:t>DW001</w:t>
                  </w:r>
                </w:p>
              </w:tc>
              <w:tc>
                <w:tcPr>
                  <w:tcW w:w="579" w:type="pct"/>
                  <w:vMerge w:val="restart"/>
                  <w:noWrap/>
                  <w:vAlign w:val="center"/>
                </w:tcPr>
                <w:p>
                  <w:pPr>
                    <w:jc w:val="center"/>
                    <w:rPr>
                      <w:szCs w:val="21"/>
                    </w:rPr>
                  </w:pPr>
                  <w:r>
                    <w:rPr>
                      <w:szCs w:val="21"/>
                    </w:rPr>
                    <w:t>126.483633970</w:t>
                  </w:r>
                </w:p>
              </w:tc>
              <w:tc>
                <w:tcPr>
                  <w:tcW w:w="605" w:type="pct"/>
                  <w:vMerge w:val="restart"/>
                  <w:noWrap/>
                  <w:vAlign w:val="center"/>
                </w:tcPr>
                <w:p>
                  <w:pPr>
                    <w:jc w:val="center"/>
                    <w:rPr>
                      <w:szCs w:val="21"/>
                    </w:rPr>
                  </w:pPr>
                  <w:r>
                    <w:rPr>
                      <w:szCs w:val="21"/>
                    </w:rPr>
                    <w:t>45.760840622</w:t>
                  </w:r>
                </w:p>
              </w:tc>
              <w:tc>
                <w:tcPr>
                  <w:tcW w:w="372" w:type="pct"/>
                  <w:vMerge w:val="restart"/>
                  <w:noWrap/>
                  <w:vAlign w:val="center"/>
                </w:tcPr>
                <w:p>
                  <w:pPr>
                    <w:jc w:val="center"/>
                    <w:rPr>
                      <w:szCs w:val="21"/>
                    </w:rPr>
                  </w:pPr>
                  <w:r>
                    <w:rPr>
                      <w:rFonts w:hint="eastAsia"/>
                      <w:szCs w:val="21"/>
                    </w:rPr>
                    <w:t>1249.6</w:t>
                  </w:r>
                </w:p>
              </w:tc>
              <w:tc>
                <w:tcPr>
                  <w:tcW w:w="296" w:type="pct"/>
                  <w:vMerge w:val="restart"/>
                  <w:noWrap/>
                  <w:vAlign w:val="center"/>
                </w:tcPr>
                <w:p>
                  <w:pPr>
                    <w:jc w:val="center"/>
                    <w:rPr>
                      <w:szCs w:val="21"/>
                    </w:rPr>
                  </w:pPr>
                  <w:r>
                    <w:rPr>
                      <w:szCs w:val="21"/>
                    </w:rPr>
                    <w:t>进入城市污水处理厂</w:t>
                  </w:r>
                </w:p>
              </w:tc>
              <w:tc>
                <w:tcPr>
                  <w:tcW w:w="446" w:type="pct"/>
                  <w:vMerge w:val="restart"/>
                  <w:noWrap/>
                  <w:vAlign w:val="center"/>
                </w:tcPr>
                <w:p>
                  <w:pPr>
                    <w:jc w:val="center"/>
                    <w:rPr>
                      <w:szCs w:val="21"/>
                    </w:rPr>
                  </w:pPr>
                  <w:r>
                    <w:rPr>
                      <w:szCs w:val="21"/>
                    </w:rPr>
                    <w:t>间断排放，排放期间流量不稳定，但有周期性规律</w:t>
                  </w:r>
                </w:p>
              </w:tc>
              <w:tc>
                <w:tcPr>
                  <w:tcW w:w="327" w:type="pct"/>
                  <w:vMerge w:val="restart"/>
                  <w:noWrap/>
                  <w:vAlign w:val="center"/>
                </w:tcPr>
                <w:p>
                  <w:pPr>
                    <w:jc w:val="center"/>
                    <w:rPr>
                      <w:szCs w:val="21"/>
                    </w:rPr>
                  </w:pPr>
                  <w:r>
                    <w:rPr>
                      <w:szCs w:val="21"/>
                    </w:rPr>
                    <w:t>5:00-22:00</w:t>
                  </w:r>
                </w:p>
              </w:tc>
              <w:tc>
                <w:tcPr>
                  <w:tcW w:w="323" w:type="pct"/>
                  <w:vMerge w:val="restart"/>
                  <w:noWrap/>
                  <w:vAlign w:val="center"/>
                </w:tcPr>
                <w:p>
                  <w:pPr>
                    <w:jc w:val="center"/>
                    <w:rPr>
                      <w:szCs w:val="21"/>
                    </w:rPr>
                  </w:pPr>
                  <w:r>
                    <w:rPr>
                      <w:szCs w:val="21"/>
                    </w:rPr>
                    <w:t>哈尔滨市松北供排水有限公司</w:t>
                  </w:r>
                </w:p>
              </w:tc>
              <w:tc>
                <w:tcPr>
                  <w:tcW w:w="701" w:type="pct"/>
                  <w:noWrap/>
                  <w:vAlign w:val="center"/>
                </w:tcPr>
                <w:p>
                  <w:pPr>
                    <w:pStyle w:val="57"/>
                    <w:jc w:val="center"/>
                    <w:rPr>
                      <w:szCs w:val="21"/>
                    </w:rPr>
                  </w:pPr>
                  <w:r>
                    <w:rPr>
                      <w:szCs w:val="21"/>
                    </w:rPr>
                    <w:t>氨氮（NH</w:t>
                  </w:r>
                  <w:r>
                    <w:rPr>
                      <w:szCs w:val="21"/>
                      <w:vertAlign w:val="subscript"/>
                    </w:rPr>
                    <w:t>3</w:t>
                  </w:r>
                  <w:r>
                    <w:rPr>
                      <w:szCs w:val="21"/>
                    </w:rPr>
                    <w:t>-N）</w:t>
                  </w:r>
                </w:p>
              </w:tc>
              <w:tc>
                <w:tcPr>
                  <w:tcW w:w="667" w:type="pct"/>
                  <w:noWrap/>
                  <w:vAlign w:val="center"/>
                </w:tcPr>
                <w:p>
                  <w:pPr>
                    <w:jc w:val="center"/>
                    <w:rPr>
                      <w:szCs w:val="21"/>
                    </w:rPr>
                  </w:pPr>
                  <w:r>
                    <w:rPr>
                      <w:rFonts w:hint="eastAsia"/>
                      <w:szCs w:val="21"/>
                    </w:rPr>
                    <w:t>8</w:t>
                  </w:r>
                </w:p>
              </w:tc>
            </w:tr>
            <w:tr>
              <w:tblPrEx>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Merge w:val="continue"/>
                  <w:noWrap/>
                  <w:vAlign w:val="center"/>
                </w:tcPr>
                <w:p>
                  <w:pPr>
                    <w:jc w:val="center"/>
                    <w:rPr>
                      <w:szCs w:val="21"/>
                    </w:rPr>
                  </w:pPr>
                </w:p>
              </w:tc>
              <w:tc>
                <w:tcPr>
                  <w:tcW w:w="457" w:type="pct"/>
                  <w:vMerge w:val="continue"/>
                  <w:noWrap/>
                  <w:vAlign w:val="center"/>
                </w:tcPr>
                <w:p>
                  <w:pPr>
                    <w:jc w:val="center"/>
                    <w:rPr>
                      <w:szCs w:val="21"/>
                    </w:rPr>
                  </w:pPr>
                </w:p>
              </w:tc>
              <w:tc>
                <w:tcPr>
                  <w:tcW w:w="579" w:type="pct"/>
                  <w:vMerge w:val="continue"/>
                  <w:noWrap/>
                  <w:vAlign w:val="center"/>
                </w:tcPr>
                <w:p>
                  <w:pPr>
                    <w:jc w:val="center"/>
                    <w:rPr>
                      <w:szCs w:val="21"/>
                    </w:rPr>
                  </w:pPr>
                </w:p>
              </w:tc>
              <w:tc>
                <w:tcPr>
                  <w:tcW w:w="605" w:type="pct"/>
                  <w:vMerge w:val="continue"/>
                  <w:noWrap/>
                  <w:vAlign w:val="center"/>
                </w:tcPr>
                <w:p>
                  <w:pPr>
                    <w:jc w:val="center"/>
                    <w:rPr>
                      <w:szCs w:val="21"/>
                    </w:rPr>
                  </w:pPr>
                </w:p>
              </w:tc>
              <w:tc>
                <w:tcPr>
                  <w:tcW w:w="372" w:type="pct"/>
                  <w:vMerge w:val="continue"/>
                  <w:noWrap/>
                  <w:vAlign w:val="center"/>
                </w:tcPr>
                <w:p>
                  <w:pPr>
                    <w:jc w:val="center"/>
                    <w:rPr>
                      <w:szCs w:val="21"/>
                    </w:rPr>
                  </w:pPr>
                </w:p>
              </w:tc>
              <w:tc>
                <w:tcPr>
                  <w:tcW w:w="296" w:type="pct"/>
                  <w:vMerge w:val="continue"/>
                  <w:noWrap/>
                  <w:vAlign w:val="center"/>
                </w:tcPr>
                <w:p>
                  <w:pPr>
                    <w:jc w:val="center"/>
                    <w:rPr>
                      <w:szCs w:val="21"/>
                    </w:rPr>
                  </w:pPr>
                </w:p>
              </w:tc>
              <w:tc>
                <w:tcPr>
                  <w:tcW w:w="446" w:type="pct"/>
                  <w:vMerge w:val="continue"/>
                  <w:noWrap/>
                  <w:vAlign w:val="center"/>
                </w:tcPr>
                <w:p>
                  <w:pPr>
                    <w:jc w:val="center"/>
                    <w:rPr>
                      <w:szCs w:val="21"/>
                    </w:rPr>
                  </w:pPr>
                </w:p>
              </w:tc>
              <w:tc>
                <w:tcPr>
                  <w:tcW w:w="327" w:type="pct"/>
                  <w:vMerge w:val="continue"/>
                  <w:noWrap/>
                  <w:vAlign w:val="center"/>
                </w:tcPr>
                <w:p>
                  <w:pPr>
                    <w:jc w:val="center"/>
                    <w:rPr>
                      <w:szCs w:val="21"/>
                    </w:rPr>
                  </w:pPr>
                </w:p>
              </w:tc>
              <w:tc>
                <w:tcPr>
                  <w:tcW w:w="323" w:type="pct"/>
                  <w:vMerge w:val="continue"/>
                  <w:noWrap/>
                  <w:vAlign w:val="center"/>
                </w:tcPr>
                <w:p>
                  <w:pPr>
                    <w:jc w:val="center"/>
                    <w:rPr>
                      <w:kern w:val="0"/>
                      <w:szCs w:val="21"/>
                    </w:rPr>
                  </w:pPr>
                </w:p>
              </w:tc>
              <w:tc>
                <w:tcPr>
                  <w:tcW w:w="701" w:type="pct"/>
                  <w:noWrap/>
                  <w:vAlign w:val="center"/>
                </w:tcPr>
                <w:p>
                  <w:pPr>
                    <w:pStyle w:val="57"/>
                    <w:jc w:val="center"/>
                    <w:rPr>
                      <w:szCs w:val="21"/>
                    </w:rPr>
                  </w:pPr>
                  <w:r>
                    <w:rPr>
                      <w:szCs w:val="21"/>
                    </w:rPr>
                    <w:t>pH值</w:t>
                  </w:r>
                </w:p>
              </w:tc>
              <w:tc>
                <w:tcPr>
                  <w:tcW w:w="667" w:type="pct"/>
                  <w:noWrap/>
                  <w:vAlign w:val="center"/>
                </w:tcPr>
                <w:p>
                  <w:pPr>
                    <w:jc w:val="center"/>
                    <w:rPr>
                      <w:szCs w:val="21"/>
                    </w:rPr>
                  </w:pPr>
                  <w:r>
                    <w:rPr>
                      <w:szCs w:val="21"/>
                    </w:rPr>
                    <w:t>6-9</w:t>
                  </w:r>
                </w:p>
              </w:tc>
            </w:tr>
            <w:tr>
              <w:tblPrEx>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Merge w:val="continue"/>
                  <w:noWrap/>
                  <w:vAlign w:val="center"/>
                </w:tcPr>
                <w:p>
                  <w:pPr>
                    <w:jc w:val="center"/>
                    <w:rPr>
                      <w:szCs w:val="21"/>
                    </w:rPr>
                  </w:pPr>
                </w:p>
              </w:tc>
              <w:tc>
                <w:tcPr>
                  <w:tcW w:w="457" w:type="pct"/>
                  <w:vMerge w:val="continue"/>
                  <w:noWrap/>
                  <w:vAlign w:val="center"/>
                </w:tcPr>
                <w:p>
                  <w:pPr>
                    <w:jc w:val="center"/>
                    <w:rPr>
                      <w:szCs w:val="21"/>
                    </w:rPr>
                  </w:pPr>
                </w:p>
              </w:tc>
              <w:tc>
                <w:tcPr>
                  <w:tcW w:w="579" w:type="pct"/>
                  <w:vMerge w:val="continue"/>
                  <w:noWrap/>
                  <w:vAlign w:val="center"/>
                </w:tcPr>
                <w:p>
                  <w:pPr>
                    <w:jc w:val="center"/>
                    <w:rPr>
                      <w:szCs w:val="21"/>
                    </w:rPr>
                  </w:pPr>
                </w:p>
              </w:tc>
              <w:tc>
                <w:tcPr>
                  <w:tcW w:w="605" w:type="pct"/>
                  <w:vMerge w:val="continue"/>
                  <w:noWrap/>
                  <w:vAlign w:val="center"/>
                </w:tcPr>
                <w:p>
                  <w:pPr>
                    <w:jc w:val="center"/>
                    <w:rPr>
                      <w:szCs w:val="21"/>
                    </w:rPr>
                  </w:pPr>
                </w:p>
              </w:tc>
              <w:tc>
                <w:tcPr>
                  <w:tcW w:w="372" w:type="pct"/>
                  <w:vMerge w:val="continue"/>
                  <w:noWrap/>
                  <w:vAlign w:val="center"/>
                </w:tcPr>
                <w:p>
                  <w:pPr>
                    <w:jc w:val="center"/>
                    <w:rPr>
                      <w:szCs w:val="21"/>
                    </w:rPr>
                  </w:pPr>
                </w:p>
              </w:tc>
              <w:tc>
                <w:tcPr>
                  <w:tcW w:w="296" w:type="pct"/>
                  <w:vMerge w:val="continue"/>
                  <w:noWrap/>
                  <w:vAlign w:val="center"/>
                </w:tcPr>
                <w:p>
                  <w:pPr>
                    <w:jc w:val="center"/>
                    <w:rPr>
                      <w:szCs w:val="21"/>
                    </w:rPr>
                  </w:pPr>
                </w:p>
              </w:tc>
              <w:tc>
                <w:tcPr>
                  <w:tcW w:w="446" w:type="pct"/>
                  <w:vMerge w:val="continue"/>
                  <w:noWrap/>
                  <w:vAlign w:val="center"/>
                </w:tcPr>
                <w:p>
                  <w:pPr>
                    <w:jc w:val="center"/>
                    <w:rPr>
                      <w:szCs w:val="21"/>
                    </w:rPr>
                  </w:pPr>
                </w:p>
              </w:tc>
              <w:tc>
                <w:tcPr>
                  <w:tcW w:w="327" w:type="pct"/>
                  <w:vMerge w:val="continue"/>
                  <w:noWrap/>
                  <w:vAlign w:val="center"/>
                </w:tcPr>
                <w:p>
                  <w:pPr>
                    <w:jc w:val="center"/>
                    <w:rPr>
                      <w:szCs w:val="21"/>
                    </w:rPr>
                  </w:pPr>
                </w:p>
              </w:tc>
              <w:tc>
                <w:tcPr>
                  <w:tcW w:w="323" w:type="pct"/>
                  <w:vMerge w:val="continue"/>
                  <w:noWrap/>
                  <w:vAlign w:val="center"/>
                </w:tcPr>
                <w:p>
                  <w:pPr>
                    <w:jc w:val="center"/>
                    <w:rPr>
                      <w:kern w:val="0"/>
                      <w:szCs w:val="21"/>
                    </w:rPr>
                  </w:pPr>
                </w:p>
              </w:tc>
              <w:tc>
                <w:tcPr>
                  <w:tcW w:w="701" w:type="pct"/>
                  <w:noWrap/>
                  <w:vAlign w:val="center"/>
                </w:tcPr>
                <w:p>
                  <w:pPr>
                    <w:pStyle w:val="57"/>
                    <w:jc w:val="center"/>
                    <w:rPr>
                      <w:szCs w:val="21"/>
                    </w:rPr>
                  </w:pPr>
                  <w:r>
                    <w:rPr>
                      <w:szCs w:val="21"/>
                    </w:rPr>
                    <w:t>化学需氧量</w:t>
                  </w:r>
                </w:p>
              </w:tc>
              <w:tc>
                <w:tcPr>
                  <w:tcW w:w="667" w:type="pct"/>
                  <w:noWrap/>
                  <w:vAlign w:val="center"/>
                </w:tcPr>
                <w:p>
                  <w:pPr>
                    <w:jc w:val="center"/>
                    <w:rPr>
                      <w:szCs w:val="21"/>
                    </w:rPr>
                  </w:pPr>
                  <w:r>
                    <w:rPr>
                      <w:rFonts w:hint="eastAsia"/>
                      <w:szCs w:val="21"/>
                    </w:rPr>
                    <w:t>50</w:t>
                  </w:r>
                </w:p>
              </w:tc>
            </w:tr>
            <w:tr>
              <w:tblPrEx>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Merge w:val="continue"/>
                  <w:noWrap/>
                  <w:vAlign w:val="center"/>
                </w:tcPr>
                <w:p>
                  <w:pPr>
                    <w:jc w:val="center"/>
                    <w:rPr>
                      <w:szCs w:val="21"/>
                    </w:rPr>
                  </w:pPr>
                </w:p>
              </w:tc>
              <w:tc>
                <w:tcPr>
                  <w:tcW w:w="457" w:type="pct"/>
                  <w:vMerge w:val="continue"/>
                  <w:noWrap/>
                  <w:vAlign w:val="center"/>
                </w:tcPr>
                <w:p>
                  <w:pPr>
                    <w:jc w:val="center"/>
                    <w:rPr>
                      <w:szCs w:val="21"/>
                    </w:rPr>
                  </w:pPr>
                </w:p>
              </w:tc>
              <w:tc>
                <w:tcPr>
                  <w:tcW w:w="579" w:type="pct"/>
                  <w:vMerge w:val="continue"/>
                  <w:noWrap/>
                  <w:vAlign w:val="center"/>
                </w:tcPr>
                <w:p>
                  <w:pPr>
                    <w:jc w:val="center"/>
                    <w:rPr>
                      <w:szCs w:val="21"/>
                    </w:rPr>
                  </w:pPr>
                </w:p>
              </w:tc>
              <w:tc>
                <w:tcPr>
                  <w:tcW w:w="605" w:type="pct"/>
                  <w:vMerge w:val="continue"/>
                  <w:noWrap/>
                  <w:vAlign w:val="center"/>
                </w:tcPr>
                <w:p>
                  <w:pPr>
                    <w:jc w:val="center"/>
                    <w:rPr>
                      <w:szCs w:val="21"/>
                    </w:rPr>
                  </w:pPr>
                </w:p>
              </w:tc>
              <w:tc>
                <w:tcPr>
                  <w:tcW w:w="372" w:type="pct"/>
                  <w:vMerge w:val="continue"/>
                  <w:noWrap/>
                  <w:vAlign w:val="center"/>
                </w:tcPr>
                <w:p>
                  <w:pPr>
                    <w:jc w:val="center"/>
                    <w:rPr>
                      <w:szCs w:val="21"/>
                    </w:rPr>
                  </w:pPr>
                </w:p>
              </w:tc>
              <w:tc>
                <w:tcPr>
                  <w:tcW w:w="296" w:type="pct"/>
                  <w:vMerge w:val="continue"/>
                  <w:noWrap/>
                  <w:vAlign w:val="center"/>
                </w:tcPr>
                <w:p>
                  <w:pPr>
                    <w:jc w:val="center"/>
                    <w:rPr>
                      <w:szCs w:val="21"/>
                    </w:rPr>
                  </w:pPr>
                </w:p>
              </w:tc>
              <w:tc>
                <w:tcPr>
                  <w:tcW w:w="446" w:type="pct"/>
                  <w:vMerge w:val="continue"/>
                  <w:noWrap/>
                  <w:vAlign w:val="center"/>
                </w:tcPr>
                <w:p>
                  <w:pPr>
                    <w:jc w:val="center"/>
                    <w:rPr>
                      <w:szCs w:val="21"/>
                    </w:rPr>
                  </w:pPr>
                </w:p>
              </w:tc>
              <w:tc>
                <w:tcPr>
                  <w:tcW w:w="327" w:type="pct"/>
                  <w:vMerge w:val="continue"/>
                  <w:noWrap/>
                  <w:vAlign w:val="center"/>
                </w:tcPr>
                <w:p>
                  <w:pPr>
                    <w:jc w:val="center"/>
                    <w:rPr>
                      <w:szCs w:val="21"/>
                    </w:rPr>
                  </w:pPr>
                </w:p>
              </w:tc>
              <w:tc>
                <w:tcPr>
                  <w:tcW w:w="323" w:type="pct"/>
                  <w:vMerge w:val="continue"/>
                  <w:noWrap/>
                  <w:vAlign w:val="center"/>
                </w:tcPr>
                <w:p>
                  <w:pPr>
                    <w:jc w:val="center"/>
                    <w:rPr>
                      <w:kern w:val="0"/>
                      <w:szCs w:val="21"/>
                    </w:rPr>
                  </w:pPr>
                </w:p>
              </w:tc>
              <w:tc>
                <w:tcPr>
                  <w:tcW w:w="701" w:type="pct"/>
                  <w:noWrap/>
                  <w:vAlign w:val="center"/>
                </w:tcPr>
                <w:p>
                  <w:pPr>
                    <w:pStyle w:val="57"/>
                    <w:jc w:val="center"/>
                    <w:rPr>
                      <w:szCs w:val="21"/>
                    </w:rPr>
                  </w:pPr>
                  <w:r>
                    <w:rPr>
                      <w:szCs w:val="21"/>
                    </w:rPr>
                    <w:t>总磷（以P计）</w:t>
                  </w:r>
                </w:p>
              </w:tc>
              <w:tc>
                <w:tcPr>
                  <w:tcW w:w="667" w:type="pct"/>
                  <w:noWrap/>
                  <w:vAlign w:val="center"/>
                </w:tcPr>
                <w:p>
                  <w:pPr>
                    <w:jc w:val="center"/>
                    <w:rPr>
                      <w:szCs w:val="21"/>
                    </w:rPr>
                  </w:pPr>
                  <w:r>
                    <w:rPr>
                      <w:rFonts w:hint="eastAsia"/>
                      <w:szCs w:val="21"/>
                    </w:rPr>
                    <w:t>0.5</w:t>
                  </w:r>
                </w:p>
              </w:tc>
            </w:tr>
            <w:tr>
              <w:tblPrEx>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Merge w:val="continue"/>
                  <w:noWrap/>
                  <w:vAlign w:val="center"/>
                </w:tcPr>
                <w:p>
                  <w:pPr>
                    <w:jc w:val="center"/>
                    <w:rPr>
                      <w:szCs w:val="21"/>
                    </w:rPr>
                  </w:pPr>
                </w:p>
              </w:tc>
              <w:tc>
                <w:tcPr>
                  <w:tcW w:w="457" w:type="pct"/>
                  <w:vMerge w:val="continue"/>
                  <w:noWrap/>
                  <w:vAlign w:val="center"/>
                </w:tcPr>
                <w:p>
                  <w:pPr>
                    <w:jc w:val="center"/>
                    <w:rPr>
                      <w:szCs w:val="21"/>
                    </w:rPr>
                  </w:pPr>
                </w:p>
              </w:tc>
              <w:tc>
                <w:tcPr>
                  <w:tcW w:w="579" w:type="pct"/>
                  <w:vMerge w:val="continue"/>
                  <w:noWrap/>
                  <w:vAlign w:val="center"/>
                </w:tcPr>
                <w:p>
                  <w:pPr>
                    <w:jc w:val="center"/>
                    <w:rPr>
                      <w:szCs w:val="21"/>
                    </w:rPr>
                  </w:pPr>
                </w:p>
              </w:tc>
              <w:tc>
                <w:tcPr>
                  <w:tcW w:w="605" w:type="pct"/>
                  <w:vMerge w:val="continue"/>
                  <w:noWrap/>
                  <w:vAlign w:val="center"/>
                </w:tcPr>
                <w:p>
                  <w:pPr>
                    <w:jc w:val="center"/>
                    <w:rPr>
                      <w:szCs w:val="21"/>
                    </w:rPr>
                  </w:pPr>
                </w:p>
              </w:tc>
              <w:tc>
                <w:tcPr>
                  <w:tcW w:w="372" w:type="pct"/>
                  <w:vMerge w:val="continue"/>
                  <w:noWrap/>
                  <w:vAlign w:val="center"/>
                </w:tcPr>
                <w:p>
                  <w:pPr>
                    <w:jc w:val="center"/>
                    <w:rPr>
                      <w:szCs w:val="21"/>
                    </w:rPr>
                  </w:pPr>
                </w:p>
              </w:tc>
              <w:tc>
                <w:tcPr>
                  <w:tcW w:w="296" w:type="pct"/>
                  <w:vMerge w:val="continue"/>
                  <w:noWrap/>
                  <w:vAlign w:val="center"/>
                </w:tcPr>
                <w:p>
                  <w:pPr>
                    <w:jc w:val="center"/>
                    <w:rPr>
                      <w:szCs w:val="21"/>
                    </w:rPr>
                  </w:pPr>
                </w:p>
              </w:tc>
              <w:tc>
                <w:tcPr>
                  <w:tcW w:w="446" w:type="pct"/>
                  <w:vMerge w:val="continue"/>
                  <w:noWrap/>
                  <w:vAlign w:val="center"/>
                </w:tcPr>
                <w:p>
                  <w:pPr>
                    <w:jc w:val="center"/>
                    <w:rPr>
                      <w:szCs w:val="21"/>
                    </w:rPr>
                  </w:pPr>
                </w:p>
              </w:tc>
              <w:tc>
                <w:tcPr>
                  <w:tcW w:w="327" w:type="pct"/>
                  <w:vMerge w:val="continue"/>
                  <w:noWrap/>
                  <w:vAlign w:val="center"/>
                </w:tcPr>
                <w:p>
                  <w:pPr>
                    <w:jc w:val="center"/>
                    <w:rPr>
                      <w:szCs w:val="21"/>
                    </w:rPr>
                  </w:pPr>
                </w:p>
              </w:tc>
              <w:tc>
                <w:tcPr>
                  <w:tcW w:w="323" w:type="pct"/>
                  <w:vMerge w:val="continue"/>
                  <w:noWrap/>
                  <w:vAlign w:val="center"/>
                </w:tcPr>
                <w:p>
                  <w:pPr>
                    <w:jc w:val="center"/>
                    <w:rPr>
                      <w:kern w:val="0"/>
                      <w:szCs w:val="21"/>
                    </w:rPr>
                  </w:pPr>
                </w:p>
              </w:tc>
              <w:tc>
                <w:tcPr>
                  <w:tcW w:w="701" w:type="pct"/>
                  <w:noWrap/>
                  <w:vAlign w:val="center"/>
                </w:tcPr>
                <w:p>
                  <w:pPr>
                    <w:pStyle w:val="57"/>
                    <w:jc w:val="center"/>
                    <w:rPr>
                      <w:szCs w:val="21"/>
                    </w:rPr>
                  </w:pPr>
                  <w:r>
                    <w:rPr>
                      <w:szCs w:val="21"/>
                    </w:rPr>
                    <w:t>五日生化需氧量</w:t>
                  </w:r>
                </w:p>
              </w:tc>
              <w:tc>
                <w:tcPr>
                  <w:tcW w:w="667" w:type="pct"/>
                  <w:noWrap/>
                  <w:vAlign w:val="center"/>
                </w:tcPr>
                <w:p>
                  <w:pPr>
                    <w:jc w:val="center"/>
                    <w:rPr>
                      <w:szCs w:val="21"/>
                    </w:rPr>
                  </w:pPr>
                  <w:r>
                    <w:rPr>
                      <w:rFonts w:hint="eastAsia"/>
                      <w:szCs w:val="21"/>
                    </w:rPr>
                    <w:t>10</w:t>
                  </w:r>
                </w:p>
              </w:tc>
            </w:tr>
            <w:tr>
              <w:tblPrEx>
                <w:tblBorders>
                  <w:top w:val="single" w:color="auto" w:sz="12" w:space="0"/>
                  <w:left w:val="none" w:color="auto" w:sz="0"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1" w:type="pct"/>
                  <w:vMerge w:val="continue"/>
                  <w:noWrap/>
                  <w:vAlign w:val="center"/>
                </w:tcPr>
                <w:p>
                  <w:pPr>
                    <w:jc w:val="center"/>
                    <w:rPr>
                      <w:szCs w:val="21"/>
                    </w:rPr>
                  </w:pPr>
                </w:p>
              </w:tc>
              <w:tc>
                <w:tcPr>
                  <w:tcW w:w="457" w:type="pct"/>
                  <w:vMerge w:val="continue"/>
                  <w:noWrap/>
                  <w:vAlign w:val="center"/>
                </w:tcPr>
                <w:p>
                  <w:pPr>
                    <w:jc w:val="center"/>
                    <w:rPr>
                      <w:szCs w:val="21"/>
                    </w:rPr>
                  </w:pPr>
                </w:p>
              </w:tc>
              <w:tc>
                <w:tcPr>
                  <w:tcW w:w="579" w:type="pct"/>
                  <w:vMerge w:val="continue"/>
                  <w:noWrap/>
                  <w:vAlign w:val="center"/>
                </w:tcPr>
                <w:p>
                  <w:pPr>
                    <w:jc w:val="center"/>
                    <w:rPr>
                      <w:szCs w:val="21"/>
                    </w:rPr>
                  </w:pPr>
                </w:p>
              </w:tc>
              <w:tc>
                <w:tcPr>
                  <w:tcW w:w="605" w:type="pct"/>
                  <w:vMerge w:val="continue"/>
                  <w:noWrap/>
                  <w:vAlign w:val="center"/>
                </w:tcPr>
                <w:p>
                  <w:pPr>
                    <w:jc w:val="center"/>
                    <w:rPr>
                      <w:szCs w:val="21"/>
                    </w:rPr>
                  </w:pPr>
                </w:p>
              </w:tc>
              <w:tc>
                <w:tcPr>
                  <w:tcW w:w="372" w:type="pct"/>
                  <w:vMerge w:val="continue"/>
                  <w:noWrap/>
                  <w:vAlign w:val="center"/>
                </w:tcPr>
                <w:p>
                  <w:pPr>
                    <w:jc w:val="center"/>
                    <w:rPr>
                      <w:szCs w:val="21"/>
                    </w:rPr>
                  </w:pPr>
                </w:p>
              </w:tc>
              <w:tc>
                <w:tcPr>
                  <w:tcW w:w="296" w:type="pct"/>
                  <w:vMerge w:val="continue"/>
                  <w:noWrap/>
                  <w:vAlign w:val="center"/>
                </w:tcPr>
                <w:p>
                  <w:pPr>
                    <w:jc w:val="center"/>
                    <w:rPr>
                      <w:szCs w:val="21"/>
                    </w:rPr>
                  </w:pPr>
                </w:p>
              </w:tc>
              <w:tc>
                <w:tcPr>
                  <w:tcW w:w="446" w:type="pct"/>
                  <w:vMerge w:val="continue"/>
                  <w:noWrap/>
                  <w:vAlign w:val="center"/>
                </w:tcPr>
                <w:p>
                  <w:pPr>
                    <w:jc w:val="center"/>
                    <w:rPr>
                      <w:szCs w:val="21"/>
                    </w:rPr>
                  </w:pPr>
                </w:p>
              </w:tc>
              <w:tc>
                <w:tcPr>
                  <w:tcW w:w="327" w:type="pct"/>
                  <w:vMerge w:val="continue"/>
                  <w:noWrap/>
                  <w:vAlign w:val="center"/>
                </w:tcPr>
                <w:p>
                  <w:pPr>
                    <w:jc w:val="center"/>
                    <w:rPr>
                      <w:szCs w:val="21"/>
                    </w:rPr>
                  </w:pPr>
                </w:p>
              </w:tc>
              <w:tc>
                <w:tcPr>
                  <w:tcW w:w="323" w:type="pct"/>
                  <w:vMerge w:val="continue"/>
                  <w:noWrap/>
                  <w:vAlign w:val="center"/>
                </w:tcPr>
                <w:p>
                  <w:pPr>
                    <w:jc w:val="center"/>
                    <w:rPr>
                      <w:kern w:val="0"/>
                      <w:szCs w:val="21"/>
                    </w:rPr>
                  </w:pPr>
                </w:p>
              </w:tc>
              <w:tc>
                <w:tcPr>
                  <w:tcW w:w="701" w:type="pct"/>
                  <w:noWrap/>
                  <w:vAlign w:val="center"/>
                </w:tcPr>
                <w:p>
                  <w:pPr>
                    <w:pStyle w:val="57"/>
                    <w:jc w:val="center"/>
                    <w:rPr>
                      <w:szCs w:val="21"/>
                    </w:rPr>
                  </w:pPr>
                  <w:r>
                    <w:rPr>
                      <w:szCs w:val="21"/>
                    </w:rPr>
                    <w:t>悬浮物</w:t>
                  </w:r>
                </w:p>
              </w:tc>
              <w:tc>
                <w:tcPr>
                  <w:tcW w:w="667" w:type="pct"/>
                  <w:noWrap/>
                  <w:vAlign w:val="center"/>
                </w:tcPr>
                <w:p>
                  <w:pPr>
                    <w:jc w:val="center"/>
                    <w:rPr>
                      <w:szCs w:val="21"/>
                    </w:rPr>
                  </w:pPr>
                  <w:r>
                    <w:rPr>
                      <w:rFonts w:hint="eastAsia"/>
                      <w:szCs w:val="21"/>
                    </w:rPr>
                    <w:t>10</w:t>
                  </w:r>
                </w:p>
              </w:tc>
            </w:tr>
          </w:tbl>
          <w:p>
            <w:pPr>
              <w:pStyle w:val="32"/>
              <w:keepNext w:val="0"/>
              <w:keepLines w:val="0"/>
              <w:pageBreakBefore w:val="0"/>
              <w:widowControl/>
              <w:kinsoku/>
              <w:wordWrap/>
              <w:overflowPunct/>
              <w:topLinePunct w:val="0"/>
              <w:autoSpaceDE/>
              <w:autoSpaceDN/>
              <w:bidi w:val="0"/>
              <w:adjustRightInd/>
              <w:snapToGrid/>
              <w:ind w:left="0"/>
              <w:textAlignment w:val="auto"/>
              <w:rPr>
                <w:lang w:val="zh-CN"/>
              </w:rPr>
            </w:pPr>
            <w:r>
              <w:rPr>
                <w:lang w:val="zh-CN"/>
              </w:rPr>
              <w:t xml:space="preserve">  废水污染物排放执行标准表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7"/>
              <w:gridCol w:w="1485"/>
              <w:gridCol w:w="2815"/>
              <w:gridCol w:w="2166"/>
              <w:gridCol w:w="15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3" w:type="pct"/>
                  <w:vMerge w:val="restart"/>
                  <w:noWrap/>
                  <w:vAlign w:val="center"/>
                </w:tcPr>
                <w:p>
                  <w:pPr>
                    <w:jc w:val="center"/>
                    <w:rPr>
                      <w:szCs w:val="21"/>
                    </w:rPr>
                  </w:pPr>
                  <w:r>
                    <w:rPr>
                      <w:szCs w:val="21"/>
                    </w:rPr>
                    <w:t>序号</w:t>
                  </w:r>
                </w:p>
              </w:tc>
              <w:tc>
                <w:tcPr>
                  <w:tcW w:w="874" w:type="pct"/>
                  <w:vMerge w:val="restart"/>
                  <w:noWrap/>
                  <w:vAlign w:val="center"/>
                </w:tcPr>
                <w:p>
                  <w:pPr>
                    <w:jc w:val="center"/>
                    <w:rPr>
                      <w:szCs w:val="21"/>
                    </w:rPr>
                  </w:pPr>
                  <w:r>
                    <w:rPr>
                      <w:szCs w:val="21"/>
                    </w:rPr>
                    <w:t>排放口编号</w:t>
                  </w:r>
                </w:p>
              </w:tc>
              <w:tc>
                <w:tcPr>
                  <w:tcW w:w="1656" w:type="pct"/>
                  <w:vMerge w:val="restart"/>
                  <w:noWrap/>
                  <w:vAlign w:val="center"/>
                </w:tcPr>
                <w:p>
                  <w:pPr>
                    <w:jc w:val="center"/>
                    <w:rPr>
                      <w:szCs w:val="21"/>
                    </w:rPr>
                  </w:pPr>
                  <w:r>
                    <w:rPr>
                      <w:szCs w:val="21"/>
                    </w:rPr>
                    <w:t>污染物种类</w:t>
                  </w:r>
                </w:p>
              </w:tc>
              <w:tc>
                <w:tcPr>
                  <w:tcW w:w="2175" w:type="pct"/>
                  <w:gridSpan w:val="2"/>
                  <w:noWrap/>
                  <w:vAlign w:val="center"/>
                </w:tcPr>
                <w:p>
                  <w:pPr>
                    <w:jc w:val="center"/>
                    <w:rPr>
                      <w:szCs w:val="21"/>
                      <w:vertAlign w:val="superscript"/>
                    </w:rPr>
                  </w:pPr>
                  <w:r>
                    <w:rPr>
                      <w:szCs w:val="21"/>
                    </w:rPr>
                    <w:t>国家或地方污染物排放标准及其他按规定商定的排放协议</w:t>
                  </w:r>
                  <w:r>
                    <w:rPr>
                      <w:szCs w:val="21"/>
                      <w:vertAlign w:val="superscript"/>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3" w:type="pct"/>
                  <w:vMerge w:val="continue"/>
                  <w:noWrap/>
                  <w:vAlign w:val="center"/>
                </w:tcPr>
                <w:p>
                  <w:pPr>
                    <w:jc w:val="center"/>
                    <w:rPr>
                      <w:szCs w:val="21"/>
                    </w:rPr>
                  </w:pPr>
                </w:p>
              </w:tc>
              <w:tc>
                <w:tcPr>
                  <w:tcW w:w="874" w:type="pct"/>
                  <w:vMerge w:val="continue"/>
                  <w:noWrap/>
                  <w:vAlign w:val="center"/>
                </w:tcPr>
                <w:p>
                  <w:pPr>
                    <w:jc w:val="center"/>
                    <w:rPr>
                      <w:szCs w:val="21"/>
                    </w:rPr>
                  </w:pPr>
                </w:p>
              </w:tc>
              <w:tc>
                <w:tcPr>
                  <w:tcW w:w="1656" w:type="pct"/>
                  <w:vMerge w:val="continue"/>
                  <w:noWrap/>
                  <w:vAlign w:val="center"/>
                </w:tcPr>
                <w:p>
                  <w:pPr>
                    <w:jc w:val="center"/>
                    <w:rPr>
                      <w:szCs w:val="21"/>
                    </w:rPr>
                  </w:pPr>
                </w:p>
              </w:tc>
              <w:tc>
                <w:tcPr>
                  <w:tcW w:w="1274" w:type="pct"/>
                  <w:noWrap/>
                  <w:vAlign w:val="center"/>
                </w:tcPr>
                <w:p>
                  <w:pPr>
                    <w:pStyle w:val="58"/>
                    <w:adjustRightInd w:val="0"/>
                    <w:snapToGrid w:val="0"/>
                    <w:jc w:val="center"/>
                  </w:pPr>
                  <w:r>
                    <w:t>名称</w:t>
                  </w:r>
                </w:p>
              </w:tc>
              <w:tc>
                <w:tcPr>
                  <w:tcW w:w="901" w:type="pct"/>
                  <w:noWrap/>
                  <w:vAlign w:val="center"/>
                </w:tcPr>
                <w:p>
                  <w:pPr>
                    <w:pStyle w:val="58"/>
                    <w:adjustRightInd w:val="0"/>
                    <w:snapToGrid w:val="0"/>
                    <w:jc w:val="center"/>
                  </w:pPr>
                  <w:r>
                    <w:t>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3" w:type="pct"/>
                  <w:noWrap/>
                  <w:vAlign w:val="center"/>
                </w:tcPr>
                <w:p>
                  <w:pPr>
                    <w:jc w:val="center"/>
                    <w:rPr>
                      <w:szCs w:val="21"/>
                    </w:rPr>
                  </w:pPr>
                  <w:r>
                    <w:rPr>
                      <w:szCs w:val="21"/>
                    </w:rPr>
                    <w:t>1</w:t>
                  </w:r>
                </w:p>
              </w:tc>
              <w:tc>
                <w:tcPr>
                  <w:tcW w:w="874" w:type="pct"/>
                  <w:noWrap/>
                  <w:vAlign w:val="center"/>
                </w:tcPr>
                <w:p>
                  <w:pPr>
                    <w:jc w:val="center"/>
                    <w:rPr>
                      <w:szCs w:val="21"/>
                    </w:rPr>
                  </w:pPr>
                  <w:r>
                    <w:rPr>
                      <w:szCs w:val="21"/>
                    </w:rPr>
                    <w:t>DW001</w:t>
                  </w:r>
                </w:p>
              </w:tc>
              <w:tc>
                <w:tcPr>
                  <w:tcW w:w="1656" w:type="pct"/>
                  <w:noWrap/>
                  <w:vAlign w:val="center"/>
                </w:tcPr>
                <w:p>
                  <w:pPr>
                    <w:pStyle w:val="57"/>
                    <w:jc w:val="center"/>
                  </w:pPr>
                  <w:r>
                    <w:t>氨氮（NH</w:t>
                  </w:r>
                  <w:r>
                    <w:rPr>
                      <w:vertAlign w:val="subscript"/>
                    </w:rPr>
                    <w:t>3</w:t>
                  </w:r>
                  <w:r>
                    <w:t>-N）</w:t>
                  </w:r>
                </w:p>
              </w:tc>
              <w:tc>
                <w:tcPr>
                  <w:tcW w:w="1274" w:type="pct"/>
                  <w:vMerge w:val="restart"/>
                  <w:noWrap/>
                  <w:vAlign w:val="center"/>
                </w:tcPr>
                <w:p>
                  <w:pPr>
                    <w:pStyle w:val="58"/>
                    <w:jc w:val="center"/>
                  </w:pPr>
                  <w:r>
                    <w:rPr>
                      <w:rFonts w:hint="eastAsia"/>
                    </w:rPr>
                    <w:t>《医疗机构水污染物排放标准》（GB18466-2005）</w:t>
                  </w:r>
                </w:p>
              </w:tc>
              <w:tc>
                <w:tcPr>
                  <w:tcW w:w="901" w:type="pct"/>
                  <w:noWrap/>
                  <w:vAlign w:val="center"/>
                </w:tcPr>
                <w:p>
                  <w:pPr>
                    <w:pStyle w:val="58"/>
                    <w:jc w:val="center"/>
                  </w:pPr>
                  <w: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3" w:type="pct"/>
                  <w:noWrap/>
                  <w:vAlign w:val="center"/>
                </w:tcPr>
                <w:p>
                  <w:pPr>
                    <w:jc w:val="center"/>
                    <w:rPr>
                      <w:szCs w:val="21"/>
                    </w:rPr>
                  </w:pPr>
                  <w:r>
                    <w:rPr>
                      <w:szCs w:val="21"/>
                    </w:rPr>
                    <w:t>2</w:t>
                  </w:r>
                </w:p>
              </w:tc>
              <w:tc>
                <w:tcPr>
                  <w:tcW w:w="874" w:type="pct"/>
                  <w:noWrap/>
                  <w:vAlign w:val="center"/>
                </w:tcPr>
                <w:p>
                  <w:pPr>
                    <w:jc w:val="center"/>
                    <w:rPr>
                      <w:szCs w:val="21"/>
                    </w:rPr>
                  </w:pPr>
                  <w:r>
                    <w:rPr>
                      <w:szCs w:val="21"/>
                    </w:rPr>
                    <w:t>DW001</w:t>
                  </w:r>
                </w:p>
              </w:tc>
              <w:tc>
                <w:tcPr>
                  <w:tcW w:w="1656" w:type="pct"/>
                  <w:noWrap/>
                  <w:vAlign w:val="center"/>
                </w:tcPr>
                <w:p>
                  <w:pPr>
                    <w:pStyle w:val="57"/>
                    <w:jc w:val="center"/>
                  </w:pPr>
                  <w:r>
                    <w:t>pH值</w:t>
                  </w:r>
                </w:p>
              </w:tc>
              <w:tc>
                <w:tcPr>
                  <w:tcW w:w="1274" w:type="pct"/>
                  <w:vMerge w:val="continue"/>
                  <w:noWrap/>
                  <w:vAlign w:val="center"/>
                </w:tcPr>
                <w:p>
                  <w:pPr>
                    <w:pStyle w:val="58"/>
                    <w:jc w:val="center"/>
                  </w:pPr>
                </w:p>
              </w:tc>
              <w:tc>
                <w:tcPr>
                  <w:tcW w:w="901" w:type="pct"/>
                  <w:noWrap/>
                  <w:vAlign w:val="center"/>
                </w:tcPr>
                <w:p>
                  <w:pPr>
                    <w:pStyle w:val="58"/>
                    <w:jc w:val="center"/>
                  </w:pPr>
                  <w:r>
                    <w:t>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3" w:type="pct"/>
                  <w:noWrap/>
                  <w:vAlign w:val="center"/>
                </w:tcPr>
                <w:p>
                  <w:pPr>
                    <w:jc w:val="center"/>
                    <w:rPr>
                      <w:szCs w:val="21"/>
                    </w:rPr>
                  </w:pPr>
                  <w:r>
                    <w:rPr>
                      <w:szCs w:val="21"/>
                    </w:rPr>
                    <w:t>3</w:t>
                  </w:r>
                </w:p>
              </w:tc>
              <w:tc>
                <w:tcPr>
                  <w:tcW w:w="874" w:type="pct"/>
                  <w:noWrap/>
                  <w:vAlign w:val="center"/>
                </w:tcPr>
                <w:p>
                  <w:pPr>
                    <w:jc w:val="center"/>
                    <w:rPr>
                      <w:szCs w:val="21"/>
                    </w:rPr>
                  </w:pPr>
                  <w:r>
                    <w:rPr>
                      <w:szCs w:val="21"/>
                    </w:rPr>
                    <w:t>DW001</w:t>
                  </w:r>
                </w:p>
              </w:tc>
              <w:tc>
                <w:tcPr>
                  <w:tcW w:w="1656" w:type="pct"/>
                  <w:noWrap/>
                  <w:vAlign w:val="center"/>
                </w:tcPr>
                <w:p>
                  <w:pPr>
                    <w:pStyle w:val="57"/>
                    <w:jc w:val="center"/>
                  </w:pPr>
                  <w:r>
                    <w:t>化学需氧量</w:t>
                  </w:r>
                </w:p>
              </w:tc>
              <w:tc>
                <w:tcPr>
                  <w:tcW w:w="1274" w:type="pct"/>
                  <w:vMerge w:val="continue"/>
                  <w:noWrap/>
                  <w:vAlign w:val="center"/>
                </w:tcPr>
                <w:p>
                  <w:pPr>
                    <w:pStyle w:val="58"/>
                    <w:jc w:val="center"/>
                  </w:pPr>
                </w:p>
              </w:tc>
              <w:tc>
                <w:tcPr>
                  <w:tcW w:w="901" w:type="pct"/>
                  <w:noWrap/>
                  <w:vAlign w:val="center"/>
                </w:tcPr>
                <w:p>
                  <w:pPr>
                    <w:pStyle w:val="58"/>
                    <w:jc w:val="center"/>
                  </w:pPr>
                  <w:r>
                    <w:rPr>
                      <w:rFonts w:hint="eastAsia"/>
                    </w:rPr>
                    <w:t>250</w:t>
                  </w:r>
                  <w:r>
                    <w:t>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3" w:type="pct"/>
                  <w:noWrap/>
                  <w:vAlign w:val="center"/>
                </w:tcPr>
                <w:p>
                  <w:pPr>
                    <w:jc w:val="center"/>
                    <w:rPr>
                      <w:szCs w:val="21"/>
                    </w:rPr>
                  </w:pPr>
                  <w:r>
                    <w:rPr>
                      <w:szCs w:val="21"/>
                    </w:rPr>
                    <w:t>4</w:t>
                  </w:r>
                </w:p>
              </w:tc>
              <w:tc>
                <w:tcPr>
                  <w:tcW w:w="874" w:type="pct"/>
                  <w:noWrap/>
                  <w:vAlign w:val="center"/>
                </w:tcPr>
                <w:p>
                  <w:pPr>
                    <w:jc w:val="center"/>
                    <w:rPr>
                      <w:szCs w:val="21"/>
                    </w:rPr>
                  </w:pPr>
                  <w:r>
                    <w:rPr>
                      <w:szCs w:val="21"/>
                    </w:rPr>
                    <w:t>DW001</w:t>
                  </w:r>
                </w:p>
              </w:tc>
              <w:tc>
                <w:tcPr>
                  <w:tcW w:w="1656" w:type="pct"/>
                  <w:noWrap/>
                  <w:vAlign w:val="center"/>
                </w:tcPr>
                <w:p>
                  <w:pPr>
                    <w:pStyle w:val="57"/>
                    <w:jc w:val="center"/>
                  </w:pPr>
                  <w:r>
                    <w:rPr>
                      <w:kern w:val="0"/>
                      <w:szCs w:val="21"/>
                    </w:rPr>
                    <w:t>粪大肠菌群数</w:t>
                  </w:r>
                </w:p>
              </w:tc>
              <w:tc>
                <w:tcPr>
                  <w:tcW w:w="1274" w:type="pct"/>
                  <w:vMerge w:val="continue"/>
                  <w:noWrap/>
                  <w:vAlign w:val="center"/>
                </w:tcPr>
                <w:p>
                  <w:pPr>
                    <w:pStyle w:val="58"/>
                    <w:jc w:val="center"/>
                  </w:pPr>
                </w:p>
              </w:tc>
              <w:tc>
                <w:tcPr>
                  <w:tcW w:w="901" w:type="pct"/>
                  <w:noWrap/>
                  <w:vAlign w:val="center"/>
                </w:tcPr>
                <w:p>
                  <w:pPr>
                    <w:pStyle w:val="58"/>
                    <w:jc w:val="center"/>
                  </w:pPr>
                  <w:r>
                    <w:rPr>
                      <w:rFonts w:hint="eastAsia"/>
                      <w:kern w:val="0"/>
                      <w:szCs w:val="21"/>
                    </w:rPr>
                    <w:t>5000</w:t>
                  </w:r>
                  <w:r>
                    <w:rPr>
                      <w:kern w:val="0"/>
                      <w:szCs w:val="21"/>
                    </w:rPr>
                    <w:t>MPN/L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3" w:type="pct"/>
                  <w:noWrap/>
                  <w:vAlign w:val="center"/>
                </w:tcPr>
                <w:p>
                  <w:pPr>
                    <w:jc w:val="center"/>
                    <w:rPr>
                      <w:szCs w:val="21"/>
                    </w:rPr>
                  </w:pPr>
                  <w:r>
                    <w:rPr>
                      <w:szCs w:val="21"/>
                    </w:rPr>
                    <w:t>5</w:t>
                  </w:r>
                </w:p>
              </w:tc>
              <w:tc>
                <w:tcPr>
                  <w:tcW w:w="874" w:type="pct"/>
                  <w:noWrap/>
                  <w:vAlign w:val="center"/>
                </w:tcPr>
                <w:p>
                  <w:pPr>
                    <w:jc w:val="center"/>
                    <w:rPr>
                      <w:szCs w:val="21"/>
                    </w:rPr>
                  </w:pPr>
                  <w:r>
                    <w:rPr>
                      <w:szCs w:val="21"/>
                    </w:rPr>
                    <w:t>DW001</w:t>
                  </w:r>
                </w:p>
              </w:tc>
              <w:tc>
                <w:tcPr>
                  <w:tcW w:w="1656" w:type="pct"/>
                  <w:noWrap/>
                  <w:vAlign w:val="center"/>
                </w:tcPr>
                <w:p>
                  <w:pPr>
                    <w:pStyle w:val="57"/>
                    <w:jc w:val="center"/>
                  </w:pPr>
                  <w:r>
                    <w:t>五日生化需氧量</w:t>
                  </w:r>
                </w:p>
              </w:tc>
              <w:tc>
                <w:tcPr>
                  <w:tcW w:w="1274" w:type="pct"/>
                  <w:vMerge w:val="continue"/>
                  <w:noWrap/>
                  <w:vAlign w:val="center"/>
                </w:tcPr>
                <w:p>
                  <w:pPr>
                    <w:pStyle w:val="58"/>
                    <w:jc w:val="center"/>
                  </w:pPr>
                </w:p>
              </w:tc>
              <w:tc>
                <w:tcPr>
                  <w:tcW w:w="901" w:type="pct"/>
                  <w:noWrap/>
                  <w:vAlign w:val="center"/>
                </w:tcPr>
                <w:p>
                  <w:pPr>
                    <w:pStyle w:val="58"/>
                    <w:jc w:val="center"/>
                  </w:pPr>
                  <w:r>
                    <w:rPr>
                      <w:rFonts w:hint="eastAsia"/>
                    </w:rPr>
                    <w:t>10</w:t>
                  </w:r>
                  <w:r>
                    <w:t>0mg/L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93" w:type="pct"/>
                  <w:noWrap/>
                  <w:vAlign w:val="center"/>
                </w:tcPr>
                <w:p>
                  <w:pPr>
                    <w:jc w:val="center"/>
                    <w:rPr>
                      <w:szCs w:val="21"/>
                    </w:rPr>
                  </w:pPr>
                  <w:r>
                    <w:rPr>
                      <w:szCs w:val="21"/>
                    </w:rPr>
                    <w:t>6</w:t>
                  </w:r>
                </w:p>
              </w:tc>
              <w:tc>
                <w:tcPr>
                  <w:tcW w:w="874" w:type="pct"/>
                  <w:noWrap/>
                  <w:vAlign w:val="center"/>
                </w:tcPr>
                <w:p>
                  <w:pPr>
                    <w:jc w:val="center"/>
                    <w:rPr>
                      <w:szCs w:val="21"/>
                    </w:rPr>
                  </w:pPr>
                  <w:r>
                    <w:rPr>
                      <w:szCs w:val="21"/>
                    </w:rPr>
                    <w:t>DW001</w:t>
                  </w:r>
                </w:p>
              </w:tc>
              <w:tc>
                <w:tcPr>
                  <w:tcW w:w="1656" w:type="pct"/>
                  <w:noWrap/>
                  <w:vAlign w:val="center"/>
                </w:tcPr>
                <w:p>
                  <w:pPr>
                    <w:pStyle w:val="57"/>
                    <w:jc w:val="center"/>
                  </w:pPr>
                  <w:r>
                    <w:t>悬浮物</w:t>
                  </w:r>
                </w:p>
              </w:tc>
              <w:tc>
                <w:tcPr>
                  <w:tcW w:w="1274" w:type="pct"/>
                  <w:vMerge w:val="continue"/>
                  <w:noWrap/>
                  <w:vAlign w:val="center"/>
                </w:tcPr>
                <w:p>
                  <w:pPr>
                    <w:pStyle w:val="58"/>
                    <w:jc w:val="center"/>
                  </w:pPr>
                </w:p>
              </w:tc>
              <w:tc>
                <w:tcPr>
                  <w:tcW w:w="901" w:type="pct"/>
                  <w:noWrap/>
                  <w:vAlign w:val="center"/>
                </w:tcPr>
                <w:p>
                  <w:pPr>
                    <w:pStyle w:val="58"/>
                    <w:jc w:val="center"/>
                  </w:pPr>
                  <w:r>
                    <w:rPr>
                      <w:rFonts w:hint="eastAsia"/>
                    </w:rPr>
                    <w:t>60</w:t>
                  </w:r>
                  <w:r>
                    <w:t xml:space="preserve">mg/L </w:t>
                  </w:r>
                </w:p>
              </w:tc>
            </w:tr>
          </w:tbl>
          <w:p>
            <w:pPr>
              <w:spacing w:line="360" w:lineRule="auto"/>
              <w:ind w:firstLine="420" w:firstLineChars="200"/>
              <w:rPr>
                <w:rFonts w:cs="仿宋_GB2312"/>
                <w:snapToGrid w:val="0"/>
                <w:szCs w:val="21"/>
              </w:rPr>
            </w:pPr>
            <w:r>
              <w:rPr>
                <w:rFonts w:hint="eastAsia" w:cs="仿宋_GB2312"/>
                <w:snapToGrid w:val="0"/>
                <w:szCs w:val="21"/>
              </w:rPr>
              <w:t>（2）达标</w:t>
            </w:r>
            <w:r>
              <w:rPr>
                <w:rFonts w:cs="仿宋_GB2312"/>
                <w:snapToGrid w:val="0"/>
                <w:szCs w:val="21"/>
              </w:rPr>
              <w:t>排放分析</w:t>
            </w:r>
          </w:p>
          <w:p>
            <w:pPr>
              <w:spacing w:line="360" w:lineRule="auto"/>
              <w:ind w:firstLine="420" w:firstLineChars="200"/>
              <w:rPr>
                <w:szCs w:val="21"/>
              </w:rPr>
            </w:pPr>
            <w:r>
              <w:rPr>
                <w:rFonts w:hint="eastAsia"/>
                <w:szCs w:val="21"/>
              </w:rPr>
              <w:t>本项目污水治理与《排污许可证申请与核发技术规范 医疗机构》（HJ 1105-2020）医疗机构污水治理可行性技术对比表见表</w:t>
            </w:r>
            <w:r>
              <w:rPr>
                <w:rFonts w:hint="eastAsia"/>
                <w:szCs w:val="21"/>
                <w:lang w:val="en-US" w:eastAsia="zh-CN"/>
              </w:rPr>
              <w:t>22</w:t>
            </w:r>
            <w:r>
              <w:rPr>
                <w:rFonts w:hint="eastAsia"/>
                <w:szCs w:val="21"/>
              </w:rPr>
              <w:t>。</w:t>
            </w:r>
          </w:p>
          <w:p>
            <w:pPr>
              <w:pStyle w:val="32"/>
              <w:keepNext w:val="0"/>
              <w:keepLines w:val="0"/>
              <w:pageBreakBefore w:val="0"/>
              <w:widowControl/>
              <w:kinsoku/>
              <w:wordWrap/>
              <w:overflowPunct/>
              <w:topLinePunct w:val="0"/>
              <w:autoSpaceDE/>
              <w:autoSpaceDN/>
              <w:bidi w:val="0"/>
              <w:adjustRightInd/>
              <w:snapToGrid/>
              <w:ind w:left="0"/>
              <w:textAlignment w:val="auto"/>
            </w:pPr>
            <w:r>
              <w:rPr>
                <w:rFonts w:hint="eastAsia"/>
              </w:rPr>
              <w:t xml:space="preserve"> 污水治理与排污许可申请与核发技术规范可行性技术对比表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2"/>
              <w:gridCol w:w="1853"/>
              <w:gridCol w:w="815"/>
              <w:gridCol w:w="2732"/>
              <w:gridCol w:w="1411"/>
              <w:gridCol w:w="8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07" w:type="pct"/>
                  <w:noWrap/>
                  <w:vAlign w:val="center"/>
                </w:tcPr>
                <w:p>
                  <w:pPr>
                    <w:jc w:val="center"/>
                    <w:rPr>
                      <w:szCs w:val="21"/>
                    </w:rPr>
                  </w:pPr>
                  <w:r>
                    <w:rPr>
                      <w:rFonts w:hint="eastAsia"/>
                      <w:szCs w:val="21"/>
                    </w:rPr>
                    <w:t>污水类别</w:t>
                  </w:r>
                </w:p>
              </w:tc>
              <w:tc>
                <w:tcPr>
                  <w:tcW w:w="1090" w:type="pct"/>
                  <w:noWrap/>
                  <w:vAlign w:val="center"/>
                </w:tcPr>
                <w:p>
                  <w:pPr>
                    <w:jc w:val="center"/>
                    <w:rPr>
                      <w:szCs w:val="21"/>
                    </w:rPr>
                  </w:pPr>
                  <w:r>
                    <w:rPr>
                      <w:szCs w:val="21"/>
                    </w:rPr>
                    <w:t>污染物</w:t>
                  </w:r>
                  <w:r>
                    <w:rPr>
                      <w:rFonts w:hint="eastAsia"/>
                      <w:szCs w:val="21"/>
                    </w:rPr>
                    <w:t>种类</w:t>
                  </w:r>
                </w:p>
              </w:tc>
              <w:tc>
                <w:tcPr>
                  <w:tcW w:w="480" w:type="pct"/>
                  <w:noWrap/>
                  <w:vAlign w:val="center"/>
                </w:tcPr>
                <w:p>
                  <w:pPr>
                    <w:jc w:val="center"/>
                    <w:rPr>
                      <w:szCs w:val="21"/>
                    </w:rPr>
                  </w:pPr>
                  <w:r>
                    <w:rPr>
                      <w:rFonts w:hint="eastAsia"/>
                      <w:szCs w:val="21"/>
                    </w:rPr>
                    <w:t>排放去向</w:t>
                  </w:r>
                </w:p>
              </w:tc>
              <w:tc>
                <w:tcPr>
                  <w:tcW w:w="1608" w:type="pct"/>
                  <w:noWrap/>
                  <w:vAlign w:val="center"/>
                </w:tcPr>
                <w:p>
                  <w:pPr>
                    <w:jc w:val="center"/>
                    <w:rPr>
                      <w:szCs w:val="21"/>
                    </w:rPr>
                  </w:pPr>
                  <w:r>
                    <w:rPr>
                      <w:szCs w:val="21"/>
                    </w:rPr>
                    <w:t>《排污许可证申请与核发技术规范 医疗机构》（HJ1105-2020）医疗机构治理</w:t>
                  </w:r>
                  <w:r>
                    <w:rPr>
                      <w:rFonts w:hint="eastAsia"/>
                      <w:szCs w:val="21"/>
                    </w:rPr>
                    <w:t>措施</w:t>
                  </w:r>
                  <w:r>
                    <w:rPr>
                      <w:szCs w:val="21"/>
                    </w:rPr>
                    <w:t>可行性技术</w:t>
                  </w:r>
                </w:p>
              </w:tc>
              <w:tc>
                <w:tcPr>
                  <w:tcW w:w="831" w:type="pct"/>
                  <w:noWrap/>
                  <w:vAlign w:val="center"/>
                </w:tcPr>
                <w:p>
                  <w:pPr>
                    <w:jc w:val="center"/>
                    <w:rPr>
                      <w:szCs w:val="21"/>
                    </w:rPr>
                  </w:pPr>
                  <w:r>
                    <w:rPr>
                      <w:rFonts w:hint="eastAsia"/>
                      <w:szCs w:val="21"/>
                    </w:rPr>
                    <w:t>本项目</w:t>
                  </w:r>
                  <w:r>
                    <w:rPr>
                      <w:szCs w:val="21"/>
                    </w:rPr>
                    <w:t>污水治理</w:t>
                  </w:r>
                  <w:r>
                    <w:rPr>
                      <w:rFonts w:hint="eastAsia"/>
                      <w:szCs w:val="21"/>
                    </w:rPr>
                    <w:t>措施</w:t>
                  </w:r>
                </w:p>
              </w:tc>
              <w:tc>
                <w:tcPr>
                  <w:tcW w:w="481" w:type="pct"/>
                  <w:noWrap/>
                  <w:vAlign w:val="center"/>
                </w:tcPr>
                <w:p>
                  <w:pPr>
                    <w:jc w:val="center"/>
                    <w:rPr>
                      <w:szCs w:val="21"/>
                    </w:rPr>
                  </w:pPr>
                  <w:r>
                    <w:rPr>
                      <w:szCs w:val="21"/>
                    </w:rPr>
                    <w:t>是否为可行性技术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7" w:type="pct"/>
                  <w:noWrap/>
                  <w:vAlign w:val="center"/>
                </w:tcPr>
                <w:p>
                  <w:pPr>
                    <w:jc w:val="center"/>
                    <w:rPr>
                      <w:szCs w:val="21"/>
                    </w:rPr>
                  </w:pPr>
                  <w:r>
                    <w:rPr>
                      <w:rFonts w:hint="eastAsia"/>
                      <w:szCs w:val="21"/>
                    </w:rPr>
                    <w:t>医疗污水</w:t>
                  </w:r>
                </w:p>
              </w:tc>
              <w:tc>
                <w:tcPr>
                  <w:tcW w:w="1090" w:type="pct"/>
                  <w:noWrap/>
                  <w:vAlign w:val="center"/>
                </w:tcPr>
                <w:p>
                  <w:pPr>
                    <w:jc w:val="center"/>
                    <w:rPr>
                      <w:szCs w:val="21"/>
                    </w:rPr>
                  </w:pPr>
                  <w:r>
                    <w:rPr>
                      <w:rFonts w:hint="eastAsia"/>
                      <w:szCs w:val="21"/>
                    </w:rPr>
                    <w:t>粪大肠菌群、肠道治病菌、肠道病毒、化学需氧量、氨氮、pH、悬浮物、五日生化需氧量、动植物油、石油类、阴离子表面活性剂、挥发酚、色度、总氰化物、总余氯</w:t>
                  </w:r>
                </w:p>
              </w:tc>
              <w:tc>
                <w:tcPr>
                  <w:tcW w:w="480" w:type="pct"/>
                  <w:noWrap/>
                  <w:vAlign w:val="center"/>
                </w:tcPr>
                <w:p>
                  <w:pPr>
                    <w:jc w:val="center"/>
                    <w:rPr>
                      <w:szCs w:val="21"/>
                    </w:rPr>
                  </w:pPr>
                  <w:r>
                    <w:rPr>
                      <w:rFonts w:hint="eastAsia"/>
                      <w:szCs w:val="21"/>
                    </w:rPr>
                    <w:t>排入城镇污水处理厂</w:t>
                  </w:r>
                </w:p>
              </w:tc>
              <w:tc>
                <w:tcPr>
                  <w:tcW w:w="1608" w:type="pct"/>
                  <w:noWrap/>
                  <w:vAlign w:val="center"/>
                </w:tcPr>
                <w:p>
                  <w:pPr>
                    <w:jc w:val="center"/>
                  </w:pPr>
                  <w:r>
                    <w:rPr>
                      <w:rFonts w:hint="eastAsia"/>
                    </w:rPr>
                    <w:t>一级处理/一级强化处理+消毒工艺。</w:t>
                  </w:r>
                </w:p>
                <w:p>
                  <w:pPr>
                    <w:pStyle w:val="21"/>
                    <w:ind w:left="0" w:leftChars="0"/>
                  </w:pPr>
                  <w:r>
                    <w:rPr>
                      <w:rFonts w:hint="eastAsia"/>
                    </w:rPr>
                    <w:t>一级处理包括：筛滤法；沉淀法；气浮法；预曝气法。</w:t>
                  </w:r>
                </w:p>
                <w:p>
                  <w:r>
                    <w:rPr>
                      <w:rFonts w:hint="eastAsia"/>
                    </w:rPr>
                    <w:t>一级强化处理包括：化学混凝处理、机械过滤或不完全生物处理。</w:t>
                  </w:r>
                </w:p>
                <w:p>
                  <w:pPr>
                    <w:pStyle w:val="21"/>
                    <w:ind w:left="0" w:leftChars="0"/>
                  </w:pPr>
                  <w:r>
                    <w:rPr>
                      <w:rFonts w:hint="eastAsia"/>
                    </w:rPr>
                    <w:t>消毒工艺：加氯消毒、臭氧法消毒、次氯酸钠法、二氧化氯法消毒、紫外线消毒。</w:t>
                  </w:r>
                </w:p>
              </w:tc>
              <w:tc>
                <w:tcPr>
                  <w:tcW w:w="831" w:type="pct"/>
                  <w:noWrap/>
                  <w:vAlign w:val="center"/>
                </w:tcPr>
                <w:p>
                  <w:pPr>
                    <w:jc w:val="center"/>
                    <w:rPr>
                      <w:szCs w:val="21"/>
                    </w:rPr>
                  </w:pPr>
                  <w:r>
                    <w:rPr>
                      <w:rFonts w:hint="eastAsia"/>
                    </w:rPr>
                    <w:t>一级强化处理+消毒工艺，一级强化工艺为混凝沉淀，消毒工艺为二氧化氯法消毒</w:t>
                  </w:r>
                </w:p>
              </w:tc>
              <w:tc>
                <w:tcPr>
                  <w:tcW w:w="481" w:type="pct"/>
                  <w:noWrap/>
                  <w:vAlign w:val="center"/>
                </w:tcPr>
                <w:p>
                  <w:pPr>
                    <w:jc w:val="center"/>
                    <w:rPr>
                      <w:szCs w:val="21"/>
                    </w:rPr>
                  </w:pPr>
                  <w:r>
                    <w:rPr>
                      <w:szCs w:val="21"/>
                    </w:rPr>
                    <w:t>是</w:t>
                  </w:r>
                </w:p>
              </w:tc>
            </w:tr>
          </w:tbl>
          <w:p>
            <w:pPr>
              <w:spacing w:line="360" w:lineRule="auto"/>
              <w:ind w:firstLine="420" w:firstLineChars="200"/>
              <w:rPr>
                <w:kern w:val="21"/>
                <w:szCs w:val="21"/>
              </w:rPr>
            </w:pPr>
            <w:r>
              <w:rPr>
                <w:rFonts w:hint="eastAsia"/>
                <w:kern w:val="0"/>
                <w:szCs w:val="21"/>
              </w:rPr>
              <w:t>本项目污水治理措施是《排污许可证申请与核发技术规范 医疗机构》（HJ 1105-2020）医疗机构废气治理可行性技术，工艺可行。</w:t>
            </w:r>
          </w:p>
          <w:p>
            <w:pPr>
              <w:spacing w:line="360" w:lineRule="auto"/>
              <w:ind w:firstLine="420" w:firstLineChars="200"/>
              <w:rPr>
                <w:kern w:val="21"/>
                <w:szCs w:val="21"/>
              </w:rPr>
            </w:pPr>
            <w:r>
              <w:rPr>
                <w:rFonts w:hint="eastAsia"/>
                <w:kern w:val="21"/>
                <w:szCs w:val="21"/>
              </w:rPr>
              <w:t>本项目核酸检测基地实验室废水经二氧化氯消毒预处理后与本项目核酸检测基地办公区生活污水一同进入本项目污水处理间处理，污水处理规模20m</w:t>
            </w:r>
            <w:r>
              <w:rPr>
                <w:rFonts w:hint="eastAsia"/>
                <w:kern w:val="21"/>
                <w:szCs w:val="21"/>
                <w:vertAlign w:val="superscript"/>
              </w:rPr>
              <w:t>3</w:t>
            </w:r>
            <w:r>
              <w:rPr>
                <w:rFonts w:hint="eastAsia"/>
                <w:kern w:val="21"/>
                <w:szCs w:val="21"/>
              </w:rPr>
              <w:t>/d，处理工艺采用采用“混凝沉淀+二氧化氯消毒”工艺，废水经处理后可以达到《医疗机构水污染物排放标准》 （GB18466-2005）中表2预处理标准，</w:t>
            </w:r>
            <w:r>
              <w:rPr>
                <w:rFonts w:hint="eastAsia"/>
                <w:szCs w:val="21"/>
              </w:rPr>
              <w:t>经市政管网排入</w:t>
            </w:r>
            <w:r>
              <w:rPr>
                <w:szCs w:val="21"/>
              </w:rPr>
              <w:t>哈尔滨市松北供排水有限公司（原松浦污水处理厂）处理达标后排入松花江</w:t>
            </w:r>
            <w:r>
              <w:rPr>
                <w:rFonts w:hint="eastAsia"/>
                <w:kern w:val="21"/>
                <w:szCs w:val="21"/>
              </w:rPr>
              <w:t>，在正常工况下，对区域地表水环境不会产生不良影响。</w:t>
            </w:r>
          </w:p>
          <w:p>
            <w:pPr>
              <w:spacing w:line="360" w:lineRule="auto"/>
              <w:ind w:firstLine="420" w:firstLineChars="200"/>
              <w:rPr>
                <w:kern w:val="21"/>
                <w:szCs w:val="21"/>
              </w:rPr>
            </w:pPr>
            <w:r>
              <w:rPr>
                <w:rFonts w:hint="eastAsia"/>
                <w:kern w:val="21"/>
                <w:szCs w:val="21"/>
              </w:rPr>
              <w:t>本项目污水处理间一旦发生事故时，废水未经处理排放进入市政污水管道，很快会进入</w:t>
            </w:r>
            <w:r>
              <w:rPr>
                <w:szCs w:val="21"/>
              </w:rPr>
              <w:t>哈尔滨市松北供排水有限公司</w:t>
            </w:r>
            <w:r>
              <w:rPr>
                <w:rFonts w:hint="eastAsia"/>
                <w:kern w:val="21"/>
                <w:szCs w:val="21"/>
              </w:rPr>
              <w:t>，对污水处理厂的水质会造成一定的冲击。一旦项目污水处理间发生事故，项目废水经收集进入事故应急池，根据《医院污水处理工程技术规范》（HJ2029-2013）12.4.1条款中“非传染病医院污水处理工程应急事故池容积不小于日排放量的30%”的要求，本项目设置可容纳污水处理站出现事故时的事故水池，容量为6.0m</w:t>
            </w:r>
            <w:r>
              <w:rPr>
                <w:rFonts w:hint="eastAsia"/>
                <w:kern w:val="21"/>
                <w:szCs w:val="21"/>
                <w:vertAlign w:val="superscript"/>
              </w:rPr>
              <w:t>3</w:t>
            </w:r>
            <w:r>
              <w:rPr>
                <w:rFonts w:hint="eastAsia"/>
                <w:kern w:val="21"/>
                <w:szCs w:val="21"/>
              </w:rPr>
              <w:t>。因此发生事故时，事故池足够容纳事故时项目产生的污水，避免污染地表水体和污染地下水。</w:t>
            </w:r>
          </w:p>
          <w:p>
            <w:pPr>
              <w:spacing w:line="360" w:lineRule="auto"/>
              <w:ind w:firstLine="420" w:firstLineChars="200"/>
              <w:rPr>
                <w:kern w:val="21"/>
                <w:szCs w:val="21"/>
              </w:rPr>
            </w:pPr>
            <w:r>
              <w:rPr>
                <w:rFonts w:hint="eastAsia"/>
                <w:kern w:val="21"/>
                <w:szCs w:val="21"/>
              </w:rPr>
              <w:t>（3）废水依托</w:t>
            </w:r>
            <w:r>
              <w:rPr>
                <w:szCs w:val="21"/>
              </w:rPr>
              <w:t>哈尔滨市松北供排水有限公司</w:t>
            </w:r>
            <w:r>
              <w:rPr>
                <w:rFonts w:hint="eastAsia"/>
                <w:kern w:val="21"/>
                <w:szCs w:val="21"/>
              </w:rPr>
              <w:t>可行性分析</w:t>
            </w:r>
          </w:p>
          <w:p>
            <w:pPr>
              <w:pStyle w:val="42"/>
              <w:ind w:firstLine="420"/>
            </w:pPr>
            <w:r>
              <w:rPr>
                <w:rFonts w:hint="eastAsia"/>
              </w:rPr>
              <w:t>松浦污水处理厂主要负责处理松北区域的生活污水，采用CASS工艺。设计进水指标为CODs&lt;500mgL、BOD5&lt;190mg/L、氨氮&lt;45mg/L、SS&lt;250mg/L、TN&lt;55mg/L、TP&lt;5mg/L，出水水质达到《城镇污水处理厂污染物排放标准》（GB18918-2002）一级A排放标准后排入松花江。设计处理能力为处理污水10万m</w:t>
            </w:r>
            <w:r>
              <w:rPr>
                <w:rFonts w:hint="eastAsia"/>
                <w:vertAlign w:val="superscript"/>
              </w:rPr>
              <w:t>3</w:t>
            </w:r>
            <w:r>
              <w:rPr>
                <w:rFonts w:hint="eastAsia"/>
              </w:rPr>
              <w:t>/d，目前平均处理污水量为4万m</w:t>
            </w:r>
            <w:r>
              <w:rPr>
                <w:rFonts w:hint="eastAsia"/>
                <w:vertAlign w:val="superscript"/>
              </w:rPr>
              <w:t>3</w:t>
            </w:r>
            <w:r>
              <w:rPr>
                <w:rFonts w:hint="eastAsia"/>
              </w:rPr>
              <w:t>/d。本项目废水排放量为5m</w:t>
            </w:r>
            <w:r>
              <w:rPr>
                <w:rFonts w:hint="eastAsia"/>
                <w:vertAlign w:val="superscript"/>
              </w:rPr>
              <w:t>3</w:t>
            </w:r>
            <w:r>
              <w:rPr>
                <w:rFonts w:hint="eastAsia"/>
              </w:rPr>
              <w:t>/d，对水量负荷影响很小。本项目废水中各污染物排放浓度均可以满足其入水水质标准，因此依托该污水厂处理本项目外排废水可行。</w:t>
            </w:r>
          </w:p>
          <w:p>
            <w:pPr>
              <w:spacing w:line="360" w:lineRule="auto"/>
              <w:ind w:left="420" w:leftChars="200"/>
              <w:rPr>
                <w:kern w:val="21"/>
                <w:szCs w:val="21"/>
              </w:rPr>
            </w:pPr>
            <w:r>
              <w:rPr>
                <w:rFonts w:hint="eastAsia"/>
                <w:kern w:val="21"/>
                <w:szCs w:val="21"/>
              </w:rPr>
              <w:t>（4）监测要求</w:t>
            </w:r>
          </w:p>
          <w:p>
            <w:pPr>
              <w:spacing w:line="360" w:lineRule="auto"/>
              <w:ind w:firstLine="420" w:firstLineChars="200"/>
              <w:rPr>
                <w:kern w:val="21"/>
                <w:szCs w:val="21"/>
              </w:rPr>
            </w:pPr>
            <w:r>
              <w:rPr>
                <w:rFonts w:hint="eastAsia"/>
                <w:kern w:val="21"/>
                <w:szCs w:val="21"/>
              </w:rPr>
              <w:t>根据《固定污染源排污许可分类管理名录（2019年版）》，本次评价参考《排污单位自行监测技术指南 总则》（HJ819-2017）、《排污许可证申请与核发技术规范 医疗机构》（HJ1105-2020）提出废水监测要求，监测点位为污水处理间排放口和接触池出口（消毒池），具体废水监测指标及监测频次见表</w:t>
            </w:r>
            <w:r>
              <w:rPr>
                <w:rFonts w:hint="eastAsia"/>
                <w:kern w:val="21"/>
                <w:szCs w:val="21"/>
                <w:lang w:val="en-US" w:eastAsia="zh-CN"/>
              </w:rPr>
              <w:t>23</w:t>
            </w:r>
            <w:r>
              <w:rPr>
                <w:rFonts w:hint="eastAsia"/>
                <w:kern w:val="21"/>
                <w:szCs w:val="21"/>
              </w:rPr>
              <w:t>。</w:t>
            </w:r>
          </w:p>
          <w:p>
            <w:pPr>
              <w:pStyle w:val="32"/>
              <w:keepNext w:val="0"/>
              <w:keepLines w:val="0"/>
              <w:pageBreakBefore w:val="0"/>
              <w:widowControl/>
              <w:kinsoku/>
              <w:wordWrap/>
              <w:overflowPunct/>
              <w:topLinePunct w:val="0"/>
              <w:autoSpaceDE/>
              <w:autoSpaceDN/>
              <w:bidi w:val="0"/>
              <w:adjustRightInd/>
              <w:snapToGrid/>
              <w:ind w:left="0"/>
              <w:textAlignment w:val="auto"/>
            </w:pPr>
            <w:r>
              <w:t>废水监测要求</w:t>
            </w:r>
          </w:p>
          <w:tbl>
            <w:tblPr>
              <w:tblStyle w:val="26"/>
              <w:tblW w:w="503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25"/>
              <w:gridCol w:w="4405"/>
              <w:gridCol w:w="21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184" w:type="pct"/>
                  <w:noWrap/>
                  <w:vAlign w:val="center"/>
                </w:tcPr>
                <w:p>
                  <w:pPr>
                    <w:adjustRightInd w:val="0"/>
                    <w:snapToGrid w:val="0"/>
                    <w:jc w:val="center"/>
                    <w:rPr>
                      <w:szCs w:val="21"/>
                    </w:rPr>
                  </w:pPr>
                  <w:r>
                    <w:rPr>
                      <w:rFonts w:hint="eastAsia"/>
                      <w:szCs w:val="21"/>
                    </w:rPr>
                    <w:t>监测点位</w:t>
                  </w:r>
                </w:p>
              </w:tc>
              <w:tc>
                <w:tcPr>
                  <w:tcW w:w="2576" w:type="pct"/>
                  <w:noWrap/>
                  <w:vAlign w:val="center"/>
                </w:tcPr>
                <w:p>
                  <w:pPr>
                    <w:adjustRightInd w:val="0"/>
                    <w:snapToGrid w:val="0"/>
                    <w:jc w:val="center"/>
                    <w:rPr>
                      <w:szCs w:val="21"/>
                    </w:rPr>
                  </w:pPr>
                  <w:r>
                    <w:rPr>
                      <w:rFonts w:hint="eastAsia"/>
                      <w:szCs w:val="21"/>
                    </w:rPr>
                    <w:t>监测指标</w:t>
                  </w:r>
                </w:p>
              </w:tc>
              <w:tc>
                <w:tcPr>
                  <w:tcW w:w="1238" w:type="pct"/>
                  <w:noWrap/>
                  <w:vAlign w:val="center"/>
                </w:tcPr>
                <w:p>
                  <w:pPr>
                    <w:adjustRightInd w:val="0"/>
                    <w:snapToGrid w:val="0"/>
                    <w:jc w:val="center"/>
                    <w:rPr>
                      <w:szCs w:val="21"/>
                    </w:rPr>
                  </w:pPr>
                  <w:r>
                    <w:rPr>
                      <w:rFonts w:hint="eastAsia"/>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184" w:type="pct"/>
                  <w:vMerge w:val="restart"/>
                  <w:noWrap/>
                  <w:vAlign w:val="center"/>
                </w:tcPr>
                <w:p>
                  <w:pPr>
                    <w:adjustRightInd w:val="0"/>
                    <w:snapToGrid w:val="0"/>
                    <w:jc w:val="center"/>
                    <w:rPr>
                      <w:szCs w:val="21"/>
                    </w:rPr>
                  </w:pPr>
                  <w:r>
                    <w:rPr>
                      <w:rFonts w:hint="eastAsia"/>
                      <w:szCs w:val="21"/>
                    </w:rPr>
                    <w:t>污水处理间排放口</w:t>
                  </w:r>
                </w:p>
              </w:tc>
              <w:tc>
                <w:tcPr>
                  <w:tcW w:w="2576" w:type="pct"/>
                  <w:noWrap/>
                  <w:vAlign w:val="center"/>
                </w:tcPr>
                <w:p>
                  <w:pPr>
                    <w:adjustRightInd w:val="0"/>
                    <w:snapToGrid w:val="0"/>
                    <w:jc w:val="center"/>
                    <w:rPr>
                      <w:szCs w:val="21"/>
                    </w:rPr>
                  </w:pPr>
                  <w:r>
                    <w:rPr>
                      <w:rFonts w:hint="eastAsia"/>
                      <w:szCs w:val="21"/>
                    </w:rPr>
                    <w:t>流量</w:t>
                  </w:r>
                </w:p>
              </w:tc>
              <w:tc>
                <w:tcPr>
                  <w:tcW w:w="1238" w:type="pct"/>
                  <w:noWrap/>
                  <w:vAlign w:val="center"/>
                </w:tcPr>
                <w:p>
                  <w:pPr>
                    <w:adjustRightInd w:val="0"/>
                    <w:snapToGrid w:val="0"/>
                    <w:jc w:val="center"/>
                    <w:rPr>
                      <w:szCs w:val="21"/>
                    </w:rPr>
                  </w:pPr>
                  <w:r>
                    <w:rPr>
                      <w:rFonts w:hint="eastAsia"/>
                      <w:szCs w:val="21"/>
                    </w:rPr>
                    <w:t>自动监测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184" w:type="pct"/>
                  <w:vMerge w:val="continue"/>
                  <w:noWrap/>
                  <w:vAlign w:val="center"/>
                </w:tcPr>
                <w:p>
                  <w:pPr>
                    <w:adjustRightInd w:val="0"/>
                    <w:snapToGrid w:val="0"/>
                    <w:jc w:val="center"/>
                    <w:rPr>
                      <w:szCs w:val="21"/>
                    </w:rPr>
                  </w:pPr>
                </w:p>
              </w:tc>
              <w:tc>
                <w:tcPr>
                  <w:tcW w:w="2576" w:type="pct"/>
                  <w:noWrap/>
                  <w:vAlign w:val="center"/>
                </w:tcPr>
                <w:p>
                  <w:pPr>
                    <w:adjustRightInd w:val="0"/>
                    <w:snapToGrid w:val="0"/>
                    <w:jc w:val="center"/>
                    <w:rPr>
                      <w:szCs w:val="21"/>
                    </w:rPr>
                  </w:pPr>
                  <w:r>
                    <w:rPr>
                      <w:rFonts w:hint="eastAsia"/>
                      <w:szCs w:val="21"/>
                    </w:rPr>
                    <w:t>pH</w:t>
                  </w:r>
                </w:p>
              </w:tc>
              <w:tc>
                <w:tcPr>
                  <w:tcW w:w="1238" w:type="pct"/>
                  <w:noWrap/>
                  <w:vAlign w:val="center"/>
                </w:tcPr>
                <w:p>
                  <w:pPr>
                    <w:adjustRightInd w:val="0"/>
                    <w:snapToGrid w:val="0"/>
                    <w:jc w:val="center"/>
                    <w:rPr>
                      <w:bCs/>
                      <w:szCs w:val="21"/>
                    </w:rPr>
                  </w:pPr>
                  <w:r>
                    <w:rPr>
                      <w:rFonts w:hint="eastAsia"/>
                      <w:bCs/>
                      <w:szCs w:val="21"/>
                    </w:rPr>
                    <w:t>12h/次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184" w:type="pct"/>
                  <w:vMerge w:val="continue"/>
                  <w:noWrap/>
                  <w:vAlign w:val="center"/>
                </w:tcPr>
                <w:p>
                  <w:pPr>
                    <w:adjustRightInd w:val="0"/>
                    <w:snapToGrid w:val="0"/>
                    <w:jc w:val="center"/>
                    <w:rPr>
                      <w:szCs w:val="21"/>
                    </w:rPr>
                  </w:pPr>
                </w:p>
              </w:tc>
              <w:tc>
                <w:tcPr>
                  <w:tcW w:w="2576" w:type="pct"/>
                  <w:noWrap/>
                  <w:vAlign w:val="center"/>
                </w:tcPr>
                <w:p>
                  <w:pPr>
                    <w:adjustRightInd w:val="0"/>
                    <w:snapToGrid w:val="0"/>
                    <w:jc w:val="center"/>
                    <w:rPr>
                      <w:szCs w:val="21"/>
                    </w:rPr>
                  </w:pPr>
                  <w:r>
                    <w:rPr>
                      <w:rFonts w:hint="eastAsia"/>
                      <w:szCs w:val="21"/>
                    </w:rPr>
                    <w:t>COD、SS</w:t>
                  </w:r>
                </w:p>
              </w:tc>
              <w:tc>
                <w:tcPr>
                  <w:tcW w:w="1238" w:type="pct"/>
                  <w:noWrap/>
                  <w:vAlign w:val="center"/>
                </w:tcPr>
                <w:p>
                  <w:pPr>
                    <w:adjustRightInd w:val="0"/>
                    <w:snapToGrid w:val="0"/>
                    <w:jc w:val="center"/>
                    <w:rPr>
                      <w:bCs/>
                      <w:szCs w:val="21"/>
                    </w:rPr>
                  </w:pPr>
                  <w:r>
                    <w:rPr>
                      <w:rFonts w:hint="eastAsia"/>
                      <w:bCs/>
                      <w:szCs w:val="21"/>
                    </w:rPr>
                    <w:t>1次/周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184" w:type="pct"/>
                  <w:vMerge w:val="continue"/>
                  <w:noWrap/>
                  <w:vAlign w:val="center"/>
                </w:tcPr>
                <w:p>
                  <w:pPr>
                    <w:adjustRightInd w:val="0"/>
                    <w:snapToGrid w:val="0"/>
                    <w:jc w:val="center"/>
                    <w:rPr>
                      <w:szCs w:val="21"/>
                    </w:rPr>
                  </w:pPr>
                </w:p>
              </w:tc>
              <w:tc>
                <w:tcPr>
                  <w:tcW w:w="2576" w:type="pct"/>
                  <w:noWrap/>
                  <w:vAlign w:val="center"/>
                </w:tcPr>
                <w:p>
                  <w:pPr>
                    <w:adjustRightInd w:val="0"/>
                    <w:snapToGrid w:val="0"/>
                    <w:jc w:val="center"/>
                    <w:rPr>
                      <w:szCs w:val="21"/>
                    </w:rPr>
                  </w:pPr>
                  <w:r>
                    <w:rPr>
                      <w:rFonts w:hint="eastAsia"/>
                      <w:szCs w:val="21"/>
                    </w:rPr>
                    <w:t>粪大肠菌群</w:t>
                  </w:r>
                </w:p>
              </w:tc>
              <w:tc>
                <w:tcPr>
                  <w:tcW w:w="1238" w:type="pct"/>
                  <w:noWrap/>
                  <w:vAlign w:val="center"/>
                </w:tcPr>
                <w:p>
                  <w:pPr>
                    <w:adjustRightInd w:val="0"/>
                    <w:snapToGrid w:val="0"/>
                    <w:jc w:val="center"/>
                    <w:rPr>
                      <w:bCs/>
                      <w:szCs w:val="21"/>
                    </w:rPr>
                  </w:pPr>
                  <w:r>
                    <w:rPr>
                      <w:rFonts w:hint="eastAsia"/>
                      <w:bCs/>
                      <w:szCs w:val="21"/>
                    </w:rPr>
                    <w:t>1次/月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184" w:type="pct"/>
                  <w:vMerge w:val="continue"/>
                  <w:noWrap/>
                  <w:vAlign w:val="center"/>
                </w:tcPr>
                <w:p>
                  <w:pPr>
                    <w:adjustRightInd w:val="0"/>
                    <w:snapToGrid w:val="0"/>
                    <w:jc w:val="center"/>
                    <w:rPr>
                      <w:szCs w:val="21"/>
                    </w:rPr>
                  </w:pPr>
                </w:p>
              </w:tc>
              <w:tc>
                <w:tcPr>
                  <w:tcW w:w="2576" w:type="pct"/>
                  <w:noWrap/>
                  <w:vAlign w:val="center"/>
                </w:tcPr>
                <w:p>
                  <w:pPr>
                    <w:adjustRightInd w:val="0"/>
                    <w:snapToGrid w:val="0"/>
                    <w:jc w:val="center"/>
                    <w:rPr>
                      <w:szCs w:val="21"/>
                    </w:rPr>
                  </w:pPr>
                  <w:r>
                    <w:rPr>
                      <w:rFonts w:hint="eastAsia"/>
                      <w:szCs w:val="21"/>
                    </w:rPr>
                    <w:t>五日生化需氧量、石油类、挥发酚、动植物油、阴离子表面活性剂、总氰化物</w:t>
                  </w:r>
                </w:p>
              </w:tc>
              <w:tc>
                <w:tcPr>
                  <w:tcW w:w="1238" w:type="pct"/>
                  <w:noWrap/>
                  <w:vAlign w:val="center"/>
                </w:tcPr>
                <w:p>
                  <w:pPr>
                    <w:adjustRightInd w:val="0"/>
                    <w:snapToGrid w:val="0"/>
                    <w:jc w:val="center"/>
                    <w:rPr>
                      <w:bCs/>
                      <w:szCs w:val="21"/>
                    </w:rPr>
                  </w:pPr>
                  <w:r>
                    <w:rPr>
                      <w:rFonts w:hint="eastAsia"/>
                      <w:bCs/>
                      <w:szCs w:val="21"/>
                    </w:rPr>
                    <w:t>1次/季度</w:t>
                  </w:r>
                </w:p>
              </w:tc>
            </w:tr>
          </w:tbl>
          <w:p>
            <w:pPr>
              <w:spacing w:line="360" w:lineRule="auto"/>
              <w:ind w:left="420" w:leftChars="200"/>
              <w:rPr>
                <w:kern w:val="21"/>
                <w:szCs w:val="21"/>
              </w:rPr>
            </w:pPr>
            <w:r>
              <w:rPr>
                <w:rFonts w:hint="eastAsia"/>
                <w:kern w:val="21"/>
                <w:szCs w:val="21"/>
              </w:rPr>
              <w:t>（5）废水其他管理要求</w:t>
            </w:r>
          </w:p>
          <w:p>
            <w:pPr>
              <w:spacing w:line="360" w:lineRule="auto"/>
              <w:ind w:firstLine="420" w:firstLineChars="200"/>
              <w:rPr>
                <w:kern w:val="21"/>
                <w:szCs w:val="21"/>
              </w:rPr>
            </w:pPr>
            <w:r>
              <w:rPr>
                <w:rFonts w:hint="eastAsia"/>
                <w:kern w:val="21"/>
                <w:szCs w:val="21"/>
              </w:rPr>
              <w:t>由于本项目目前主要以新型冠状病毒核酸检测为主，为确保污水处理间针对新型冠状病毒的消毒效果，本次评价要求建设单位在疫情期间按照《关于做好新型冠状病毒感染的肺炎疫情医疗污水和城镇污水监管工作的通知》（环办水体函〔2020〕52号）做好污水消毒工作。具体消毒要求如下：消毒接触池的接触时间≥1.5小时，余氯量大于6.5mg/L（以游离氯计），粪大肠菌群数&lt;100个/L，消毒接触池的接触时间接触时间为1.0小时的，余氯大于10mg/L（以游离氯计），参考有效氯投加量为80mg/L，粪大肠菌群数&lt;100个/L；若接触时间不足1.0小时的，投氯量与余氯还需适当加大。</w:t>
            </w:r>
          </w:p>
          <w:p>
            <w:pPr>
              <w:spacing w:line="360" w:lineRule="auto"/>
              <w:ind w:firstLine="422" w:firstLineChars="200"/>
              <w:rPr>
                <w:b/>
                <w:bCs/>
                <w:kern w:val="21"/>
                <w:szCs w:val="21"/>
              </w:rPr>
            </w:pPr>
            <w:r>
              <w:rPr>
                <w:rFonts w:hint="eastAsia"/>
                <w:b/>
                <w:bCs/>
                <w:kern w:val="21"/>
                <w:szCs w:val="21"/>
              </w:rPr>
              <w:t>3、噪声</w:t>
            </w:r>
          </w:p>
          <w:p>
            <w:pPr>
              <w:spacing w:line="360" w:lineRule="auto"/>
              <w:ind w:firstLine="420" w:firstLineChars="200"/>
              <w:rPr>
                <w:szCs w:val="21"/>
              </w:rPr>
            </w:pPr>
            <w:r>
              <w:rPr>
                <w:rFonts w:hint="eastAsia"/>
                <w:szCs w:val="21"/>
              </w:rPr>
              <w:t>（1）主要噪声源及源强</w:t>
            </w:r>
          </w:p>
          <w:p>
            <w:pPr>
              <w:spacing w:line="360" w:lineRule="auto"/>
              <w:ind w:firstLine="420" w:firstLineChars="200"/>
              <w:rPr>
                <w:szCs w:val="21"/>
              </w:rPr>
            </w:pPr>
            <w:r>
              <w:rPr>
                <w:szCs w:val="21"/>
              </w:rPr>
              <w:t>本项目的噪声源主要为离心机、风机等，主要噪声源及强度见下，各设备噪声源详见表</w:t>
            </w:r>
            <w:r>
              <w:rPr>
                <w:rFonts w:hint="eastAsia"/>
                <w:szCs w:val="21"/>
                <w:lang w:val="en-US" w:eastAsia="zh-CN"/>
              </w:rPr>
              <w:t>24</w:t>
            </w:r>
            <w:r>
              <w:rPr>
                <w:szCs w:val="21"/>
              </w:rPr>
              <w:t>。</w:t>
            </w:r>
          </w:p>
          <w:p>
            <w:pPr>
              <w:pStyle w:val="32"/>
            </w:pPr>
            <w:r>
              <w:t>本项目主要噪声设备噪声级一览表</w:t>
            </w:r>
          </w:p>
          <w:tbl>
            <w:tblPr>
              <w:tblStyle w:val="26"/>
              <w:tblW w:w="4994"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136"/>
              <w:gridCol w:w="583"/>
              <w:gridCol w:w="715"/>
              <w:gridCol w:w="900"/>
              <w:gridCol w:w="748"/>
              <w:gridCol w:w="865"/>
              <w:gridCol w:w="1663"/>
              <w:gridCol w:w="623"/>
              <w:gridCol w:w="626"/>
              <w:gridCol w:w="62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82" w:hRule="atLeast"/>
              </w:trPr>
              <w:tc>
                <w:tcPr>
                  <w:tcW w:w="668" w:type="pct"/>
                  <w:vMerge w:val="restart"/>
                  <w:tcBorders>
                    <w:tl2br w:val="nil"/>
                    <w:tr2bl w:val="nil"/>
                  </w:tcBorders>
                  <w:vAlign w:val="center"/>
                </w:tcPr>
                <w:p>
                  <w:pPr>
                    <w:jc w:val="center"/>
                    <w:rPr>
                      <w:szCs w:val="21"/>
                    </w:rPr>
                  </w:pPr>
                  <w:r>
                    <w:rPr>
                      <w:rFonts w:hint="eastAsia"/>
                      <w:szCs w:val="21"/>
                    </w:rPr>
                    <w:t>噪声源</w:t>
                  </w:r>
                </w:p>
              </w:tc>
              <w:tc>
                <w:tcPr>
                  <w:tcW w:w="343" w:type="pct"/>
                  <w:vMerge w:val="restart"/>
                  <w:tcBorders>
                    <w:tl2br w:val="nil"/>
                    <w:tr2bl w:val="nil"/>
                  </w:tcBorders>
                  <w:vAlign w:val="center"/>
                </w:tcPr>
                <w:p>
                  <w:pPr>
                    <w:jc w:val="center"/>
                    <w:rPr>
                      <w:szCs w:val="21"/>
                    </w:rPr>
                  </w:pPr>
                  <w:r>
                    <w:rPr>
                      <w:rFonts w:hint="eastAsia"/>
                      <w:szCs w:val="21"/>
                    </w:rPr>
                    <w:t>声源类型</w:t>
                  </w:r>
                </w:p>
              </w:tc>
              <w:tc>
                <w:tcPr>
                  <w:tcW w:w="951" w:type="pct"/>
                  <w:gridSpan w:val="2"/>
                  <w:tcBorders>
                    <w:tl2br w:val="nil"/>
                    <w:tr2bl w:val="nil"/>
                  </w:tcBorders>
                  <w:vAlign w:val="center"/>
                </w:tcPr>
                <w:p>
                  <w:pPr>
                    <w:jc w:val="center"/>
                    <w:rPr>
                      <w:szCs w:val="21"/>
                    </w:rPr>
                  </w:pPr>
                  <w:r>
                    <w:rPr>
                      <w:rFonts w:hint="eastAsia"/>
                      <w:szCs w:val="21"/>
                    </w:rPr>
                    <w:t>噪声源强</w:t>
                  </w:r>
                </w:p>
              </w:tc>
              <w:tc>
                <w:tcPr>
                  <w:tcW w:w="441" w:type="pct"/>
                  <w:vMerge w:val="restart"/>
                  <w:tcBorders>
                    <w:tl2br w:val="nil"/>
                    <w:tr2bl w:val="nil"/>
                  </w:tcBorders>
                  <w:vAlign w:val="center"/>
                </w:tcPr>
                <w:p>
                  <w:pPr>
                    <w:jc w:val="center"/>
                    <w:rPr>
                      <w:szCs w:val="21"/>
                    </w:rPr>
                  </w:pPr>
                  <w:r>
                    <w:rPr>
                      <w:szCs w:val="21"/>
                    </w:rPr>
                    <w:t>数量</w:t>
                  </w:r>
                  <w:r>
                    <w:rPr>
                      <w:rFonts w:hint="eastAsia"/>
                      <w:szCs w:val="21"/>
                    </w:rPr>
                    <w:t>（台）</w:t>
                  </w:r>
                </w:p>
              </w:tc>
              <w:tc>
                <w:tcPr>
                  <w:tcW w:w="510" w:type="pct"/>
                  <w:vMerge w:val="restart"/>
                  <w:tcBorders>
                    <w:tl2br w:val="nil"/>
                    <w:tr2bl w:val="nil"/>
                  </w:tcBorders>
                  <w:vAlign w:val="center"/>
                </w:tcPr>
                <w:p>
                  <w:pPr>
                    <w:jc w:val="center"/>
                    <w:rPr>
                      <w:szCs w:val="21"/>
                    </w:rPr>
                  </w:pPr>
                  <w:r>
                    <w:rPr>
                      <w:rFonts w:hint="eastAsia"/>
                      <w:szCs w:val="21"/>
                    </w:rPr>
                    <w:t>位置</w:t>
                  </w:r>
                </w:p>
              </w:tc>
              <w:tc>
                <w:tcPr>
                  <w:tcW w:w="979" w:type="pct"/>
                  <w:vMerge w:val="restart"/>
                  <w:tcBorders>
                    <w:tl2br w:val="nil"/>
                    <w:tr2bl w:val="nil"/>
                  </w:tcBorders>
                  <w:vAlign w:val="center"/>
                </w:tcPr>
                <w:p>
                  <w:pPr>
                    <w:jc w:val="center"/>
                    <w:rPr>
                      <w:szCs w:val="21"/>
                    </w:rPr>
                  </w:pPr>
                  <w:r>
                    <w:rPr>
                      <w:rFonts w:hint="eastAsia"/>
                      <w:szCs w:val="21"/>
                    </w:rPr>
                    <w:t>治理</w:t>
                  </w:r>
                  <w:r>
                    <w:rPr>
                      <w:szCs w:val="21"/>
                    </w:rPr>
                    <w:t>措施</w:t>
                  </w:r>
                </w:p>
              </w:tc>
              <w:tc>
                <w:tcPr>
                  <w:tcW w:w="736" w:type="pct"/>
                  <w:gridSpan w:val="2"/>
                  <w:tcBorders>
                    <w:tl2br w:val="nil"/>
                    <w:tr2bl w:val="nil"/>
                  </w:tcBorders>
                  <w:vAlign w:val="center"/>
                </w:tcPr>
                <w:p>
                  <w:pPr>
                    <w:jc w:val="center"/>
                    <w:rPr>
                      <w:szCs w:val="21"/>
                    </w:rPr>
                  </w:pPr>
                  <w:r>
                    <w:rPr>
                      <w:rFonts w:hint="eastAsia"/>
                      <w:bCs/>
                      <w:kern w:val="21"/>
                      <w:szCs w:val="21"/>
                    </w:rPr>
                    <w:t>噪声排放值</w:t>
                  </w:r>
                </w:p>
              </w:tc>
              <w:tc>
                <w:tcPr>
                  <w:tcW w:w="368" w:type="pct"/>
                  <w:tcBorders>
                    <w:tl2br w:val="nil"/>
                    <w:tr2bl w:val="nil"/>
                  </w:tcBorders>
                  <w:vAlign w:val="center"/>
                </w:tcPr>
                <w:p>
                  <w:pPr>
                    <w:jc w:val="center"/>
                    <w:rPr>
                      <w:szCs w:val="21"/>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82" w:hRule="atLeast"/>
              </w:trPr>
              <w:tc>
                <w:tcPr>
                  <w:tcW w:w="668" w:type="pct"/>
                  <w:vMerge w:val="continue"/>
                  <w:tcBorders>
                    <w:tl2br w:val="nil"/>
                    <w:tr2bl w:val="nil"/>
                  </w:tcBorders>
                  <w:vAlign w:val="center"/>
                </w:tcPr>
                <w:p>
                  <w:pPr>
                    <w:jc w:val="center"/>
                    <w:rPr>
                      <w:szCs w:val="21"/>
                    </w:rPr>
                  </w:pPr>
                </w:p>
              </w:tc>
              <w:tc>
                <w:tcPr>
                  <w:tcW w:w="343" w:type="pct"/>
                  <w:vMerge w:val="continue"/>
                  <w:tcBorders>
                    <w:tl2br w:val="nil"/>
                    <w:tr2bl w:val="nil"/>
                  </w:tcBorders>
                  <w:vAlign w:val="center"/>
                </w:tcPr>
                <w:p>
                  <w:pPr>
                    <w:jc w:val="center"/>
                    <w:rPr>
                      <w:szCs w:val="21"/>
                    </w:rPr>
                  </w:pPr>
                </w:p>
              </w:tc>
              <w:tc>
                <w:tcPr>
                  <w:tcW w:w="421" w:type="pct"/>
                  <w:tcBorders>
                    <w:tl2br w:val="nil"/>
                    <w:tr2bl w:val="nil"/>
                  </w:tcBorders>
                  <w:vAlign w:val="center"/>
                </w:tcPr>
                <w:p>
                  <w:pPr>
                    <w:jc w:val="center"/>
                    <w:rPr>
                      <w:szCs w:val="21"/>
                    </w:rPr>
                  </w:pPr>
                  <w:r>
                    <w:rPr>
                      <w:rFonts w:hint="eastAsia"/>
                      <w:szCs w:val="21"/>
                    </w:rPr>
                    <w:t>核算方法</w:t>
                  </w:r>
                </w:p>
              </w:tc>
              <w:tc>
                <w:tcPr>
                  <w:tcW w:w="529" w:type="pct"/>
                  <w:tcBorders>
                    <w:tl2br w:val="nil"/>
                    <w:tr2bl w:val="nil"/>
                  </w:tcBorders>
                  <w:vAlign w:val="center"/>
                </w:tcPr>
                <w:p>
                  <w:pPr>
                    <w:jc w:val="center"/>
                    <w:rPr>
                      <w:szCs w:val="21"/>
                    </w:rPr>
                  </w:pPr>
                  <w:r>
                    <w:rPr>
                      <w:szCs w:val="21"/>
                    </w:rPr>
                    <w:t>噪声源dB（A）</w:t>
                  </w:r>
                </w:p>
              </w:tc>
              <w:tc>
                <w:tcPr>
                  <w:tcW w:w="441" w:type="pct"/>
                  <w:vMerge w:val="continue"/>
                  <w:tcBorders>
                    <w:tl2br w:val="nil"/>
                    <w:tr2bl w:val="nil"/>
                  </w:tcBorders>
                  <w:vAlign w:val="center"/>
                </w:tcPr>
                <w:p>
                  <w:pPr>
                    <w:jc w:val="center"/>
                    <w:rPr>
                      <w:szCs w:val="21"/>
                    </w:rPr>
                  </w:pPr>
                </w:p>
              </w:tc>
              <w:tc>
                <w:tcPr>
                  <w:tcW w:w="510" w:type="pct"/>
                  <w:vMerge w:val="continue"/>
                  <w:tcBorders>
                    <w:tl2br w:val="nil"/>
                    <w:tr2bl w:val="nil"/>
                  </w:tcBorders>
                  <w:vAlign w:val="center"/>
                </w:tcPr>
                <w:p>
                  <w:pPr>
                    <w:jc w:val="center"/>
                    <w:rPr>
                      <w:szCs w:val="21"/>
                    </w:rPr>
                  </w:pPr>
                </w:p>
              </w:tc>
              <w:tc>
                <w:tcPr>
                  <w:tcW w:w="979" w:type="pct"/>
                  <w:vMerge w:val="continue"/>
                  <w:tcBorders>
                    <w:tl2br w:val="nil"/>
                    <w:tr2bl w:val="nil"/>
                  </w:tcBorders>
                  <w:vAlign w:val="center"/>
                </w:tcPr>
                <w:p>
                  <w:pPr>
                    <w:jc w:val="center"/>
                    <w:rPr>
                      <w:szCs w:val="21"/>
                    </w:rPr>
                  </w:pPr>
                </w:p>
              </w:tc>
              <w:tc>
                <w:tcPr>
                  <w:tcW w:w="367" w:type="pct"/>
                  <w:tcBorders>
                    <w:tl2br w:val="nil"/>
                    <w:tr2bl w:val="nil"/>
                  </w:tcBorders>
                  <w:vAlign w:val="center"/>
                </w:tcPr>
                <w:p>
                  <w:pPr>
                    <w:jc w:val="center"/>
                    <w:rPr>
                      <w:szCs w:val="21"/>
                    </w:rPr>
                  </w:pPr>
                  <w:r>
                    <w:rPr>
                      <w:szCs w:val="21"/>
                    </w:rPr>
                    <w:t>降噪效果</w:t>
                  </w:r>
                </w:p>
              </w:tc>
              <w:tc>
                <w:tcPr>
                  <w:tcW w:w="368" w:type="pct"/>
                  <w:tcBorders>
                    <w:tl2br w:val="nil"/>
                    <w:tr2bl w:val="nil"/>
                  </w:tcBorders>
                  <w:vAlign w:val="center"/>
                </w:tcPr>
                <w:p>
                  <w:pPr>
                    <w:jc w:val="center"/>
                    <w:rPr>
                      <w:szCs w:val="21"/>
                    </w:rPr>
                  </w:pPr>
                  <w:r>
                    <w:rPr>
                      <w:rFonts w:hint="eastAsia"/>
                      <w:bCs/>
                      <w:kern w:val="21"/>
                      <w:szCs w:val="21"/>
                    </w:rPr>
                    <w:t>噪声值dB(A)</w:t>
                  </w:r>
                </w:p>
              </w:tc>
              <w:tc>
                <w:tcPr>
                  <w:tcW w:w="368" w:type="pct"/>
                  <w:tcBorders>
                    <w:tl2br w:val="nil"/>
                    <w:tr2bl w:val="nil"/>
                  </w:tcBorders>
                  <w:vAlign w:val="center"/>
                </w:tcPr>
                <w:p>
                  <w:pPr>
                    <w:jc w:val="center"/>
                    <w:rPr>
                      <w:szCs w:val="21"/>
                    </w:rPr>
                  </w:pPr>
                  <w:r>
                    <w:rPr>
                      <w:rFonts w:hint="eastAsia"/>
                      <w:szCs w:val="21"/>
                    </w:rPr>
                    <w:t>持续时间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96" w:hRule="atLeast"/>
              </w:trPr>
              <w:tc>
                <w:tcPr>
                  <w:tcW w:w="668" w:type="pct"/>
                  <w:tcBorders>
                    <w:tl2br w:val="nil"/>
                    <w:tr2bl w:val="nil"/>
                  </w:tcBorders>
                  <w:vAlign w:val="center"/>
                </w:tcPr>
                <w:p>
                  <w:pPr>
                    <w:jc w:val="center"/>
                    <w:rPr>
                      <w:szCs w:val="21"/>
                    </w:rPr>
                  </w:pPr>
                  <w:r>
                    <w:rPr>
                      <w:rFonts w:hint="eastAsia"/>
                      <w:szCs w:val="21"/>
                    </w:rPr>
                    <w:t>离心机</w:t>
                  </w:r>
                </w:p>
              </w:tc>
              <w:tc>
                <w:tcPr>
                  <w:tcW w:w="343" w:type="pct"/>
                  <w:tcBorders>
                    <w:tl2br w:val="nil"/>
                    <w:tr2bl w:val="nil"/>
                  </w:tcBorders>
                  <w:vAlign w:val="center"/>
                </w:tcPr>
                <w:p>
                  <w:pPr>
                    <w:jc w:val="center"/>
                    <w:rPr>
                      <w:szCs w:val="21"/>
                    </w:rPr>
                  </w:pPr>
                  <w:r>
                    <w:rPr>
                      <w:rFonts w:hint="eastAsia"/>
                      <w:szCs w:val="21"/>
                    </w:rPr>
                    <w:t>频发</w:t>
                  </w:r>
                </w:p>
              </w:tc>
              <w:tc>
                <w:tcPr>
                  <w:tcW w:w="421" w:type="pct"/>
                  <w:vMerge w:val="restart"/>
                  <w:tcBorders>
                    <w:tl2br w:val="nil"/>
                    <w:tr2bl w:val="nil"/>
                  </w:tcBorders>
                  <w:vAlign w:val="center"/>
                </w:tcPr>
                <w:p>
                  <w:pPr>
                    <w:jc w:val="center"/>
                    <w:rPr>
                      <w:szCs w:val="21"/>
                    </w:rPr>
                  </w:pPr>
                  <w:r>
                    <w:rPr>
                      <w:rFonts w:hint="eastAsia"/>
                      <w:szCs w:val="21"/>
                    </w:rPr>
                    <w:t>类比法</w:t>
                  </w:r>
                </w:p>
              </w:tc>
              <w:tc>
                <w:tcPr>
                  <w:tcW w:w="529" w:type="pct"/>
                  <w:tcBorders>
                    <w:tl2br w:val="nil"/>
                    <w:tr2bl w:val="nil"/>
                  </w:tcBorders>
                  <w:vAlign w:val="center"/>
                </w:tcPr>
                <w:p>
                  <w:pPr>
                    <w:jc w:val="center"/>
                    <w:rPr>
                      <w:szCs w:val="21"/>
                    </w:rPr>
                  </w:pPr>
                  <w:r>
                    <w:rPr>
                      <w:rFonts w:hint="eastAsia"/>
                      <w:szCs w:val="21"/>
                    </w:rPr>
                    <w:t>70</w:t>
                  </w:r>
                </w:p>
              </w:tc>
              <w:tc>
                <w:tcPr>
                  <w:tcW w:w="441" w:type="pct"/>
                  <w:tcBorders>
                    <w:tl2br w:val="nil"/>
                    <w:tr2bl w:val="nil"/>
                  </w:tcBorders>
                  <w:vAlign w:val="center"/>
                </w:tcPr>
                <w:p>
                  <w:pPr>
                    <w:jc w:val="center"/>
                    <w:rPr>
                      <w:szCs w:val="21"/>
                    </w:rPr>
                  </w:pPr>
                  <w:r>
                    <w:rPr>
                      <w:rFonts w:hint="eastAsia"/>
                      <w:szCs w:val="21"/>
                    </w:rPr>
                    <w:t>8</w:t>
                  </w:r>
                </w:p>
              </w:tc>
              <w:tc>
                <w:tcPr>
                  <w:tcW w:w="510" w:type="pct"/>
                  <w:tcBorders>
                    <w:tl2br w:val="nil"/>
                    <w:tr2bl w:val="nil"/>
                  </w:tcBorders>
                  <w:vAlign w:val="center"/>
                </w:tcPr>
                <w:p>
                  <w:pPr>
                    <w:jc w:val="center"/>
                    <w:rPr>
                      <w:szCs w:val="21"/>
                    </w:rPr>
                  </w:pPr>
                  <w:r>
                    <w:rPr>
                      <w:rFonts w:hint="eastAsia"/>
                      <w:szCs w:val="21"/>
                    </w:rPr>
                    <w:t>实验室内</w:t>
                  </w:r>
                </w:p>
              </w:tc>
              <w:tc>
                <w:tcPr>
                  <w:tcW w:w="979" w:type="pct"/>
                  <w:vMerge w:val="restart"/>
                  <w:tcBorders>
                    <w:tl2br w:val="nil"/>
                    <w:tr2bl w:val="nil"/>
                  </w:tcBorders>
                  <w:vAlign w:val="center"/>
                </w:tcPr>
                <w:p>
                  <w:pPr>
                    <w:jc w:val="center"/>
                    <w:rPr>
                      <w:szCs w:val="21"/>
                    </w:rPr>
                  </w:pPr>
                  <w:r>
                    <w:rPr>
                      <w:szCs w:val="21"/>
                    </w:rPr>
                    <w:t>选用低噪声实验设备，产噪设备置于封闭房间内，振荡</w:t>
                  </w:r>
                  <w:r>
                    <w:rPr>
                      <w:rFonts w:hint="eastAsia"/>
                      <w:szCs w:val="21"/>
                    </w:rPr>
                    <w:t>器</w:t>
                  </w:r>
                  <w:r>
                    <w:rPr>
                      <w:szCs w:val="21"/>
                    </w:rPr>
                    <w:t>等实验设备基础加装减振垫</w:t>
                  </w:r>
                </w:p>
              </w:tc>
              <w:tc>
                <w:tcPr>
                  <w:tcW w:w="367" w:type="pct"/>
                  <w:tcBorders>
                    <w:tl2br w:val="nil"/>
                    <w:tr2bl w:val="nil"/>
                  </w:tcBorders>
                  <w:vAlign w:val="center"/>
                </w:tcPr>
                <w:p>
                  <w:pPr>
                    <w:jc w:val="center"/>
                    <w:rPr>
                      <w:szCs w:val="21"/>
                    </w:rPr>
                  </w:pPr>
                  <w:r>
                    <w:rPr>
                      <w:rFonts w:hint="eastAsia"/>
                      <w:szCs w:val="21"/>
                    </w:rPr>
                    <w:t>25</w:t>
                  </w:r>
                </w:p>
              </w:tc>
              <w:tc>
                <w:tcPr>
                  <w:tcW w:w="368" w:type="pct"/>
                  <w:tcBorders>
                    <w:tl2br w:val="nil"/>
                    <w:tr2bl w:val="nil"/>
                  </w:tcBorders>
                  <w:vAlign w:val="center"/>
                </w:tcPr>
                <w:p>
                  <w:pPr>
                    <w:jc w:val="center"/>
                    <w:rPr>
                      <w:szCs w:val="21"/>
                    </w:rPr>
                  </w:pPr>
                  <w:r>
                    <w:rPr>
                      <w:rFonts w:hint="eastAsia"/>
                      <w:szCs w:val="21"/>
                    </w:rPr>
                    <w:t>45</w:t>
                  </w:r>
                </w:p>
              </w:tc>
              <w:tc>
                <w:tcPr>
                  <w:tcW w:w="368" w:type="pct"/>
                  <w:tcBorders>
                    <w:tl2br w:val="nil"/>
                    <w:tr2bl w:val="nil"/>
                  </w:tcBorders>
                  <w:vAlign w:val="center"/>
                </w:tcPr>
                <w:p>
                  <w:pPr>
                    <w:jc w:val="center"/>
                    <w:rPr>
                      <w:szCs w:val="21"/>
                    </w:rPr>
                  </w:pPr>
                  <w:r>
                    <w:rPr>
                      <w:rFonts w:hint="eastAsia"/>
                      <w:szCs w:val="21"/>
                    </w:rPr>
                    <w:t>1000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90" w:hRule="atLeast"/>
              </w:trPr>
              <w:tc>
                <w:tcPr>
                  <w:tcW w:w="668" w:type="pct"/>
                  <w:tcBorders>
                    <w:tl2br w:val="nil"/>
                    <w:tr2bl w:val="nil"/>
                  </w:tcBorders>
                  <w:vAlign w:val="center"/>
                </w:tcPr>
                <w:p>
                  <w:pPr>
                    <w:jc w:val="center"/>
                    <w:rPr>
                      <w:szCs w:val="21"/>
                    </w:rPr>
                  </w:pPr>
                  <w:r>
                    <w:rPr>
                      <w:szCs w:val="21"/>
                    </w:rPr>
                    <w:t>风机</w:t>
                  </w:r>
                </w:p>
              </w:tc>
              <w:tc>
                <w:tcPr>
                  <w:tcW w:w="343" w:type="pct"/>
                  <w:tcBorders>
                    <w:tl2br w:val="nil"/>
                    <w:tr2bl w:val="nil"/>
                  </w:tcBorders>
                  <w:vAlign w:val="center"/>
                </w:tcPr>
                <w:p>
                  <w:pPr>
                    <w:jc w:val="center"/>
                    <w:rPr>
                      <w:szCs w:val="21"/>
                    </w:rPr>
                  </w:pPr>
                  <w:r>
                    <w:rPr>
                      <w:rFonts w:hint="eastAsia"/>
                      <w:szCs w:val="21"/>
                    </w:rPr>
                    <w:t>连续</w:t>
                  </w:r>
                </w:p>
              </w:tc>
              <w:tc>
                <w:tcPr>
                  <w:tcW w:w="421" w:type="pct"/>
                  <w:vMerge w:val="continue"/>
                  <w:tcBorders>
                    <w:tl2br w:val="nil"/>
                    <w:tr2bl w:val="nil"/>
                  </w:tcBorders>
                  <w:vAlign w:val="center"/>
                </w:tcPr>
                <w:p>
                  <w:pPr>
                    <w:jc w:val="center"/>
                    <w:rPr>
                      <w:szCs w:val="21"/>
                    </w:rPr>
                  </w:pPr>
                </w:p>
              </w:tc>
              <w:tc>
                <w:tcPr>
                  <w:tcW w:w="529" w:type="pct"/>
                  <w:tcBorders>
                    <w:tl2br w:val="nil"/>
                    <w:tr2bl w:val="nil"/>
                  </w:tcBorders>
                  <w:vAlign w:val="center"/>
                </w:tcPr>
                <w:p>
                  <w:pPr>
                    <w:jc w:val="center"/>
                    <w:rPr>
                      <w:szCs w:val="21"/>
                    </w:rPr>
                  </w:pPr>
                  <w:r>
                    <w:rPr>
                      <w:szCs w:val="21"/>
                    </w:rPr>
                    <w:t>6</w:t>
                  </w:r>
                  <w:r>
                    <w:rPr>
                      <w:rFonts w:hint="eastAsia"/>
                      <w:szCs w:val="21"/>
                    </w:rPr>
                    <w:t>0</w:t>
                  </w:r>
                </w:p>
              </w:tc>
              <w:tc>
                <w:tcPr>
                  <w:tcW w:w="441" w:type="pct"/>
                  <w:tcBorders>
                    <w:tl2br w:val="nil"/>
                    <w:tr2bl w:val="nil"/>
                  </w:tcBorders>
                  <w:vAlign w:val="center"/>
                </w:tcPr>
                <w:p>
                  <w:pPr>
                    <w:jc w:val="center"/>
                    <w:rPr>
                      <w:szCs w:val="21"/>
                    </w:rPr>
                  </w:pPr>
                  <w:r>
                    <w:rPr>
                      <w:rFonts w:hint="eastAsia"/>
                      <w:szCs w:val="21"/>
                    </w:rPr>
                    <w:t>6</w:t>
                  </w:r>
                </w:p>
              </w:tc>
              <w:tc>
                <w:tcPr>
                  <w:tcW w:w="510" w:type="pct"/>
                  <w:tcBorders>
                    <w:tl2br w:val="nil"/>
                    <w:tr2bl w:val="nil"/>
                  </w:tcBorders>
                  <w:vAlign w:val="center"/>
                </w:tcPr>
                <w:p>
                  <w:pPr>
                    <w:jc w:val="center"/>
                    <w:rPr>
                      <w:szCs w:val="21"/>
                    </w:rPr>
                  </w:pPr>
                  <w:r>
                    <w:rPr>
                      <w:rFonts w:hint="eastAsia"/>
                      <w:szCs w:val="21"/>
                    </w:rPr>
                    <w:t>实验室内</w:t>
                  </w:r>
                </w:p>
              </w:tc>
              <w:tc>
                <w:tcPr>
                  <w:tcW w:w="979" w:type="pct"/>
                  <w:vMerge w:val="continue"/>
                  <w:tcBorders>
                    <w:tl2br w:val="nil"/>
                    <w:tr2bl w:val="nil"/>
                  </w:tcBorders>
                  <w:vAlign w:val="center"/>
                </w:tcPr>
                <w:p>
                  <w:pPr>
                    <w:jc w:val="center"/>
                    <w:rPr>
                      <w:szCs w:val="21"/>
                    </w:rPr>
                  </w:pPr>
                </w:p>
              </w:tc>
              <w:tc>
                <w:tcPr>
                  <w:tcW w:w="367" w:type="pct"/>
                  <w:tcBorders>
                    <w:tl2br w:val="nil"/>
                    <w:tr2bl w:val="nil"/>
                  </w:tcBorders>
                  <w:vAlign w:val="center"/>
                </w:tcPr>
                <w:p>
                  <w:pPr>
                    <w:jc w:val="center"/>
                    <w:rPr>
                      <w:szCs w:val="21"/>
                    </w:rPr>
                  </w:pPr>
                  <w:r>
                    <w:rPr>
                      <w:rFonts w:hint="eastAsia"/>
                      <w:szCs w:val="21"/>
                    </w:rPr>
                    <w:t>25</w:t>
                  </w:r>
                </w:p>
              </w:tc>
              <w:tc>
                <w:tcPr>
                  <w:tcW w:w="368" w:type="pct"/>
                  <w:tcBorders>
                    <w:tl2br w:val="nil"/>
                    <w:tr2bl w:val="nil"/>
                  </w:tcBorders>
                  <w:vAlign w:val="center"/>
                </w:tcPr>
                <w:p>
                  <w:pPr>
                    <w:jc w:val="center"/>
                    <w:rPr>
                      <w:szCs w:val="21"/>
                    </w:rPr>
                  </w:pPr>
                  <w:r>
                    <w:rPr>
                      <w:rFonts w:hint="eastAsia"/>
                      <w:szCs w:val="21"/>
                    </w:rPr>
                    <w:t>35</w:t>
                  </w:r>
                </w:p>
              </w:tc>
              <w:tc>
                <w:tcPr>
                  <w:tcW w:w="368" w:type="pct"/>
                  <w:tcBorders>
                    <w:tl2br w:val="nil"/>
                    <w:tr2bl w:val="nil"/>
                  </w:tcBorders>
                  <w:vAlign w:val="center"/>
                </w:tcPr>
                <w:p>
                  <w:pPr>
                    <w:jc w:val="center"/>
                    <w:rPr>
                      <w:szCs w:val="21"/>
                    </w:rPr>
                  </w:pPr>
                  <w:r>
                    <w:rPr>
                      <w:rFonts w:hint="eastAsia"/>
                      <w:szCs w:val="21"/>
                    </w:rPr>
                    <w:t>2000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82" w:hRule="atLeast"/>
              </w:trPr>
              <w:tc>
                <w:tcPr>
                  <w:tcW w:w="668" w:type="pct"/>
                  <w:tcBorders>
                    <w:tl2br w:val="nil"/>
                    <w:tr2bl w:val="nil"/>
                  </w:tcBorders>
                  <w:vAlign w:val="center"/>
                </w:tcPr>
                <w:p>
                  <w:pPr>
                    <w:jc w:val="center"/>
                    <w:rPr>
                      <w:szCs w:val="21"/>
                    </w:rPr>
                  </w:pPr>
                  <w:r>
                    <w:rPr>
                      <w:rFonts w:hint="eastAsia"/>
                      <w:szCs w:val="21"/>
                    </w:rPr>
                    <w:t>振荡器</w:t>
                  </w:r>
                </w:p>
              </w:tc>
              <w:tc>
                <w:tcPr>
                  <w:tcW w:w="343" w:type="pct"/>
                  <w:tcBorders>
                    <w:tl2br w:val="nil"/>
                    <w:tr2bl w:val="nil"/>
                  </w:tcBorders>
                  <w:vAlign w:val="center"/>
                </w:tcPr>
                <w:p>
                  <w:pPr>
                    <w:jc w:val="center"/>
                    <w:rPr>
                      <w:szCs w:val="21"/>
                    </w:rPr>
                  </w:pPr>
                  <w:r>
                    <w:rPr>
                      <w:rFonts w:hint="eastAsia"/>
                      <w:szCs w:val="21"/>
                    </w:rPr>
                    <w:t>频发</w:t>
                  </w:r>
                </w:p>
              </w:tc>
              <w:tc>
                <w:tcPr>
                  <w:tcW w:w="421" w:type="pct"/>
                  <w:vMerge w:val="continue"/>
                  <w:tcBorders>
                    <w:tl2br w:val="nil"/>
                    <w:tr2bl w:val="nil"/>
                  </w:tcBorders>
                  <w:vAlign w:val="center"/>
                </w:tcPr>
                <w:p>
                  <w:pPr>
                    <w:jc w:val="center"/>
                    <w:rPr>
                      <w:szCs w:val="21"/>
                    </w:rPr>
                  </w:pPr>
                </w:p>
              </w:tc>
              <w:tc>
                <w:tcPr>
                  <w:tcW w:w="529" w:type="pct"/>
                  <w:tcBorders>
                    <w:tl2br w:val="nil"/>
                    <w:tr2bl w:val="nil"/>
                  </w:tcBorders>
                  <w:vAlign w:val="center"/>
                </w:tcPr>
                <w:p>
                  <w:pPr>
                    <w:jc w:val="center"/>
                    <w:rPr>
                      <w:szCs w:val="21"/>
                    </w:rPr>
                  </w:pPr>
                  <w:r>
                    <w:rPr>
                      <w:rFonts w:hint="eastAsia"/>
                      <w:szCs w:val="21"/>
                    </w:rPr>
                    <w:t>60</w:t>
                  </w:r>
                </w:p>
              </w:tc>
              <w:tc>
                <w:tcPr>
                  <w:tcW w:w="441" w:type="pct"/>
                  <w:tcBorders>
                    <w:tl2br w:val="nil"/>
                    <w:tr2bl w:val="nil"/>
                  </w:tcBorders>
                  <w:vAlign w:val="center"/>
                </w:tcPr>
                <w:p>
                  <w:pPr>
                    <w:jc w:val="center"/>
                    <w:rPr>
                      <w:szCs w:val="21"/>
                    </w:rPr>
                  </w:pPr>
                  <w:r>
                    <w:rPr>
                      <w:rFonts w:hint="eastAsia"/>
                      <w:szCs w:val="21"/>
                    </w:rPr>
                    <w:t>8</w:t>
                  </w:r>
                </w:p>
              </w:tc>
              <w:tc>
                <w:tcPr>
                  <w:tcW w:w="510" w:type="pct"/>
                  <w:tcBorders>
                    <w:tl2br w:val="nil"/>
                    <w:tr2bl w:val="nil"/>
                  </w:tcBorders>
                  <w:vAlign w:val="center"/>
                </w:tcPr>
                <w:p>
                  <w:pPr>
                    <w:jc w:val="center"/>
                    <w:rPr>
                      <w:szCs w:val="21"/>
                    </w:rPr>
                  </w:pPr>
                  <w:r>
                    <w:rPr>
                      <w:rFonts w:hint="eastAsia"/>
                      <w:szCs w:val="21"/>
                    </w:rPr>
                    <w:t>实验室内</w:t>
                  </w:r>
                </w:p>
              </w:tc>
              <w:tc>
                <w:tcPr>
                  <w:tcW w:w="979" w:type="pct"/>
                  <w:vMerge w:val="continue"/>
                  <w:tcBorders>
                    <w:tl2br w:val="nil"/>
                    <w:tr2bl w:val="nil"/>
                  </w:tcBorders>
                  <w:vAlign w:val="center"/>
                </w:tcPr>
                <w:p>
                  <w:pPr>
                    <w:jc w:val="center"/>
                    <w:rPr>
                      <w:szCs w:val="21"/>
                    </w:rPr>
                  </w:pPr>
                </w:p>
              </w:tc>
              <w:tc>
                <w:tcPr>
                  <w:tcW w:w="367" w:type="pct"/>
                  <w:tcBorders>
                    <w:tl2br w:val="nil"/>
                    <w:tr2bl w:val="nil"/>
                  </w:tcBorders>
                  <w:vAlign w:val="center"/>
                </w:tcPr>
                <w:p>
                  <w:pPr>
                    <w:jc w:val="center"/>
                    <w:rPr>
                      <w:szCs w:val="21"/>
                    </w:rPr>
                  </w:pPr>
                  <w:r>
                    <w:rPr>
                      <w:rFonts w:hint="eastAsia"/>
                      <w:szCs w:val="21"/>
                    </w:rPr>
                    <w:t>25</w:t>
                  </w:r>
                </w:p>
              </w:tc>
              <w:tc>
                <w:tcPr>
                  <w:tcW w:w="368" w:type="pct"/>
                  <w:tcBorders>
                    <w:tl2br w:val="nil"/>
                    <w:tr2bl w:val="nil"/>
                  </w:tcBorders>
                  <w:vAlign w:val="center"/>
                </w:tcPr>
                <w:p>
                  <w:pPr>
                    <w:jc w:val="center"/>
                    <w:rPr>
                      <w:szCs w:val="21"/>
                    </w:rPr>
                  </w:pPr>
                  <w:r>
                    <w:rPr>
                      <w:rFonts w:hint="eastAsia"/>
                      <w:szCs w:val="21"/>
                    </w:rPr>
                    <w:t>35</w:t>
                  </w:r>
                </w:p>
              </w:tc>
              <w:tc>
                <w:tcPr>
                  <w:tcW w:w="368" w:type="pct"/>
                  <w:tcBorders>
                    <w:tl2br w:val="nil"/>
                    <w:tr2bl w:val="nil"/>
                  </w:tcBorders>
                  <w:vAlign w:val="center"/>
                </w:tcPr>
                <w:p>
                  <w:pPr>
                    <w:jc w:val="center"/>
                    <w:rPr>
                      <w:szCs w:val="21"/>
                    </w:rPr>
                  </w:pPr>
                  <w:r>
                    <w:rPr>
                      <w:rFonts w:hint="eastAsia"/>
                      <w:szCs w:val="21"/>
                    </w:rPr>
                    <w:t>1000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82" w:hRule="atLeast"/>
              </w:trPr>
              <w:tc>
                <w:tcPr>
                  <w:tcW w:w="668" w:type="pct"/>
                  <w:tcBorders>
                    <w:tl2br w:val="nil"/>
                    <w:tr2bl w:val="nil"/>
                  </w:tcBorders>
                  <w:vAlign w:val="center"/>
                </w:tcPr>
                <w:p>
                  <w:pPr>
                    <w:jc w:val="center"/>
                    <w:rPr>
                      <w:szCs w:val="21"/>
                    </w:rPr>
                  </w:pPr>
                  <w:r>
                    <w:rPr>
                      <w:rFonts w:hint="eastAsia"/>
                      <w:szCs w:val="21"/>
                    </w:rPr>
                    <w:t>送排风系统</w:t>
                  </w:r>
                </w:p>
              </w:tc>
              <w:tc>
                <w:tcPr>
                  <w:tcW w:w="343" w:type="pct"/>
                  <w:tcBorders>
                    <w:tl2br w:val="nil"/>
                    <w:tr2bl w:val="nil"/>
                  </w:tcBorders>
                  <w:vAlign w:val="center"/>
                </w:tcPr>
                <w:p>
                  <w:pPr>
                    <w:jc w:val="center"/>
                    <w:rPr>
                      <w:szCs w:val="21"/>
                    </w:rPr>
                  </w:pPr>
                  <w:r>
                    <w:rPr>
                      <w:rFonts w:hint="eastAsia"/>
                      <w:szCs w:val="21"/>
                    </w:rPr>
                    <w:t>连续</w:t>
                  </w:r>
                </w:p>
              </w:tc>
              <w:tc>
                <w:tcPr>
                  <w:tcW w:w="421" w:type="pct"/>
                  <w:vMerge w:val="continue"/>
                  <w:tcBorders>
                    <w:tl2br w:val="nil"/>
                    <w:tr2bl w:val="nil"/>
                  </w:tcBorders>
                  <w:vAlign w:val="center"/>
                </w:tcPr>
                <w:p>
                  <w:pPr>
                    <w:jc w:val="center"/>
                    <w:rPr>
                      <w:szCs w:val="21"/>
                    </w:rPr>
                  </w:pPr>
                </w:p>
              </w:tc>
              <w:tc>
                <w:tcPr>
                  <w:tcW w:w="529" w:type="pct"/>
                  <w:tcBorders>
                    <w:tl2br w:val="nil"/>
                    <w:tr2bl w:val="nil"/>
                  </w:tcBorders>
                  <w:vAlign w:val="center"/>
                </w:tcPr>
                <w:p>
                  <w:pPr>
                    <w:jc w:val="center"/>
                    <w:rPr>
                      <w:szCs w:val="21"/>
                    </w:rPr>
                  </w:pPr>
                  <w:r>
                    <w:rPr>
                      <w:rFonts w:hint="eastAsia"/>
                      <w:szCs w:val="21"/>
                    </w:rPr>
                    <w:t>送风：60</w:t>
                  </w:r>
                </w:p>
                <w:p>
                  <w:pPr>
                    <w:jc w:val="center"/>
                    <w:rPr>
                      <w:szCs w:val="21"/>
                    </w:rPr>
                  </w:pPr>
                  <w:r>
                    <w:rPr>
                      <w:rFonts w:hint="eastAsia"/>
                      <w:szCs w:val="21"/>
                    </w:rPr>
                    <w:t>排风：60</w:t>
                  </w:r>
                </w:p>
              </w:tc>
              <w:tc>
                <w:tcPr>
                  <w:tcW w:w="441" w:type="pct"/>
                  <w:tcBorders>
                    <w:tl2br w:val="nil"/>
                    <w:tr2bl w:val="nil"/>
                  </w:tcBorders>
                  <w:vAlign w:val="center"/>
                </w:tcPr>
                <w:p>
                  <w:pPr>
                    <w:jc w:val="center"/>
                    <w:rPr>
                      <w:szCs w:val="21"/>
                    </w:rPr>
                  </w:pPr>
                  <w:r>
                    <w:rPr>
                      <w:rFonts w:hint="eastAsia"/>
                      <w:szCs w:val="21"/>
                    </w:rPr>
                    <w:t>2套</w:t>
                  </w:r>
                </w:p>
              </w:tc>
              <w:tc>
                <w:tcPr>
                  <w:tcW w:w="510" w:type="pct"/>
                  <w:tcBorders>
                    <w:tl2br w:val="nil"/>
                    <w:tr2bl w:val="nil"/>
                  </w:tcBorders>
                  <w:vAlign w:val="center"/>
                </w:tcPr>
                <w:p>
                  <w:pPr>
                    <w:jc w:val="center"/>
                    <w:rPr>
                      <w:szCs w:val="21"/>
                    </w:rPr>
                  </w:pPr>
                  <w:r>
                    <w:rPr>
                      <w:rFonts w:hint="eastAsia"/>
                      <w:szCs w:val="21"/>
                    </w:rPr>
                    <w:t>楼顶，室外</w:t>
                  </w:r>
                </w:p>
              </w:tc>
              <w:tc>
                <w:tcPr>
                  <w:tcW w:w="979" w:type="pct"/>
                  <w:tcBorders>
                    <w:tl2br w:val="nil"/>
                    <w:tr2bl w:val="nil"/>
                  </w:tcBorders>
                  <w:vAlign w:val="center"/>
                </w:tcPr>
                <w:p>
                  <w:pPr>
                    <w:jc w:val="center"/>
                    <w:rPr>
                      <w:szCs w:val="21"/>
                    </w:rPr>
                  </w:pPr>
                  <w:r>
                    <w:rPr>
                      <w:szCs w:val="21"/>
                    </w:rPr>
                    <w:t>选用低噪声实验设备，</w:t>
                  </w:r>
                  <w:r>
                    <w:rPr>
                      <w:rFonts w:hint="eastAsia"/>
                      <w:szCs w:val="21"/>
                    </w:rPr>
                    <w:t>风机加装风机罩，</w:t>
                  </w:r>
                  <w:r>
                    <w:rPr>
                      <w:szCs w:val="21"/>
                    </w:rPr>
                    <w:t>基础加装减振垫</w:t>
                  </w:r>
                </w:p>
              </w:tc>
              <w:tc>
                <w:tcPr>
                  <w:tcW w:w="367" w:type="pct"/>
                  <w:tcBorders>
                    <w:tl2br w:val="nil"/>
                    <w:tr2bl w:val="nil"/>
                  </w:tcBorders>
                  <w:vAlign w:val="center"/>
                </w:tcPr>
                <w:p>
                  <w:pPr>
                    <w:jc w:val="center"/>
                    <w:rPr>
                      <w:szCs w:val="21"/>
                    </w:rPr>
                  </w:pPr>
                  <w:r>
                    <w:rPr>
                      <w:rFonts w:hint="eastAsia"/>
                      <w:szCs w:val="21"/>
                    </w:rPr>
                    <w:t>10</w:t>
                  </w:r>
                </w:p>
              </w:tc>
              <w:tc>
                <w:tcPr>
                  <w:tcW w:w="368" w:type="pct"/>
                  <w:tcBorders>
                    <w:tl2br w:val="nil"/>
                    <w:tr2bl w:val="nil"/>
                  </w:tcBorders>
                  <w:vAlign w:val="center"/>
                </w:tcPr>
                <w:p>
                  <w:pPr>
                    <w:jc w:val="center"/>
                    <w:rPr>
                      <w:szCs w:val="21"/>
                    </w:rPr>
                  </w:pPr>
                  <w:r>
                    <w:rPr>
                      <w:rFonts w:hint="eastAsia"/>
                      <w:szCs w:val="21"/>
                    </w:rPr>
                    <w:t>50</w:t>
                  </w:r>
                </w:p>
              </w:tc>
              <w:tc>
                <w:tcPr>
                  <w:tcW w:w="368" w:type="pct"/>
                  <w:tcBorders>
                    <w:tl2br w:val="nil"/>
                    <w:tr2bl w:val="nil"/>
                  </w:tcBorders>
                  <w:vAlign w:val="center"/>
                </w:tcPr>
                <w:p>
                  <w:pPr>
                    <w:jc w:val="center"/>
                    <w:rPr>
                      <w:szCs w:val="21"/>
                    </w:rPr>
                  </w:pPr>
                  <w:r>
                    <w:rPr>
                      <w:rFonts w:hint="eastAsia"/>
                      <w:szCs w:val="21"/>
                    </w:rPr>
                    <w:t>2500</w:t>
                  </w:r>
                </w:p>
              </w:tc>
            </w:tr>
          </w:tbl>
          <w:p>
            <w:pPr>
              <w:spacing w:line="360" w:lineRule="auto"/>
              <w:ind w:firstLine="420" w:firstLineChars="200"/>
              <w:rPr>
                <w:szCs w:val="21"/>
              </w:rPr>
            </w:pPr>
            <w:r>
              <w:rPr>
                <w:bCs/>
                <w:szCs w:val="21"/>
              </w:rPr>
              <w:t>本项目投产后，通过采取相应</w:t>
            </w:r>
            <w:r>
              <w:rPr>
                <w:rFonts w:hint="eastAsia"/>
                <w:bCs/>
                <w:szCs w:val="21"/>
              </w:rPr>
              <w:t>的噪声污染</w:t>
            </w:r>
            <w:r>
              <w:rPr>
                <w:bCs/>
                <w:szCs w:val="21"/>
              </w:rPr>
              <w:t>防治措施后</w:t>
            </w:r>
            <w:r>
              <w:rPr>
                <w:szCs w:val="21"/>
              </w:rPr>
              <w:t>，本次</w:t>
            </w:r>
            <w:r>
              <w:rPr>
                <w:rFonts w:hint="eastAsia"/>
                <w:szCs w:val="21"/>
              </w:rPr>
              <w:t>新建工程</w:t>
            </w:r>
            <w:r>
              <w:rPr>
                <w:szCs w:val="21"/>
              </w:rPr>
              <w:t>厂界噪声可满足《工业企业厂界环境噪声排放标准》（GB 12348-2008）中</w:t>
            </w:r>
            <w:r>
              <w:rPr>
                <w:rFonts w:hint="eastAsia"/>
                <w:szCs w:val="21"/>
              </w:rPr>
              <w:t>3</w:t>
            </w:r>
            <w:r>
              <w:rPr>
                <w:szCs w:val="21"/>
              </w:rPr>
              <w:t>类标准限值。</w:t>
            </w:r>
          </w:p>
          <w:p>
            <w:pPr>
              <w:spacing w:line="360" w:lineRule="auto"/>
              <w:ind w:left="420" w:leftChars="200"/>
              <w:rPr>
                <w:kern w:val="21"/>
                <w:szCs w:val="21"/>
              </w:rPr>
            </w:pPr>
            <w:r>
              <w:rPr>
                <w:rFonts w:hint="eastAsia"/>
                <w:kern w:val="21"/>
                <w:szCs w:val="21"/>
              </w:rPr>
              <w:t>（2）噪声监测要求</w:t>
            </w:r>
          </w:p>
          <w:p>
            <w:pPr>
              <w:spacing w:line="360" w:lineRule="auto"/>
              <w:ind w:firstLine="420" w:firstLineChars="200"/>
              <w:rPr>
                <w:kern w:val="21"/>
                <w:szCs w:val="21"/>
              </w:rPr>
            </w:pPr>
            <w:r>
              <w:rPr>
                <w:rFonts w:hint="eastAsia"/>
                <w:kern w:val="21"/>
                <w:szCs w:val="21"/>
              </w:rPr>
              <w:t>根据《固定污染源排污许可分类管理名录（2019年版）》，本次评价参考《排污单位自行监测技术指南 总则》（HJ819-2017）、《排污许可证申请与核发技术规范 医疗机构》（HJ1105-2020）提出噪声监测要求，监测点位为本项目厂界，具体废水监测指标及监测频次见表</w:t>
            </w:r>
            <w:r>
              <w:rPr>
                <w:rFonts w:hint="eastAsia"/>
                <w:kern w:val="21"/>
                <w:szCs w:val="21"/>
                <w:lang w:val="en-US" w:eastAsia="zh-CN"/>
              </w:rPr>
              <w:t>25</w:t>
            </w:r>
            <w:r>
              <w:rPr>
                <w:rFonts w:hint="eastAsia"/>
                <w:kern w:val="21"/>
                <w:szCs w:val="21"/>
              </w:rPr>
              <w:t>。</w:t>
            </w:r>
          </w:p>
          <w:p>
            <w:pPr>
              <w:pStyle w:val="32"/>
            </w:pPr>
            <w:r>
              <w:t xml:space="preserve"> 废水监测要求</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39"/>
              <w:gridCol w:w="3049"/>
              <w:gridCol w:w="21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966" w:type="pct"/>
                  <w:noWrap/>
                  <w:vAlign w:val="center"/>
                </w:tcPr>
                <w:p>
                  <w:pPr>
                    <w:adjustRightInd w:val="0"/>
                    <w:snapToGrid w:val="0"/>
                    <w:jc w:val="center"/>
                    <w:rPr>
                      <w:szCs w:val="21"/>
                    </w:rPr>
                  </w:pPr>
                  <w:r>
                    <w:rPr>
                      <w:rFonts w:hint="eastAsia"/>
                      <w:szCs w:val="21"/>
                    </w:rPr>
                    <w:t>监测点位</w:t>
                  </w:r>
                </w:p>
              </w:tc>
              <w:tc>
                <w:tcPr>
                  <w:tcW w:w="1795" w:type="pct"/>
                  <w:noWrap/>
                  <w:vAlign w:val="center"/>
                </w:tcPr>
                <w:p>
                  <w:pPr>
                    <w:adjustRightInd w:val="0"/>
                    <w:snapToGrid w:val="0"/>
                    <w:jc w:val="center"/>
                    <w:rPr>
                      <w:szCs w:val="21"/>
                    </w:rPr>
                  </w:pPr>
                  <w:r>
                    <w:rPr>
                      <w:rFonts w:hint="eastAsia"/>
                      <w:szCs w:val="21"/>
                    </w:rPr>
                    <w:t>监测指标</w:t>
                  </w:r>
                </w:p>
              </w:tc>
              <w:tc>
                <w:tcPr>
                  <w:tcW w:w="1238" w:type="pct"/>
                  <w:noWrap/>
                  <w:vAlign w:val="center"/>
                </w:tcPr>
                <w:p>
                  <w:pPr>
                    <w:adjustRightInd w:val="0"/>
                    <w:snapToGrid w:val="0"/>
                    <w:jc w:val="center"/>
                    <w:rPr>
                      <w:szCs w:val="21"/>
                    </w:rPr>
                  </w:pPr>
                  <w:r>
                    <w:rPr>
                      <w:rFonts w:hint="eastAsia"/>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1966" w:type="pct"/>
                  <w:noWrap/>
                  <w:vAlign w:val="center"/>
                </w:tcPr>
                <w:p>
                  <w:pPr>
                    <w:adjustRightInd w:val="0"/>
                    <w:snapToGrid w:val="0"/>
                    <w:jc w:val="center"/>
                    <w:rPr>
                      <w:szCs w:val="21"/>
                    </w:rPr>
                  </w:pPr>
                  <w:r>
                    <w:rPr>
                      <w:szCs w:val="21"/>
                    </w:rPr>
                    <w:t>厂界</w:t>
                  </w:r>
                </w:p>
              </w:tc>
              <w:tc>
                <w:tcPr>
                  <w:tcW w:w="1795" w:type="pct"/>
                  <w:noWrap/>
                  <w:vAlign w:val="center"/>
                </w:tcPr>
                <w:p>
                  <w:pPr>
                    <w:adjustRightInd w:val="0"/>
                    <w:snapToGrid w:val="0"/>
                    <w:jc w:val="center"/>
                    <w:rPr>
                      <w:szCs w:val="21"/>
                    </w:rPr>
                  </w:pPr>
                  <w:r>
                    <w:rPr>
                      <w:rFonts w:hint="eastAsia"/>
                      <w:szCs w:val="21"/>
                    </w:rPr>
                    <w:t>Leq（A）</w:t>
                  </w:r>
                </w:p>
              </w:tc>
              <w:tc>
                <w:tcPr>
                  <w:tcW w:w="1238" w:type="pct"/>
                  <w:noWrap/>
                  <w:vAlign w:val="center"/>
                </w:tcPr>
                <w:p>
                  <w:pPr>
                    <w:adjustRightInd w:val="0"/>
                    <w:snapToGrid w:val="0"/>
                    <w:jc w:val="center"/>
                    <w:rPr>
                      <w:szCs w:val="21"/>
                    </w:rPr>
                  </w:pPr>
                  <w:r>
                    <w:rPr>
                      <w:rFonts w:hint="eastAsia"/>
                      <w:bCs/>
                      <w:szCs w:val="21"/>
                    </w:rPr>
                    <w:t>1次/季度</w:t>
                  </w:r>
                </w:p>
              </w:tc>
            </w:tr>
          </w:tbl>
          <w:p>
            <w:pPr>
              <w:spacing w:line="360" w:lineRule="auto"/>
              <w:ind w:firstLine="422" w:firstLineChars="200"/>
              <w:rPr>
                <w:b/>
                <w:bCs/>
                <w:kern w:val="21"/>
                <w:szCs w:val="21"/>
              </w:rPr>
            </w:pPr>
            <w:r>
              <w:rPr>
                <w:rFonts w:hint="eastAsia"/>
                <w:b/>
                <w:bCs/>
                <w:kern w:val="21"/>
                <w:szCs w:val="21"/>
              </w:rPr>
              <w:t>4、固废废物</w:t>
            </w:r>
          </w:p>
          <w:p>
            <w:pPr>
              <w:spacing w:line="360" w:lineRule="auto"/>
              <w:ind w:firstLine="420" w:firstLineChars="200"/>
              <w:rPr>
                <w:rFonts w:hint="eastAsia"/>
                <w:szCs w:val="21"/>
              </w:rPr>
            </w:pPr>
            <w:r>
              <w:rPr>
                <w:szCs w:val="21"/>
              </w:rPr>
              <w:t>根据项目作业程序，本项运行过程中涉及的固废主要为</w:t>
            </w:r>
            <w:r>
              <w:rPr>
                <w:rFonts w:hint="eastAsia"/>
                <w:szCs w:val="21"/>
              </w:rPr>
              <w:t>实验室人员办公生活垃圾、试验室分析检测过程中产生的废一次性防护服和一次性手套、核酸检测废试剂盒、废样本、废弃实验室耗材（废移液器吸头等），通风系统及生物安全柜产生的废HEPA滤网，活性炭吸附装置定期更换的废活性炭、质谱实验室运营过程产生的有机废液。</w:t>
            </w:r>
          </w:p>
          <w:p>
            <w:pPr>
              <w:spacing w:line="360" w:lineRule="auto"/>
              <w:ind w:firstLine="420" w:firstLineChars="200"/>
              <w:rPr>
                <w:szCs w:val="21"/>
              </w:rPr>
            </w:pPr>
            <w:r>
              <w:rPr>
                <w:rFonts w:hint="eastAsia"/>
                <w:szCs w:val="21"/>
              </w:rPr>
              <w:t>（1）</w:t>
            </w:r>
            <w:r>
              <w:rPr>
                <w:szCs w:val="21"/>
              </w:rPr>
              <w:t>医疗废物</w:t>
            </w:r>
          </w:p>
          <w:p>
            <w:pPr>
              <w:spacing w:line="360" w:lineRule="auto"/>
              <w:ind w:firstLine="420" w:firstLineChars="200"/>
              <w:rPr>
                <w:szCs w:val="21"/>
              </w:rPr>
            </w:pPr>
            <w:r>
              <w:rPr>
                <w:szCs w:val="21"/>
              </w:rPr>
              <w:t>项目建成运营后，实验室会产生一定量的医疗废物，为试验室分析检测过程中产生的废一次性防护服和一次性手套、核酸检测废试剂盒、废弃标本</w:t>
            </w:r>
            <w:r>
              <w:rPr>
                <w:rFonts w:hint="eastAsia"/>
                <w:szCs w:val="21"/>
              </w:rPr>
              <w:t>、废</w:t>
            </w:r>
            <w:r>
              <w:rPr>
                <w:szCs w:val="21"/>
              </w:rPr>
              <w:t>试剂、废弃实验室耗材（废移液器吸头等），根据《国家医疗废物名录》（环保部令第39号），该部分医疗废物属</w:t>
            </w:r>
            <w:r>
              <w:rPr>
                <w:rFonts w:hint="eastAsia"/>
                <w:szCs w:val="21"/>
              </w:rPr>
              <w:t>危险</w:t>
            </w:r>
            <w:r>
              <w:rPr>
                <w:szCs w:val="21"/>
              </w:rPr>
              <w:t>废物，废物类别为HW01，废物代码为感染性废物8</w:t>
            </w:r>
            <w:r>
              <w:rPr>
                <w:rFonts w:hint="eastAsia"/>
                <w:szCs w:val="21"/>
              </w:rPr>
              <w:t>4</w:t>
            </w:r>
            <w:r>
              <w:rPr>
                <w:szCs w:val="21"/>
              </w:rPr>
              <w:t>1-001-01危险特性为In（感染性），化学性废物8</w:t>
            </w:r>
            <w:r>
              <w:rPr>
                <w:rFonts w:hint="eastAsia"/>
                <w:szCs w:val="21"/>
              </w:rPr>
              <w:t>4</w:t>
            </w:r>
            <w:r>
              <w:rPr>
                <w:szCs w:val="21"/>
              </w:rPr>
              <w:t>1-004-01危险特性为T（毒性），药物性废物8</w:t>
            </w:r>
            <w:r>
              <w:rPr>
                <w:rFonts w:hint="eastAsia"/>
                <w:szCs w:val="21"/>
              </w:rPr>
              <w:t>4</w:t>
            </w:r>
            <w:r>
              <w:rPr>
                <w:szCs w:val="21"/>
              </w:rPr>
              <w:t>1-005-01 危险特性为T（毒性）。</w:t>
            </w:r>
          </w:p>
          <w:p>
            <w:pPr>
              <w:spacing w:line="360" w:lineRule="auto"/>
              <w:ind w:firstLine="420" w:firstLineChars="200"/>
              <w:rPr>
                <w:szCs w:val="21"/>
              </w:rPr>
            </w:pPr>
            <w:r>
              <w:rPr>
                <w:szCs w:val="21"/>
              </w:rPr>
              <w:t>根据院方提供的资料，本项目实验室检测</w:t>
            </w:r>
            <w:r>
              <w:rPr>
                <w:rFonts w:hint="eastAsia"/>
                <w:szCs w:val="21"/>
              </w:rPr>
              <w:t>能力</w:t>
            </w:r>
            <w:r>
              <w:rPr>
                <w:szCs w:val="21"/>
              </w:rPr>
              <w:t>100</w:t>
            </w:r>
            <w:r>
              <w:rPr>
                <w:rFonts w:hint="eastAsia"/>
                <w:szCs w:val="21"/>
              </w:rPr>
              <w:t>00份</w:t>
            </w:r>
            <w:r>
              <w:rPr>
                <w:szCs w:val="21"/>
              </w:rPr>
              <w:t>/日，废样本</w:t>
            </w:r>
            <w:r>
              <w:rPr>
                <w:rFonts w:hint="eastAsia"/>
                <w:szCs w:val="21"/>
              </w:rPr>
              <w:t>、</w:t>
            </w:r>
            <w:r>
              <w:rPr>
                <w:szCs w:val="21"/>
              </w:rPr>
              <w:t>废一次性防护服和一次性手套</w:t>
            </w:r>
            <w:r>
              <w:rPr>
                <w:rFonts w:hint="eastAsia"/>
                <w:szCs w:val="21"/>
              </w:rPr>
              <w:t>、</w:t>
            </w:r>
            <w:r>
              <w:rPr>
                <w:szCs w:val="21"/>
              </w:rPr>
              <w:t>废弃实验室耗材（废移液器吸头等）</w:t>
            </w:r>
            <w:r>
              <w:rPr>
                <w:rFonts w:hint="eastAsia"/>
                <w:szCs w:val="21"/>
              </w:rPr>
              <w:t>、</w:t>
            </w:r>
            <w:r>
              <w:rPr>
                <w:szCs w:val="21"/>
              </w:rPr>
              <w:t>废试剂盒产生量约为</w:t>
            </w:r>
            <w:r>
              <w:rPr>
                <w:rFonts w:hint="eastAsia"/>
                <w:szCs w:val="21"/>
              </w:rPr>
              <w:t>32</w:t>
            </w:r>
            <w:r>
              <w:rPr>
                <w:szCs w:val="21"/>
              </w:rPr>
              <w:t>kg/d</w:t>
            </w:r>
            <w:r>
              <w:rPr>
                <w:rFonts w:hint="eastAsia"/>
                <w:szCs w:val="21"/>
              </w:rPr>
              <w:t>（8</w:t>
            </w:r>
            <w:r>
              <w:rPr>
                <w:szCs w:val="21"/>
              </w:rPr>
              <w:t>t/a</w:t>
            </w:r>
            <w:r>
              <w:rPr>
                <w:rFonts w:hint="eastAsia"/>
                <w:szCs w:val="21"/>
              </w:rPr>
              <w:t>），</w:t>
            </w:r>
            <w:r>
              <w:rPr>
                <w:szCs w:val="21"/>
              </w:rPr>
              <w:t>废试剂产生量约为</w:t>
            </w:r>
            <w:r>
              <w:rPr>
                <w:rFonts w:hint="eastAsia"/>
                <w:szCs w:val="21"/>
              </w:rPr>
              <w:t>8</w:t>
            </w:r>
            <w:r>
              <w:rPr>
                <w:szCs w:val="21"/>
              </w:rPr>
              <w:t>kg/d</w:t>
            </w:r>
            <w:r>
              <w:rPr>
                <w:rFonts w:hint="eastAsia"/>
                <w:szCs w:val="21"/>
              </w:rPr>
              <w:t>（2.0</w:t>
            </w:r>
            <w:r>
              <w:rPr>
                <w:szCs w:val="21"/>
              </w:rPr>
              <w:t>t/a</w:t>
            </w:r>
            <w:r>
              <w:rPr>
                <w:rFonts w:hint="eastAsia"/>
                <w:szCs w:val="21"/>
              </w:rPr>
              <w:t>）</w:t>
            </w:r>
            <w:r>
              <w:rPr>
                <w:szCs w:val="21"/>
              </w:rPr>
              <w:t>。废样本</w:t>
            </w:r>
            <w:r>
              <w:rPr>
                <w:rFonts w:hint="eastAsia"/>
                <w:szCs w:val="21"/>
              </w:rPr>
              <w:t>、</w:t>
            </w:r>
            <w:r>
              <w:rPr>
                <w:szCs w:val="21"/>
              </w:rPr>
              <w:t>废一次性防护服和一次性手套</w:t>
            </w:r>
            <w:r>
              <w:rPr>
                <w:rFonts w:hint="eastAsia"/>
                <w:szCs w:val="21"/>
              </w:rPr>
              <w:t>、</w:t>
            </w:r>
            <w:r>
              <w:rPr>
                <w:szCs w:val="21"/>
              </w:rPr>
              <w:t>废弃实验室耗材（废移液器吸头等）</w:t>
            </w:r>
            <w:r>
              <w:rPr>
                <w:rFonts w:hint="eastAsia"/>
                <w:szCs w:val="21"/>
              </w:rPr>
              <w:t>、</w:t>
            </w:r>
            <w:r>
              <w:rPr>
                <w:szCs w:val="21"/>
              </w:rPr>
              <w:t>废试剂盒全部放入电高压蒸汽灭菌器进行蒸煮消毒，暂存于</w:t>
            </w:r>
            <w:r>
              <w:rPr>
                <w:rFonts w:hint="eastAsia"/>
                <w:szCs w:val="21"/>
              </w:rPr>
              <w:t>医院医疗废物暂存间</w:t>
            </w:r>
            <w:r>
              <w:rPr>
                <w:szCs w:val="21"/>
              </w:rPr>
              <w:t>，</w:t>
            </w:r>
            <w:r>
              <w:rPr>
                <w:rFonts w:hint="eastAsia"/>
                <w:szCs w:val="21"/>
              </w:rPr>
              <w:t>定期</w:t>
            </w:r>
            <w:r>
              <w:rPr>
                <w:szCs w:val="21"/>
              </w:rPr>
              <w:t>交由</w:t>
            </w:r>
            <w:r>
              <w:rPr>
                <w:rFonts w:hint="eastAsia"/>
                <w:szCs w:val="21"/>
              </w:rPr>
              <w:t>资质单位</w:t>
            </w:r>
            <w:r>
              <w:rPr>
                <w:szCs w:val="21"/>
              </w:rPr>
              <w:t>处置，在消毒间储存不超过</w:t>
            </w:r>
            <w:r>
              <w:rPr>
                <w:rFonts w:hint="eastAsia"/>
                <w:szCs w:val="21"/>
              </w:rPr>
              <w:t>48</w:t>
            </w:r>
            <w:r>
              <w:rPr>
                <w:szCs w:val="21"/>
              </w:rPr>
              <w:t>小时。废试剂专用桶收集，消毒后，暂存</w:t>
            </w:r>
            <w:r>
              <w:rPr>
                <w:rFonts w:hint="eastAsia"/>
                <w:szCs w:val="21"/>
              </w:rPr>
              <w:t>于</w:t>
            </w:r>
            <w:r>
              <w:rPr>
                <w:szCs w:val="21"/>
              </w:rPr>
              <w:t>医疗废物暂存间，</w:t>
            </w:r>
            <w:r>
              <w:rPr>
                <w:rFonts w:hint="eastAsia"/>
                <w:szCs w:val="21"/>
              </w:rPr>
              <w:t>定期交由资质单位处置。</w:t>
            </w:r>
          </w:p>
          <w:p>
            <w:pPr>
              <w:spacing w:line="360" w:lineRule="auto"/>
              <w:ind w:firstLine="420" w:firstLineChars="200"/>
              <w:rPr>
                <w:szCs w:val="21"/>
              </w:rPr>
            </w:pPr>
            <w:r>
              <w:rPr>
                <w:rFonts w:hint="eastAsia"/>
                <w:szCs w:val="21"/>
              </w:rPr>
              <w:t>（3）</w:t>
            </w:r>
            <w:r>
              <w:rPr>
                <w:szCs w:val="21"/>
              </w:rPr>
              <w:t>废HEPA过滤器</w:t>
            </w:r>
          </w:p>
          <w:p>
            <w:pPr>
              <w:spacing w:line="360" w:lineRule="auto"/>
              <w:ind w:firstLine="420" w:firstLineChars="200"/>
              <w:rPr>
                <w:szCs w:val="21"/>
              </w:rPr>
            </w:pPr>
            <w:r>
              <w:rPr>
                <w:szCs w:val="21"/>
              </w:rPr>
              <w:t>实验室为负压通风系统，</w:t>
            </w:r>
            <w:r>
              <w:rPr>
                <w:rFonts w:hint="eastAsia"/>
                <w:szCs w:val="21"/>
              </w:rPr>
              <w:t>送排风系统及生物安全柜</w:t>
            </w:r>
            <w:r>
              <w:rPr>
                <w:szCs w:val="21"/>
              </w:rPr>
              <w:t>采用HEPA过滤器进行空气过滤，过滤器为叠片状硼硅微纤维，过滤空气中病毒、细菌、杂质等，根据《国家医疗废物名录》（环保部令第39号），该部分医疗废物属</w:t>
            </w:r>
            <w:r>
              <w:rPr>
                <w:rFonts w:hint="eastAsia"/>
                <w:szCs w:val="21"/>
              </w:rPr>
              <w:t>危险</w:t>
            </w:r>
            <w:r>
              <w:rPr>
                <w:szCs w:val="21"/>
              </w:rPr>
              <w:t>废物，其废物类别为HW01，废物代码分别为感染性废物 831-001-01，危险特性为In（感染性）。感染型废物与其他医疗废物分开填写转移联单，并建立台账，并定期对实验室排风HEPA过滤器进行检漏和更换。</w:t>
            </w:r>
          </w:p>
          <w:p>
            <w:pPr>
              <w:spacing w:line="360" w:lineRule="auto"/>
              <w:ind w:firstLine="420" w:firstLineChars="200"/>
              <w:rPr>
                <w:szCs w:val="21"/>
              </w:rPr>
            </w:pPr>
            <w:r>
              <w:rPr>
                <w:szCs w:val="21"/>
              </w:rPr>
              <w:t>根据医院提供的资料，HEPA过滤器每3个月更换一次，废HEPA过滤器产生量约为0.</w:t>
            </w:r>
            <w:r>
              <w:rPr>
                <w:rFonts w:hint="eastAsia"/>
                <w:szCs w:val="21"/>
              </w:rPr>
              <w:t>1</w:t>
            </w:r>
            <w:r>
              <w:rPr>
                <w:szCs w:val="21"/>
              </w:rPr>
              <w:t>t/a，废HEPA过滤器（HW01/8</w:t>
            </w:r>
            <w:r>
              <w:rPr>
                <w:rFonts w:hint="eastAsia"/>
                <w:szCs w:val="21"/>
              </w:rPr>
              <w:t>4</w:t>
            </w:r>
            <w:r>
              <w:rPr>
                <w:szCs w:val="21"/>
              </w:rPr>
              <w:t>1-001-01）</w:t>
            </w:r>
            <w:r>
              <w:rPr>
                <w:rFonts w:hint="eastAsia"/>
                <w:szCs w:val="21"/>
              </w:rPr>
              <w:t>应当由专业人士进行原位消毒后，装入安全容器内进行消毒灭菌，经消毒灭菌处理后移出实验室，定期交由资质单位处置</w:t>
            </w:r>
            <w:r>
              <w:rPr>
                <w:szCs w:val="21"/>
              </w:rPr>
              <w:t>。</w:t>
            </w:r>
          </w:p>
          <w:p>
            <w:pPr>
              <w:pStyle w:val="59"/>
              <w:tabs>
                <w:tab w:val="left" w:pos="5805"/>
              </w:tabs>
              <w:spacing w:line="360" w:lineRule="auto"/>
              <w:ind w:firstLine="420"/>
              <w:rPr>
                <w:rFonts w:ascii="Times New Roman"/>
                <w:spacing w:val="0"/>
                <w:kern w:val="21"/>
                <w:szCs w:val="21"/>
              </w:rPr>
            </w:pPr>
            <w:r>
              <w:rPr>
                <w:rFonts w:hint="eastAsia" w:ascii="Times New Roman"/>
                <w:spacing w:val="0"/>
                <w:kern w:val="21"/>
                <w:szCs w:val="21"/>
              </w:rPr>
              <w:t>（4）污水处理站污泥</w:t>
            </w:r>
          </w:p>
          <w:p>
            <w:pPr>
              <w:pStyle w:val="59"/>
              <w:tabs>
                <w:tab w:val="left" w:pos="5805"/>
              </w:tabs>
              <w:spacing w:line="360" w:lineRule="auto"/>
              <w:ind w:firstLine="420"/>
              <w:rPr>
                <w:rFonts w:ascii="Times New Roman"/>
                <w:spacing w:val="0"/>
                <w:kern w:val="21"/>
                <w:szCs w:val="21"/>
              </w:rPr>
            </w:pPr>
            <w:r>
              <w:rPr>
                <w:rFonts w:hint="eastAsia" w:ascii="Times New Roman"/>
                <w:spacing w:val="0"/>
                <w:kern w:val="21"/>
                <w:szCs w:val="21"/>
              </w:rPr>
              <w:t>本项目纳入废水处理站的废水量为1249.6t/a，在不采用污泥消化工艺的情况下，进水悬浮物浓度为中（200~300mg/L）时，含水污泥产生系数为6.63吨/万吨污水量，污水处理站废水处理量约0.3750万m</w:t>
            </w:r>
            <w:r>
              <w:rPr>
                <w:rFonts w:hint="eastAsia" w:ascii="Times New Roman"/>
                <w:spacing w:val="0"/>
                <w:kern w:val="21"/>
                <w:szCs w:val="21"/>
                <w:vertAlign w:val="superscript"/>
              </w:rPr>
              <w:t>3</w:t>
            </w:r>
            <w:r>
              <w:rPr>
                <w:rFonts w:hint="eastAsia" w:ascii="Times New Roman"/>
                <w:spacing w:val="0"/>
                <w:kern w:val="21"/>
                <w:szCs w:val="21"/>
              </w:rPr>
              <w:t>/a，则污水处理站产生的含水污泥量约为2.5t/a。</w:t>
            </w:r>
          </w:p>
          <w:p>
            <w:pPr>
              <w:pStyle w:val="59"/>
              <w:tabs>
                <w:tab w:val="left" w:pos="5805"/>
              </w:tabs>
              <w:spacing w:line="360" w:lineRule="auto"/>
              <w:ind w:firstLine="420"/>
              <w:rPr>
                <w:rFonts w:ascii="Times New Roman"/>
                <w:spacing w:val="0"/>
                <w:kern w:val="21"/>
                <w:szCs w:val="21"/>
              </w:rPr>
            </w:pPr>
            <w:r>
              <w:rPr>
                <w:rFonts w:hint="eastAsia" w:ascii="Times New Roman"/>
                <w:spacing w:val="0"/>
                <w:kern w:val="21"/>
                <w:szCs w:val="21"/>
              </w:rPr>
              <w:t>按照《国家医疗废物名录》，属于医疗废物HW01（841-001-01），</w:t>
            </w:r>
            <w:r>
              <w:rPr>
                <w:rFonts w:hint="eastAsia" w:ascii="Times New Roman" w:cs="Times New Roman"/>
                <w:szCs w:val="21"/>
              </w:rPr>
              <w:t>定期交由</w:t>
            </w:r>
            <w:r>
              <w:rPr>
                <w:rFonts w:hint="eastAsia" w:cs="Times New Roman"/>
                <w:szCs w:val="21"/>
              </w:rPr>
              <w:t>资质单位</w:t>
            </w:r>
            <w:r>
              <w:rPr>
                <w:rFonts w:hint="eastAsia" w:ascii="Times New Roman" w:cs="Times New Roman"/>
                <w:szCs w:val="21"/>
              </w:rPr>
              <w:t>处置</w:t>
            </w:r>
            <w:r>
              <w:rPr>
                <w:rFonts w:hint="eastAsia" w:ascii="Times New Roman"/>
                <w:spacing w:val="0"/>
                <w:kern w:val="21"/>
                <w:szCs w:val="21"/>
              </w:rPr>
              <w:t>。在清运处理前，采用漂白剂消毒处理，达到《医疗机构水污染物排放标准》(GB18466-2005)表4中污泥控制标准（粪大肠菌群数不大于100MPN/g，蛔虫死亡率&gt;95%）。</w:t>
            </w:r>
          </w:p>
          <w:p>
            <w:pPr>
              <w:pStyle w:val="42"/>
              <w:ind w:firstLine="420"/>
              <w:rPr>
                <w:szCs w:val="21"/>
              </w:rPr>
            </w:pPr>
            <w:r>
              <w:rPr>
                <w:rFonts w:hint="eastAsia"/>
                <w:szCs w:val="21"/>
              </w:rPr>
              <w:t>（5）生活垃圾</w:t>
            </w:r>
          </w:p>
          <w:p>
            <w:pPr>
              <w:pStyle w:val="59"/>
              <w:tabs>
                <w:tab w:val="left" w:pos="5805"/>
              </w:tabs>
              <w:spacing w:line="360" w:lineRule="auto"/>
              <w:ind w:firstLine="420"/>
              <w:rPr>
                <w:rFonts w:ascii="Times New Roman"/>
                <w:spacing w:val="0"/>
                <w:kern w:val="21"/>
                <w:szCs w:val="21"/>
              </w:rPr>
            </w:pPr>
            <w:r>
              <w:rPr>
                <w:rFonts w:hint="eastAsia" w:ascii="Times New Roman"/>
                <w:spacing w:val="0"/>
                <w:kern w:val="21"/>
                <w:szCs w:val="21"/>
              </w:rPr>
              <w:t>项目共有职工43人，垃圾产生量按</w:t>
            </w:r>
            <w:r>
              <w:rPr>
                <w:rFonts w:ascii="Times New Roman"/>
                <w:spacing w:val="0"/>
                <w:kern w:val="21"/>
                <w:szCs w:val="21"/>
              </w:rPr>
              <w:t>0.5kg/</w:t>
            </w:r>
            <w:r>
              <w:rPr>
                <w:rFonts w:hint="eastAsia" w:ascii="Times New Roman"/>
                <w:spacing w:val="0"/>
                <w:kern w:val="21"/>
                <w:szCs w:val="21"/>
              </w:rPr>
              <w:t>人</w:t>
            </w:r>
            <w:r>
              <w:rPr>
                <w:rFonts w:ascii="Times New Roman"/>
                <w:spacing w:val="0"/>
                <w:kern w:val="21"/>
                <w:szCs w:val="21"/>
              </w:rPr>
              <w:t xml:space="preserve">•d </w:t>
            </w:r>
            <w:r>
              <w:rPr>
                <w:rFonts w:hint="eastAsia" w:ascii="Times New Roman"/>
                <w:spacing w:val="0"/>
                <w:kern w:val="21"/>
                <w:szCs w:val="21"/>
              </w:rPr>
              <w:t>计，生活垃圾产生量为21.5</w:t>
            </w:r>
            <w:r>
              <w:rPr>
                <w:rFonts w:ascii="Times New Roman"/>
                <w:spacing w:val="0"/>
                <w:kern w:val="21"/>
                <w:szCs w:val="21"/>
              </w:rPr>
              <w:t>kg/d</w:t>
            </w:r>
            <w:r>
              <w:rPr>
                <w:rFonts w:hint="eastAsia" w:ascii="Times New Roman"/>
                <w:spacing w:val="0"/>
                <w:kern w:val="21"/>
                <w:szCs w:val="21"/>
              </w:rPr>
              <w:t>、5.375</w:t>
            </w:r>
            <w:r>
              <w:rPr>
                <w:rFonts w:ascii="Times New Roman"/>
                <w:spacing w:val="0"/>
                <w:kern w:val="21"/>
                <w:szCs w:val="21"/>
              </w:rPr>
              <w:t>t/a</w:t>
            </w:r>
            <w:r>
              <w:rPr>
                <w:rFonts w:hint="eastAsia" w:ascii="Times New Roman"/>
                <w:spacing w:val="0"/>
                <w:kern w:val="21"/>
                <w:szCs w:val="21"/>
              </w:rPr>
              <w:t>。</w:t>
            </w:r>
            <w:r>
              <w:rPr>
                <w:rFonts w:ascii="Times New Roman"/>
                <w:spacing w:val="0"/>
                <w:kern w:val="21"/>
                <w:szCs w:val="21"/>
              </w:rPr>
              <w:t>生活垃圾由环卫部门统一清运处理。</w:t>
            </w:r>
          </w:p>
          <w:p>
            <w:pPr>
              <w:pStyle w:val="59"/>
              <w:tabs>
                <w:tab w:val="left" w:pos="5805"/>
              </w:tabs>
              <w:spacing w:line="360" w:lineRule="auto"/>
              <w:ind w:firstLine="420"/>
              <w:rPr>
                <w:rFonts w:hint="default" w:ascii="Times New Roman" w:eastAsia="宋体"/>
                <w:spacing w:val="0"/>
                <w:kern w:val="21"/>
                <w:szCs w:val="21"/>
                <w:lang w:val="en-US" w:eastAsia="zh-CN"/>
              </w:rPr>
            </w:pPr>
            <w:r>
              <w:rPr>
                <w:rFonts w:hint="eastAsia" w:ascii="Times New Roman"/>
                <w:spacing w:val="0"/>
                <w:kern w:val="21"/>
                <w:szCs w:val="21"/>
                <w:lang w:eastAsia="zh-CN"/>
              </w:rPr>
              <w:t>（</w:t>
            </w:r>
            <w:r>
              <w:rPr>
                <w:rFonts w:hint="eastAsia" w:ascii="Times New Roman"/>
                <w:spacing w:val="0"/>
                <w:kern w:val="21"/>
                <w:szCs w:val="21"/>
                <w:lang w:val="en-US" w:eastAsia="zh-CN"/>
              </w:rPr>
              <w:t>6</w:t>
            </w:r>
            <w:r>
              <w:rPr>
                <w:rFonts w:hint="eastAsia" w:ascii="Times New Roman"/>
                <w:spacing w:val="0"/>
                <w:kern w:val="21"/>
                <w:szCs w:val="21"/>
                <w:lang w:eastAsia="zh-CN"/>
              </w:rPr>
              <w:t>）</w:t>
            </w:r>
            <w:r>
              <w:rPr>
                <w:rFonts w:hint="eastAsia" w:ascii="Times New Roman"/>
                <w:spacing w:val="0"/>
                <w:kern w:val="21"/>
                <w:szCs w:val="21"/>
                <w:lang w:val="en-US" w:eastAsia="zh-CN"/>
              </w:rPr>
              <w:t>废活性炭</w:t>
            </w:r>
          </w:p>
          <w:p>
            <w:pPr>
              <w:pStyle w:val="42"/>
              <w:ind w:firstLine="420"/>
              <w:rPr>
                <w:szCs w:val="21"/>
              </w:rPr>
            </w:pPr>
            <w:r>
              <w:rPr>
                <w:rFonts w:hint="eastAsia"/>
                <w:szCs w:val="21"/>
              </w:rPr>
              <w:t>用于吸附实验废气产生的废活性炭产生量约为 5t/a，分类收集后作为危险废物处置</w:t>
            </w:r>
            <w:r>
              <w:rPr>
                <w:rFonts w:hint="eastAsia"/>
                <w:szCs w:val="21"/>
                <w:lang w:eastAsia="zh-CN"/>
              </w:rPr>
              <w:t>，</w:t>
            </w:r>
            <w:r>
              <w:rPr>
                <w:rFonts w:hint="eastAsia"/>
                <w:szCs w:val="21"/>
                <w:lang w:val="en-US" w:eastAsia="zh-CN"/>
              </w:rPr>
              <w:t>暂存在危废暂存间内，定期交由资质单位处置</w:t>
            </w:r>
            <w:r>
              <w:rPr>
                <w:rFonts w:hint="eastAsia"/>
                <w:szCs w:val="21"/>
              </w:rPr>
              <w:t>。</w:t>
            </w:r>
          </w:p>
          <w:p>
            <w:pPr>
              <w:pStyle w:val="42"/>
              <w:ind w:firstLine="420"/>
              <w:rPr>
                <w:rFonts w:hint="eastAsia" w:eastAsia="宋体"/>
                <w:szCs w:val="21"/>
                <w:lang w:eastAsia="zh-CN"/>
              </w:rPr>
            </w:pPr>
            <w:r>
              <w:rPr>
                <w:rFonts w:hint="eastAsia"/>
                <w:szCs w:val="21"/>
                <w:lang w:eastAsia="zh-CN"/>
              </w:rPr>
              <w:t>（</w:t>
            </w:r>
            <w:r>
              <w:rPr>
                <w:rFonts w:hint="eastAsia"/>
                <w:szCs w:val="21"/>
                <w:lang w:val="en-US" w:eastAsia="zh-CN"/>
              </w:rPr>
              <w:t>7</w:t>
            </w:r>
            <w:r>
              <w:rPr>
                <w:rFonts w:hint="eastAsia"/>
                <w:szCs w:val="21"/>
                <w:lang w:eastAsia="zh-CN"/>
              </w:rPr>
              <w:t>）</w:t>
            </w:r>
            <w:r>
              <w:rPr>
                <w:rFonts w:hint="eastAsia"/>
                <w:szCs w:val="21"/>
              </w:rPr>
              <w:t>有机废液</w:t>
            </w:r>
          </w:p>
          <w:p>
            <w:pPr>
              <w:pStyle w:val="42"/>
              <w:ind w:firstLine="420"/>
              <w:rPr>
                <w:rFonts w:hint="default"/>
                <w:szCs w:val="21"/>
                <w:lang w:val="en-US"/>
              </w:rPr>
            </w:pPr>
            <w:r>
              <w:rPr>
                <w:rFonts w:hint="eastAsia"/>
                <w:szCs w:val="21"/>
                <w:lang w:val="en-US" w:eastAsia="zh-CN"/>
              </w:rPr>
              <w:t>质谱实验过程中产生的有机废液为2.5t/a，暂存在危废暂存间内，定期交由资质单位处置</w:t>
            </w:r>
            <w:r>
              <w:rPr>
                <w:rFonts w:hint="eastAsia"/>
                <w:szCs w:val="21"/>
              </w:rPr>
              <w:t>。</w:t>
            </w:r>
          </w:p>
          <w:p>
            <w:pPr>
              <w:pStyle w:val="42"/>
              <w:ind w:firstLine="420"/>
              <w:rPr>
                <w:szCs w:val="21"/>
              </w:rPr>
            </w:pPr>
            <w:r>
              <w:rPr>
                <w:szCs w:val="21"/>
              </w:rPr>
              <w:t>本项目产生的主要固体废物信息统计见表</w:t>
            </w:r>
            <w:r>
              <w:rPr>
                <w:rFonts w:hint="eastAsia"/>
                <w:szCs w:val="21"/>
                <w:lang w:val="en-US" w:eastAsia="zh-CN"/>
              </w:rPr>
              <w:t>26</w:t>
            </w:r>
            <w:r>
              <w:rPr>
                <w:rFonts w:hint="eastAsia"/>
                <w:szCs w:val="21"/>
              </w:rPr>
              <w:t>。</w:t>
            </w:r>
          </w:p>
          <w:p>
            <w:pPr>
              <w:pStyle w:val="32"/>
            </w:pPr>
            <w:r>
              <w:t xml:space="preserve"> 固体废物污染源源强核算结果及相关参数一览表</w:t>
            </w:r>
          </w:p>
          <w:tbl>
            <w:tblPr>
              <w:tblStyle w:val="2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6"/>
              <w:gridCol w:w="1076"/>
              <w:gridCol w:w="582"/>
              <w:gridCol w:w="655"/>
              <w:gridCol w:w="1533"/>
              <w:gridCol w:w="586"/>
              <w:gridCol w:w="714"/>
              <w:gridCol w:w="958"/>
              <w:gridCol w:w="842"/>
              <w:gridCol w:w="5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569" w:type="pct"/>
                  <w:vMerge w:val="restart"/>
                  <w:tcBorders>
                    <w:tl2br w:val="nil"/>
                    <w:tr2bl w:val="nil"/>
                  </w:tcBorders>
                  <w:vAlign w:val="center"/>
                </w:tcPr>
                <w:p>
                  <w:pPr>
                    <w:jc w:val="center"/>
                    <w:rPr>
                      <w:szCs w:val="21"/>
                    </w:rPr>
                  </w:pPr>
                  <w:bookmarkStart w:id="11" w:name="_GoBack"/>
                  <w:r>
                    <w:rPr>
                      <w:rFonts w:hint="eastAsia"/>
                      <w:szCs w:val="21"/>
                    </w:rPr>
                    <w:t>工序/设备</w:t>
                  </w:r>
                </w:p>
              </w:tc>
              <w:tc>
                <w:tcPr>
                  <w:tcW w:w="633" w:type="pct"/>
                  <w:vMerge w:val="restart"/>
                  <w:tcBorders>
                    <w:tl2br w:val="nil"/>
                    <w:tr2bl w:val="nil"/>
                  </w:tcBorders>
                  <w:vAlign w:val="center"/>
                </w:tcPr>
                <w:p>
                  <w:pPr>
                    <w:jc w:val="center"/>
                    <w:rPr>
                      <w:szCs w:val="21"/>
                    </w:rPr>
                  </w:pPr>
                  <w:r>
                    <w:rPr>
                      <w:szCs w:val="21"/>
                    </w:rPr>
                    <w:t>固体废物名称</w:t>
                  </w:r>
                </w:p>
              </w:tc>
              <w:tc>
                <w:tcPr>
                  <w:tcW w:w="342" w:type="pct"/>
                  <w:vMerge w:val="restart"/>
                  <w:tcBorders>
                    <w:tl2br w:val="nil"/>
                    <w:tr2bl w:val="nil"/>
                  </w:tcBorders>
                  <w:vAlign w:val="center"/>
                </w:tcPr>
                <w:p>
                  <w:pPr>
                    <w:jc w:val="center"/>
                    <w:rPr>
                      <w:szCs w:val="21"/>
                    </w:rPr>
                  </w:pPr>
                  <w:r>
                    <w:rPr>
                      <w:szCs w:val="21"/>
                    </w:rPr>
                    <w:t>固体废物属性</w:t>
                  </w:r>
                </w:p>
              </w:tc>
              <w:tc>
                <w:tcPr>
                  <w:tcW w:w="385" w:type="pct"/>
                  <w:vMerge w:val="restart"/>
                  <w:tcBorders>
                    <w:tl2br w:val="nil"/>
                    <w:tr2bl w:val="nil"/>
                  </w:tcBorders>
                  <w:vAlign w:val="center"/>
                </w:tcPr>
                <w:p>
                  <w:pPr>
                    <w:jc w:val="center"/>
                    <w:rPr>
                      <w:szCs w:val="21"/>
                    </w:rPr>
                  </w:pPr>
                  <w:r>
                    <w:rPr>
                      <w:rFonts w:hint="eastAsia"/>
                      <w:szCs w:val="21"/>
                    </w:rPr>
                    <w:t>危险特性</w:t>
                  </w:r>
                </w:p>
              </w:tc>
              <w:tc>
                <w:tcPr>
                  <w:tcW w:w="903" w:type="pct"/>
                  <w:vMerge w:val="restart"/>
                  <w:tcBorders>
                    <w:tl2br w:val="nil"/>
                    <w:tr2bl w:val="nil"/>
                  </w:tcBorders>
                  <w:vAlign w:val="center"/>
                </w:tcPr>
                <w:p>
                  <w:pPr>
                    <w:jc w:val="center"/>
                    <w:rPr>
                      <w:szCs w:val="21"/>
                    </w:rPr>
                  </w:pPr>
                  <w:r>
                    <w:rPr>
                      <w:rFonts w:hint="eastAsia"/>
                      <w:szCs w:val="21"/>
                    </w:rPr>
                    <w:t>危险废物代码</w:t>
                  </w:r>
                </w:p>
              </w:tc>
              <w:tc>
                <w:tcPr>
                  <w:tcW w:w="765" w:type="pct"/>
                  <w:gridSpan w:val="2"/>
                  <w:tcBorders>
                    <w:tl2br w:val="nil"/>
                    <w:tr2bl w:val="nil"/>
                  </w:tcBorders>
                  <w:vAlign w:val="center"/>
                </w:tcPr>
                <w:p>
                  <w:pPr>
                    <w:jc w:val="center"/>
                    <w:rPr>
                      <w:szCs w:val="21"/>
                    </w:rPr>
                  </w:pPr>
                  <w:r>
                    <w:rPr>
                      <w:szCs w:val="21"/>
                    </w:rPr>
                    <w:t>产生情况</w:t>
                  </w:r>
                </w:p>
              </w:tc>
              <w:tc>
                <w:tcPr>
                  <w:tcW w:w="1060" w:type="pct"/>
                  <w:gridSpan w:val="2"/>
                  <w:tcBorders>
                    <w:tl2br w:val="nil"/>
                    <w:tr2bl w:val="nil"/>
                  </w:tcBorders>
                  <w:vAlign w:val="center"/>
                </w:tcPr>
                <w:p>
                  <w:pPr>
                    <w:jc w:val="center"/>
                    <w:rPr>
                      <w:szCs w:val="21"/>
                    </w:rPr>
                  </w:pPr>
                  <w:r>
                    <w:rPr>
                      <w:szCs w:val="21"/>
                    </w:rPr>
                    <w:t>处置措施</w:t>
                  </w:r>
                </w:p>
              </w:tc>
              <w:tc>
                <w:tcPr>
                  <w:tcW w:w="338" w:type="pct"/>
                  <w:vMerge w:val="restart"/>
                  <w:tcBorders>
                    <w:tl2br w:val="nil"/>
                    <w:tr2bl w:val="nil"/>
                  </w:tcBorders>
                  <w:vAlign w:val="center"/>
                </w:tcPr>
                <w:p>
                  <w:pPr>
                    <w:jc w:val="center"/>
                    <w:rPr>
                      <w:szCs w:val="21"/>
                    </w:rPr>
                  </w:pPr>
                  <w:r>
                    <w:rPr>
                      <w:szCs w:val="21"/>
                    </w:rPr>
                    <w:t>最终去向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569" w:type="pct"/>
                  <w:vMerge w:val="continue"/>
                  <w:tcBorders>
                    <w:tl2br w:val="nil"/>
                    <w:tr2bl w:val="nil"/>
                  </w:tcBorders>
                  <w:vAlign w:val="center"/>
                </w:tcPr>
                <w:p>
                  <w:pPr>
                    <w:jc w:val="center"/>
                    <w:rPr>
                      <w:szCs w:val="21"/>
                    </w:rPr>
                  </w:pPr>
                </w:p>
              </w:tc>
              <w:tc>
                <w:tcPr>
                  <w:tcW w:w="633" w:type="pct"/>
                  <w:vMerge w:val="continue"/>
                  <w:tcBorders>
                    <w:tl2br w:val="nil"/>
                    <w:tr2bl w:val="nil"/>
                  </w:tcBorders>
                  <w:vAlign w:val="center"/>
                </w:tcPr>
                <w:p>
                  <w:pPr>
                    <w:jc w:val="center"/>
                    <w:rPr>
                      <w:szCs w:val="21"/>
                    </w:rPr>
                  </w:pPr>
                </w:p>
              </w:tc>
              <w:tc>
                <w:tcPr>
                  <w:tcW w:w="342" w:type="pct"/>
                  <w:vMerge w:val="continue"/>
                  <w:tcBorders>
                    <w:tl2br w:val="nil"/>
                    <w:tr2bl w:val="nil"/>
                  </w:tcBorders>
                  <w:vAlign w:val="center"/>
                </w:tcPr>
                <w:p>
                  <w:pPr>
                    <w:jc w:val="center"/>
                    <w:rPr>
                      <w:szCs w:val="21"/>
                    </w:rPr>
                  </w:pPr>
                </w:p>
              </w:tc>
              <w:tc>
                <w:tcPr>
                  <w:tcW w:w="385" w:type="pct"/>
                  <w:vMerge w:val="continue"/>
                  <w:tcBorders>
                    <w:tl2br w:val="nil"/>
                    <w:tr2bl w:val="nil"/>
                  </w:tcBorders>
                  <w:vAlign w:val="center"/>
                </w:tcPr>
                <w:p>
                  <w:pPr>
                    <w:jc w:val="center"/>
                    <w:rPr>
                      <w:szCs w:val="21"/>
                    </w:rPr>
                  </w:pPr>
                </w:p>
              </w:tc>
              <w:tc>
                <w:tcPr>
                  <w:tcW w:w="903" w:type="pct"/>
                  <w:vMerge w:val="continue"/>
                  <w:tcBorders>
                    <w:tl2br w:val="nil"/>
                    <w:tr2bl w:val="nil"/>
                  </w:tcBorders>
                  <w:vAlign w:val="center"/>
                </w:tcPr>
                <w:p>
                  <w:pPr>
                    <w:jc w:val="center"/>
                    <w:rPr>
                      <w:szCs w:val="21"/>
                    </w:rPr>
                  </w:pPr>
                </w:p>
              </w:tc>
              <w:tc>
                <w:tcPr>
                  <w:tcW w:w="345" w:type="pct"/>
                  <w:tcBorders>
                    <w:tl2br w:val="nil"/>
                    <w:tr2bl w:val="nil"/>
                  </w:tcBorders>
                  <w:vAlign w:val="center"/>
                </w:tcPr>
                <w:p>
                  <w:pPr>
                    <w:jc w:val="center"/>
                    <w:rPr>
                      <w:szCs w:val="21"/>
                    </w:rPr>
                  </w:pPr>
                  <w:r>
                    <w:rPr>
                      <w:szCs w:val="21"/>
                    </w:rPr>
                    <w:t>核算方法</w:t>
                  </w:r>
                </w:p>
              </w:tc>
              <w:tc>
                <w:tcPr>
                  <w:tcW w:w="420" w:type="pct"/>
                  <w:tcBorders>
                    <w:tl2br w:val="nil"/>
                    <w:tr2bl w:val="nil"/>
                  </w:tcBorders>
                  <w:vAlign w:val="center"/>
                </w:tcPr>
                <w:p>
                  <w:pPr>
                    <w:jc w:val="center"/>
                    <w:rPr>
                      <w:szCs w:val="21"/>
                    </w:rPr>
                  </w:pPr>
                  <w:r>
                    <w:rPr>
                      <w:szCs w:val="21"/>
                    </w:rPr>
                    <w:t>产生量t/a</w:t>
                  </w:r>
                </w:p>
              </w:tc>
              <w:tc>
                <w:tcPr>
                  <w:tcW w:w="564" w:type="pct"/>
                  <w:tcBorders>
                    <w:tl2br w:val="nil"/>
                    <w:tr2bl w:val="nil"/>
                  </w:tcBorders>
                  <w:vAlign w:val="center"/>
                </w:tcPr>
                <w:p>
                  <w:pPr>
                    <w:jc w:val="center"/>
                    <w:rPr>
                      <w:szCs w:val="21"/>
                    </w:rPr>
                  </w:pPr>
                  <w:r>
                    <w:rPr>
                      <w:szCs w:val="21"/>
                    </w:rPr>
                    <w:t>工艺</w:t>
                  </w:r>
                </w:p>
              </w:tc>
              <w:tc>
                <w:tcPr>
                  <w:tcW w:w="496" w:type="pct"/>
                  <w:tcBorders>
                    <w:tl2br w:val="nil"/>
                    <w:tr2bl w:val="nil"/>
                  </w:tcBorders>
                  <w:vAlign w:val="center"/>
                </w:tcPr>
                <w:p>
                  <w:pPr>
                    <w:jc w:val="center"/>
                    <w:rPr>
                      <w:szCs w:val="21"/>
                    </w:rPr>
                  </w:pPr>
                  <w:r>
                    <w:rPr>
                      <w:szCs w:val="21"/>
                    </w:rPr>
                    <w:t>处置量t/a</w:t>
                  </w:r>
                </w:p>
              </w:tc>
              <w:tc>
                <w:tcPr>
                  <w:tcW w:w="338" w:type="pct"/>
                  <w:vMerge w:val="continue"/>
                  <w:tcBorders>
                    <w:tl2br w:val="nil"/>
                    <w:tr2bl w:val="nil"/>
                  </w:tcBorders>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569" w:type="pct"/>
                  <w:tcBorders>
                    <w:tl2br w:val="nil"/>
                    <w:tr2bl w:val="nil"/>
                  </w:tcBorders>
                  <w:vAlign w:val="center"/>
                </w:tcPr>
                <w:p>
                  <w:pPr>
                    <w:jc w:val="center"/>
                    <w:rPr>
                      <w:szCs w:val="21"/>
                    </w:rPr>
                  </w:pPr>
                  <w:r>
                    <w:rPr>
                      <w:rFonts w:hint="eastAsia"/>
                      <w:szCs w:val="21"/>
                    </w:rPr>
                    <w:t>样本接收与处理</w:t>
                  </w:r>
                </w:p>
              </w:tc>
              <w:tc>
                <w:tcPr>
                  <w:tcW w:w="633" w:type="pct"/>
                  <w:tcBorders>
                    <w:tl2br w:val="nil"/>
                    <w:tr2bl w:val="nil"/>
                  </w:tcBorders>
                  <w:vAlign w:val="center"/>
                </w:tcPr>
                <w:p>
                  <w:pPr>
                    <w:jc w:val="center"/>
                    <w:rPr>
                      <w:szCs w:val="21"/>
                    </w:rPr>
                  </w:pPr>
                  <w:r>
                    <w:rPr>
                      <w:szCs w:val="21"/>
                    </w:rPr>
                    <w:t>废样本</w:t>
                  </w:r>
                </w:p>
              </w:tc>
              <w:tc>
                <w:tcPr>
                  <w:tcW w:w="342" w:type="pct"/>
                  <w:tcBorders>
                    <w:tl2br w:val="nil"/>
                    <w:tr2bl w:val="nil"/>
                  </w:tcBorders>
                  <w:vAlign w:val="center"/>
                </w:tcPr>
                <w:p>
                  <w:pPr>
                    <w:jc w:val="center"/>
                    <w:rPr>
                      <w:szCs w:val="21"/>
                    </w:rPr>
                  </w:pPr>
                  <w:r>
                    <w:rPr>
                      <w:szCs w:val="21"/>
                    </w:rPr>
                    <w:t>医疗废物</w:t>
                  </w:r>
                </w:p>
              </w:tc>
              <w:tc>
                <w:tcPr>
                  <w:tcW w:w="385" w:type="pct"/>
                  <w:tcBorders>
                    <w:tl2br w:val="nil"/>
                    <w:tr2bl w:val="nil"/>
                  </w:tcBorders>
                  <w:vAlign w:val="center"/>
                </w:tcPr>
                <w:p>
                  <w:pPr>
                    <w:jc w:val="center"/>
                    <w:rPr>
                      <w:szCs w:val="21"/>
                    </w:rPr>
                  </w:pPr>
                  <w:r>
                    <w:rPr>
                      <w:szCs w:val="21"/>
                    </w:rPr>
                    <w:t>感染性废物</w:t>
                  </w:r>
                </w:p>
              </w:tc>
              <w:tc>
                <w:tcPr>
                  <w:tcW w:w="903" w:type="pct"/>
                  <w:tcBorders>
                    <w:tl2br w:val="nil"/>
                    <w:tr2bl w:val="nil"/>
                  </w:tcBorders>
                  <w:vAlign w:val="center"/>
                </w:tcPr>
                <w:p>
                  <w:pPr>
                    <w:jc w:val="center"/>
                    <w:rPr>
                      <w:szCs w:val="21"/>
                    </w:rPr>
                  </w:pPr>
                  <w:r>
                    <w:rPr>
                      <w:szCs w:val="21"/>
                    </w:rPr>
                    <w:t>HW01医疗废物（废物代码：841-001-01）</w:t>
                  </w:r>
                </w:p>
              </w:tc>
              <w:tc>
                <w:tcPr>
                  <w:tcW w:w="345" w:type="pct"/>
                  <w:tcBorders>
                    <w:tl2br w:val="nil"/>
                    <w:tr2bl w:val="nil"/>
                  </w:tcBorders>
                  <w:vAlign w:val="center"/>
                </w:tcPr>
                <w:p>
                  <w:pPr>
                    <w:jc w:val="center"/>
                    <w:rPr>
                      <w:szCs w:val="21"/>
                    </w:rPr>
                  </w:pPr>
                  <w:r>
                    <w:rPr>
                      <w:szCs w:val="21"/>
                    </w:rPr>
                    <w:t>类比法</w:t>
                  </w:r>
                </w:p>
              </w:tc>
              <w:tc>
                <w:tcPr>
                  <w:tcW w:w="420" w:type="pct"/>
                  <w:tcBorders>
                    <w:tl2br w:val="nil"/>
                    <w:tr2bl w:val="nil"/>
                  </w:tcBorders>
                  <w:vAlign w:val="center"/>
                </w:tcPr>
                <w:p>
                  <w:pPr>
                    <w:jc w:val="center"/>
                    <w:rPr>
                      <w:szCs w:val="21"/>
                    </w:rPr>
                  </w:pPr>
                  <w:r>
                    <w:rPr>
                      <w:rFonts w:hint="eastAsia"/>
                      <w:szCs w:val="21"/>
                    </w:rPr>
                    <w:t>3.5</w:t>
                  </w:r>
                </w:p>
              </w:tc>
              <w:tc>
                <w:tcPr>
                  <w:tcW w:w="564" w:type="pct"/>
                  <w:vMerge w:val="restart"/>
                  <w:tcBorders>
                    <w:tl2br w:val="nil"/>
                    <w:tr2bl w:val="nil"/>
                  </w:tcBorders>
                  <w:vAlign w:val="center"/>
                </w:tcPr>
                <w:p>
                  <w:pPr>
                    <w:jc w:val="center"/>
                    <w:rPr>
                      <w:szCs w:val="21"/>
                    </w:rPr>
                  </w:pPr>
                  <w:r>
                    <w:rPr>
                      <w:szCs w:val="21"/>
                    </w:rPr>
                    <w:t>高压蒸汽消毒后，暂存医疗废物暂存间暂存</w:t>
                  </w:r>
                </w:p>
              </w:tc>
              <w:tc>
                <w:tcPr>
                  <w:tcW w:w="496" w:type="pct"/>
                  <w:tcBorders>
                    <w:tl2br w:val="nil"/>
                    <w:tr2bl w:val="nil"/>
                  </w:tcBorders>
                  <w:vAlign w:val="center"/>
                </w:tcPr>
                <w:p>
                  <w:pPr>
                    <w:jc w:val="center"/>
                    <w:rPr>
                      <w:szCs w:val="21"/>
                    </w:rPr>
                  </w:pPr>
                  <w:r>
                    <w:rPr>
                      <w:rFonts w:hint="eastAsia"/>
                      <w:szCs w:val="21"/>
                    </w:rPr>
                    <w:t>3.5</w:t>
                  </w:r>
                </w:p>
              </w:tc>
              <w:tc>
                <w:tcPr>
                  <w:tcW w:w="338" w:type="pct"/>
                  <w:vMerge w:val="restart"/>
                  <w:tcBorders>
                    <w:tl2br w:val="nil"/>
                    <w:tr2bl w:val="nil"/>
                  </w:tcBorders>
                  <w:vAlign w:val="center"/>
                </w:tcPr>
                <w:p>
                  <w:pPr>
                    <w:jc w:val="center"/>
                    <w:rPr>
                      <w:szCs w:val="21"/>
                    </w:rPr>
                  </w:pPr>
                  <w:r>
                    <w:rPr>
                      <w:rFonts w:hint="eastAsia"/>
                      <w:szCs w:val="21"/>
                    </w:rPr>
                    <w:t>资质单位进行处置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569" w:type="pct"/>
                  <w:tcBorders>
                    <w:tl2br w:val="nil"/>
                    <w:tr2bl w:val="nil"/>
                  </w:tcBorders>
                  <w:vAlign w:val="center"/>
                </w:tcPr>
                <w:p>
                  <w:pPr>
                    <w:jc w:val="center"/>
                    <w:rPr>
                      <w:szCs w:val="21"/>
                    </w:rPr>
                  </w:pPr>
                  <w:r>
                    <w:rPr>
                      <w:rFonts w:hint="eastAsia"/>
                      <w:szCs w:val="21"/>
                    </w:rPr>
                    <w:t>样本处理及核酸检测</w:t>
                  </w:r>
                </w:p>
              </w:tc>
              <w:tc>
                <w:tcPr>
                  <w:tcW w:w="633" w:type="pct"/>
                  <w:tcBorders>
                    <w:tl2br w:val="nil"/>
                    <w:tr2bl w:val="nil"/>
                  </w:tcBorders>
                  <w:vAlign w:val="center"/>
                </w:tcPr>
                <w:p>
                  <w:pPr>
                    <w:jc w:val="center"/>
                    <w:rPr>
                      <w:szCs w:val="21"/>
                    </w:rPr>
                  </w:pPr>
                  <w:r>
                    <w:rPr>
                      <w:szCs w:val="21"/>
                    </w:rPr>
                    <w:t>废弃实验室耗材（废移液器吸头等）</w:t>
                  </w:r>
                </w:p>
              </w:tc>
              <w:tc>
                <w:tcPr>
                  <w:tcW w:w="342" w:type="pct"/>
                  <w:tcBorders>
                    <w:tl2br w:val="nil"/>
                    <w:tr2bl w:val="nil"/>
                  </w:tcBorders>
                  <w:vAlign w:val="center"/>
                </w:tcPr>
                <w:p>
                  <w:pPr>
                    <w:jc w:val="center"/>
                    <w:rPr>
                      <w:szCs w:val="21"/>
                    </w:rPr>
                  </w:pPr>
                  <w:r>
                    <w:rPr>
                      <w:szCs w:val="21"/>
                    </w:rPr>
                    <w:t>医疗废物</w:t>
                  </w:r>
                </w:p>
              </w:tc>
              <w:tc>
                <w:tcPr>
                  <w:tcW w:w="385" w:type="pct"/>
                  <w:tcBorders>
                    <w:tl2br w:val="nil"/>
                    <w:tr2bl w:val="nil"/>
                  </w:tcBorders>
                  <w:vAlign w:val="center"/>
                </w:tcPr>
                <w:p>
                  <w:pPr>
                    <w:jc w:val="center"/>
                    <w:rPr>
                      <w:szCs w:val="21"/>
                    </w:rPr>
                  </w:pPr>
                  <w:r>
                    <w:rPr>
                      <w:szCs w:val="21"/>
                    </w:rPr>
                    <w:t>感染性废物</w:t>
                  </w:r>
                </w:p>
              </w:tc>
              <w:tc>
                <w:tcPr>
                  <w:tcW w:w="903" w:type="pct"/>
                  <w:tcBorders>
                    <w:tl2br w:val="nil"/>
                    <w:tr2bl w:val="nil"/>
                  </w:tcBorders>
                  <w:vAlign w:val="center"/>
                </w:tcPr>
                <w:p>
                  <w:pPr>
                    <w:jc w:val="center"/>
                    <w:rPr>
                      <w:szCs w:val="21"/>
                    </w:rPr>
                  </w:pPr>
                  <w:r>
                    <w:rPr>
                      <w:szCs w:val="21"/>
                    </w:rPr>
                    <w:t>HW01医疗废物（废物代码：841-001-01）</w:t>
                  </w:r>
                </w:p>
              </w:tc>
              <w:tc>
                <w:tcPr>
                  <w:tcW w:w="345" w:type="pct"/>
                  <w:tcBorders>
                    <w:tl2br w:val="nil"/>
                    <w:tr2bl w:val="nil"/>
                  </w:tcBorders>
                  <w:vAlign w:val="center"/>
                </w:tcPr>
                <w:p>
                  <w:pPr>
                    <w:jc w:val="center"/>
                    <w:rPr>
                      <w:szCs w:val="21"/>
                    </w:rPr>
                  </w:pPr>
                  <w:r>
                    <w:rPr>
                      <w:szCs w:val="21"/>
                    </w:rPr>
                    <w:t>类比法</w:t>
                  </w:r>
                </w:p>
              </w:tc>
              <w:tc>
                <w:tcPr>
                  <w:tcW w:w="420" w:type="pct"/>
                  <w:tcBorders>
                    <w:tl2br w:val="nil"/>
                    <w:tr2bl w:val="nil"/>
                  </w:tcBorders>
                  <w:vAlign w:val="center"/>
                </w:tcPr>
                <w:p>
                  <w:pPr>
                    <w:jc w:val="center"/>
                    <w:rPr>
                      <w:szCs w:val="21"/>
                    </w:rPr>
                  </w:pPr>
                  <w:r>
                    <w:rPr>
                      <w:rFonts w:hint="eastAsia"/>
                      <w:szCs w:val="21"/>
                    </w:rPr>
                    <w:t>0.5</w:t>
                  </w:r>
                </w:p>
              </w:tc>
              <w:tc>
                <w:tcPr>
                  <w:tcW w:w="564" w:type="pct"/>
                  <w:vMerge w:val="continue"/>
                  <w:tcBorders>
                    <w:tl2br w:val="nil"/>
                    <w:tr2bl w:val="nil"/>
                  </w:tcBorders>
                </w:tcPr>
                <w:p>
                  <w:pPr>
                    <w:jc w:val="center"/>
                    <w:rPr>
                      <w:szCs w:val="21"/>
                    </w:rPr>
                  </w:pPr>
                </w:p>
              </w:tc>
              <w:tc>
                <w:tcPr>
                  <w:tcW w:w="496" w:type="pct"/>
                  <w:tcBorders>
                    <w:tl2br w:val="nil"/>
                    <w:tr2bl w:val="nil"/>
                  </w:tcBorders>
                  <w:vAlign w:val="center"/>
                </w:tcPr>
                <w:p>
                  <w:pPr>
                    <w:jc w:val="center"/>
                    <w:rPr>
                      <w:szCs w:val="21"/>
                    </w:rPr>
                  </w:pPr>
                  <w:r>
                    <w:rPr>
                      <w:rFonts w:hint="eastAsia"/>
                      <w:szCs w:val="21"/>
                    </w:rPr>
                    <w:t>0.5</w:t>
                  </w:r>
                </w:p>
              </w:tc>
              <w:tc>
                <w:tcPr>
                  <w:tcW w:w="338" w:type="pct"/>
                  <w:vMerge w:val="continue"/>
                  <w:tcBorders>
                    <w:tl2br w:val="nil"/>
                    <w:tr2bl w:val="nil"/>
                  </w:tcBorders>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569" w:type="pct"/>
                  <w:tcBorders>
                    <w:tl2br w:val="nil"/>
                    <w:tr2bl w:val="nil"/>
                  </w:tcBorders>
                  <w:vAlign w:val="center"/>
                </w:tcPr>
                <w:p>
                  <w:pPr>
                    <w:jc w:val="center"/>
                    <w:rPr>
                      <w:szCs w:val="21"/>
                    </w:rPr>
                  </w:pPr>
                  <w:r>
                    <w:rPr>
                      <w:rFonts w:hint="eastAsia"/>
                      <w:szCs w:val="21"/>
                    </w:rPr>
                    <w:t>样本处理及核酸检测</w:t>
                  </w:r>
                </w:p>
              </w:tc>
              <w:tc>
                <w:tcPr>
                  <w:tcW w:w="633" w:type="pct"/>
                  <w:tcBorders>
                    <w:tl2br w:val="nil"/>
                    <w:tr2bl w:val="nil"/>
                  </w:tcBorders>
                  <w:vAlign w:val="center"/>
                </w:tcPr>
                <w:p>
                  <w:pPr>
                    <w:jc w:val="center"/>
                    <w:rPr>
                      <w:szCs w:val="21"/>
                    </w:rPr>
                  </w:pPr>
                  <w:r>
                    <w:rPr>
                      <w:szCs w:val="21"/>
                    </w:rPr>
                    <w:t>废一次性防护服和一次性手套</w:t>
                  </w:r>
                </w:p>
              </w:tc>
              <w:tc>
                <w:tcPr>
                  <w:tcW w:w="342" w:type="pct"/>
                  <w:tcBorders>
                    <w:tl2br w:val="nil"/>
                    <w:tr2bl w:val="nil"/>
                  </w:tcBorders>
                  <w:vAlign w:val="center"/>
                </w:tcPr>
                <w:p>
                  <w:pPr>
                    <w:jc w:val="center"/>
                    <w:rPr>
                      <w:szCs w:val="21"/>
                    </w:rPr>
                  </w:pPr>
                  <w:r>
                    <w:rPr>
                      <w:szCs w:val="21"/>
                    </w:rPr>
                    <w:t>医疗废物</w:t>
                  </w:r>
                </w:p>
              </w:tc>
              <w:tc>
                <w:tcPr>
                  <w:tcW w:w="385" w:type="pct"/>
                  <w:tcBorders>
                    <w:tl2br w:val="nil"/>
                    <w:tr2bl w:val="nil"/>
                  </w:tcBorders>
                  <w:vAlign w:val="center"/>
                </w:tcPr>
                <w:p>
                  <w:pPr>
                    <w:jc w:val="center"/>
                    <w:rPr>
                      <w:szCs w:val="21"/>
                    </w:rPr>
                  </w:pPr>
                  <w:r>
                    <w:rPr>
                      <w:szCs w:val="21"/>
                    </w:rPr>
                    <w:t>感染性废物</w:t>
                  </w:r>
                </w:p>
              </w:tc>
              <w:tc>
                <w:tcPr>
                  <w:tcW w:w="903" w:type="pct"/>
                  <w:tcBorders>
                    <w:tl2br w:val="nil"/>
                    <w:tr2bl w:val="nil"/>
                  </w:tcBorders>
                  <w:vAlign w:val="center"/>
                </w:tcPr>
                <w:p>
                  <w:pPr>
                    <w:jc w:val="center"/>
                    <w:rPr>
                      <w:szCs w:val="21"/>
                    </w:rPr>
                  </w:pPr>
                  <w:r>
                    <w:rPr>
                      <w:szCs w:val="21"/>
                    </w:rPr>
                    <w:t>HW01医疗废物（废物代码：841-001-01）</w:t>
                  </w:r>
                </w:p>
              </w:tc>
              <w:tc>
                <w:tcPr>
                  <w:tcW w:w="345" w:type="pct"/>
                  <w:tcBorders>
                    <w:tl2br w:val="nil"/>
                    <w:tr2bl w:val="nil"/>
                  </w:tcBorders>
                  <w:vAlign w:val="center"/>
                </w:tcPr>
                <w:p>
                  <w:pPr>
                    <w:jc w:val="center"/>
                    <w:rPr>
                      <w:szCs w:val="21"/>
                    </w:rPr>
                  </w:pPr>
                  <w:r>
                    <w:rPr>
                      <w:szCs w:val="21"/>
                    </w:rPr>
                    <w:t>类比法</w:t>
                  </w:r>
                </w:p>
              </w:tc>
              <w:tc>
                <w:tcPr>
                  <w:tcW w:w="420" w:type="pct"/>
                  <w:tcBorders>
                    <w:tl2br w:val="nil"/>
                    <w:tr2bl w:val="nil"/>
                  </w:tcBorders>
                  <w:vAlign w:val="center"/>
                </w:tcPr>
                <w:p>
                  <w:pPr>
                    <w:jc w:val="center"/>
                    <w:rPr>
                      <w:szCs w:val="21"/>
                    </w:rPr>
                  </w:pPr>
                  <w:r>
                    <w:rPr>
                      <w:rFonts w:hint="eastAsia"/>
                      <w:szCs w:val="21"/>
                    </w:rPr>
                    <w:t>1.5</w:t>
                  </w:r>
                </w:p>
              </w:tc>
              <w:tc>
                <w:tcPr>
                  <w:tcW w:w="564" w:type="pct"/>
                  <w:vMerge w:val="continue"/>
                  <w:tcBorders>
                    <w:tl2br w:val="nil"/>
                    <w:tr2bl w:val="nil"/>
                  </w:tcBorders>
                  <w:vAlign w:val="center"/>
                </w:tcPr>
                <w:p>
                  <w:pPr>
                    <w:jc w:val="center"/>
                    <w:rPr>
                      <w:szCs w:val="21"/>
                    </w:rPr>
                  </w:pPr>
                </w:p>
              </w:tc>
              <w:tc>
                <w:tcPr>
                  <w:tcW w:w="496" w:type="pct"/>
                  <w:tcBorders>
                    <w:tl2br w:val="nil"/>
                    <w:tr2bl w:val="nil"/>
                  </w:tcBorders>
                  <w:vAlign w:val="center"/>
                </w:tcPr>
                <w:p>
                  <w:pPr>
                    <w:jc w:val="center"/>
                    <w:rPr>
                      <w:szCs w:val="21"/>
                    </w:rPr>
                  </w:pPr>
                  <w:r>
                    <w:rPr>
                      <w:rFonts w:hint="eastAsia"/>
                      <w:szCs w:val="21"/>
                    </w:rPr>
                    <w:t>1.5</w:t>
                  </w:r>
                </w:p>
              </w:tc>
              <w:tc>
                <w:tcPr>
                  <w:tcW w:w="338" w:type="pct"/>
                  <w:vMerge w:val="continue"/>
                  <w:tcBorders>
                    <w:tl2br w:val="nil"/>
                    <w:tr2bl w:val="nil"/>
                  </w:tcBorders>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569" w:type="pct"/>
                  <w:tcBorders>
                    <w:tl2br w:val="nil"/>
                    <w:tr2bl w:val="nil"/>
                  </w:tcBorders>
                  <w:vAlign w:val="center"/>
                </w:tcPr>
                <w:p>
                  <w:pPr>
                    <w:jc w:val="center"/>
                    <w:rPr>
                      <w:szCs w:val="21"/>
                    </w:rPr>
                  </w:pPr>
                  <w:r>
                    <w:rPr>
                      <w:rFonts w:hint="eastAsia"/>
                      <w:szCs w:val="21"/>
                    </w:rPr>
                    <w:t>样本处理及核酸检测</w:t>
                  </w:r>
                </w:p>
              </w:tc>
              <w:tc>
                <w:tcPr>
                  <w:tcW w:w="633" w:type="pct"/>
                  <w:tcBorders>
                    <w:tl2br w:val="nil"/>
                    <w:tr2bl w:val="nil"/>
                  </w:tcBorders>
                  <w:vAlign w:val="center"/>
                </w:tcPr>
                <w:p>
                  <w:pPr>
                    <w:jc w:val="center"/>
                    <w:rPr>
                      <w:szCs w:val="21"/>
                    </w:rPr>
                  </w:pPr>
                  <w:r>
                    <w:rPr>
                      <w:rFonts w:hint="eastAsia"/>
                      <w:szCs w:val="21"/>
                    </w:rPr>
                    <w:t>废试剂盒</w:t>
                  </w:r>
                </w:p>
              </w:tc>
              <w:tc>
                <w:tcPr>
                  <w:tcW w:w="342" w:type="pct"/>
                  <w:tcBorders>
                    <w:tl2br w:val="nil"/>
                    <w:tr2bl w:val="nil"/>
                  </w:tcBorders>
                  <w:vAlign w:val="center"/>
                </w:tcPr>
                <w:p>
                  <w:pPr>
                    <w:jc w:val="center"/>
                    <w:rPr>
                      <w:szCs w:val="21"/>
                    </w:rPr>
                  </w:pPr>
                  <w:r>
                    <w:rPr>
                      <w:szCs w:val="21"/>
                    </w:rPr>
                    <w:t>医疗废物</w:t>
                  </w:r>
                </w:p>
              </w:tc>
              <w:tc>
                <w:tcPr>
                  <w:tcW w:w="385" w:type="pct"/>
                  <w:tcBorders>
                    <w:tl2br w:val="nil"/>
                    <w:tr2bl w:val="nil"/>
                  </w:tcBorders>
                  <w:vAlign w:val="center"/>
                </w:tcPr>
                <w:p>
                  <w:pPr>
                    <w:jc w:val="center"/>
                    <w:rPr>
                      <w:szCs w:val="21"/>
                    </w:rPr>
                  </w:pPr>
                  <w:r>
                    <w:rPr>
                      <w:szCs w:val="21"/>
                    </w:rPr>
                    <w:t>感染性废物</w:t>
                  </w:r>
                </w:p>
              </w:tc>
              <w:tc>
                <w:tcPr>
                  <w:tcW w:w="903" w:type="pct"/>
                  <w:tcBorders>
                    <w:tl2br w:val="nil"/>
                    <w:tr2bl w:val="nil"/>
                  </w:tcBorders>
                  <w:vAlign w:val="center"/>
                </w:tcPr>
                <w:p>
                  <w:pPr>
                    <w:jc w:val="center"/>
                    <w:rPr>
                      <w:szCs w:val="21"/>
                    </w:rPr>
                  </w:pPr>
                  <w:r>
                    <w:rPr>
                      <w:szCs w:val="21"/>
                    </w:rPr>
                    <w:t>HW01医疗废物（废物代码：841-001-01）</w:t>
                  </w:r>
                </w:p>
              </w:tc>
              <w:tc>
                <w:tcPr>
                  <w:tcW w:w="345" w:type="pct"/>
                  <w:tcBorders>
                    <w:tl2br w:val="nil"/>
                    <w:tr2bl w:val="nil"/>
                  </w:tcBorders>
                  <w:vAlign w:val="center"/>
                </w:tcPr>
                <w:p>
                  <w:pPr>
                    <w:jc w:val="center"/>
                    <w:rPr>
                      <w:szCs w:val="21"/>
                    </w:rPr>
                  </w:pPr>
                  <w:r>
                    <w:rPr>
                      <w:szCs w:val="21"/>
                    </w:rPr>
                    <w:t>类比法</w:t>
                  </w:r>
                </w:p>
              </w:tc>
              <w:tc>
                <w:tcPr>
                  <w:tcW w:w="420" w:type="pct"/>
                  <w:tcBorders>
                    <w:tl2br w:val="nil"/>
                    <w:tr2bl w:val="nil"/>
                  </w:tcBorders>
                  <w:vAlign w:val="center"/>
                </w:tcPr>
                <w:p>
                  <w:pPr>
                    <w:jc w:val="center"/>
                    <w:rPr>
                      <w:szCs w:val="21"/>
                    </w:rPr>
                  </w:pPr>
                  <w:r>
                    <w:rPr>
                      <w:rFonts w:hint="eastAsia"/>
                      <w:szCs w:val="21"/>
                    </w:rPr>
                    <w:t>2</w:t>
                  </w:r>
                  <w:r>
                    <w:rPr>
                      <w:szCs w:val="21"/>
                    </w:rPr>
                    <w:t>.</w:t>
                  </w:r>
                  <w:r>
                    <w:rPr>
                      <w:rFonts w:hint="eastAsia"/>
                      <w:szCs w:val="21"/>
                    </w:rPr>
                    <w:t>5</w:t>
                  </w:r>
                </w:p>
              </w:tc>
              <w:tc>
                <w:tcPr>
                  <w:tcW w:w="564" w:type="pct"/>
                  <w:vMerge w:val="continue"/>
                  <w:tcBorders>
                    <w:tl2br w:val="nil"/>
                    <w:tr2bl w:val="nil"/>
                  </w:tcBorders>
                </w:tcPr>
                <w:p>
                  <w:pPr>
                    <w:jc w:val="center"/>
                    <w:rPr>
                      <w:szCs w:val="21"/>
                    </w:rPr>
                  </w:pPr>
                </w:p>
              </w:tc>
              <w:tc>
                <w:tcPr>
                  <w:tcW w:w="496" w:type="pct"/>
                  <w:tcBorders>
                    <w:tl2br w:val="nil"/>
                    <w:tr2bl w:val="nil"/>
                  </w:tcBorders>
                  <w:vAlign w:val="center"/>
                </w:tcPr>
                <w:p>
                  <w:pPr>
                    <w:jc w:val="center"/>
                    <w:rPr>
                      <w:szCs w:val="21"/>
                    </w:rPr>
                  </w:pPr>
                  <w:r>
                    <w:rPr>
                      <w:rFonts w:hint="eastAsia"/>
                      <w:szCs w:val="21"/>
                    </w:rPr>
                    <w:t>2</w:t>
                  </w:r>
                  <w:r>
                    <w:rPr>
                      <w:szCs w:val="21"/>
                    </w:rPr>
                    <w:t>.</w:t>
                  </w:r>
                  <w:r>
                    <w:rPr>
                      <w:rFonts w:hint="eastAsia"/>
                      <w:szCs w:val="21"/>
                    </w:rPr>
                    <w:t>5</w:t>
                  </w:r>
                </w:p>
              </w:tc>
              <w:tc>
                <w:tcPr>
                  <w:tcW w:w="338" w:type="pct"/>
                  <w:vMerge w:val="continue"/>
                  <w:tcBorders>
                    <w:tl2br w:val="nil"/>
                    <w:tr2bl w:val="nil"/>
                  </w:tcBorders>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569" w:type="pct"/>
                  <w:tcBorders>
                    <w:tl2br w:val="nil"/>
                    <w:tr2bl w:val="nil"/>
                  </w:tcBorders>
                  <w:vAlign w:val="center"/>
                </w:tcPr>
                <w:p>
                  <w:pPr>
                    <w:jc w:val="center"/>
                    <w:rPr>
                      <w:szCs w:val="21"/>
                    </w:rPr>
                  </w:pPr>
                  <w:r>
                    <w:rPr>
                      <w:rFonts w:hint="eastAsia"/>
                      <w:szCs w:val="21"/>
                    </w:rPr>
                    <w:t>空调系统及生物安全柜</w:t>
                  </w:r>
                </w:p>
              </w:tc>
              <w:tc>
                <w:tcPr>
                  <w:tcW w:w="633" w:type="pct"/>
                  <w:tcBorders>
                    <w:tl2br w:val="nil"/>
                    <w:tr2bl w:val="nil"/>
                  </w:tcBorders>
                  <w:vAlign w:val="center"/>
                </w:tcPr>
                <w:p>
                  <w:pPr>
                    <w:jc w:val="center"/>
                    <w:rPr>
                      <w:szCs w:val="21"/>
                    </w:rPr>
                  </w:pPr>
                  <w:r>
                    <w:rPr>
                      <w:szCs w:val="21"/>
                    </w:rPr>
                    <w:t>废HEPA过滤器</w:t>
                  </w:r>
                </w:p>
              </w:tc>
              <w:tc>
                <w:tcPr>
                  <w:tcW w:w="342" w:type="pct"/>
                  <w:tcBorders>
                    <w:tl2br w:val="nil"/>
                    <w:tr2bl w:val="nil"/>
                  </w:tcBorders>
                  <w:vAlign w:val="center"/>
                </w:tcPr>
                <w:p>
                  <w:pPr>
                    <w:jc w:val="center"/>
                    <w:rPr>
                      <w:szCs w:val="21"/>
                    </w:rPr>
                  </w:pPr>
                  <w:r>
                    <w:rPr>
                      <w:szCs w:val="21"/>
                    </w:rPr>
                    <w:t>医疗废物</w:t>
                  </w:r>
                </w:p>
              </w:tc>
              <w:tc>
                <w:tcPr>
                  <w:tcW w:w="385" w:type="pct"/>
                  <w:tcBorders>
                    <w:tl2br w:val="nil"/>
                    <w:tr2bl w:val="nil"/>
                  </w:tcBorders>
                  <w:vAlign w:val="center"/>
                </w:tcPr>
                <w:p>
                  <w:pPr>
                    <w:jc w:val="center"/>
                    <w:rPr>
                      <w:szCs w:val="21"/>
                    </w:rPr>
                  </w:pPr>
                  <w:r>
                    <w:rPr>
                      <w:szCs w:val="21"/>
                    </w:rPr>
                    <w:t>感染性废物</w:t>
                  </w:r>
                </w:p>
              </w:tc>
              <w:tc>
                <w:tcPr>
                  <w:tcW w:w="903" w:type="pct"/>
                  <w:tcBorders>
                    <w:tl2br w:val="nil"/>
                    <w:tr2bl w:val="nil"/>
                  </w:tcBorders>
                  <w:vAlign w:val="center"/>
                </w:tcPr>
                <w:p>
                  <w:pPr>
                    <w:jc w:val="center"/>
                    <w:rPr>
                      <w:szCs w:val="21"/>
                    </w:rPr>
                  </w:pPr>
                  <w:r>
                    <w:rPr>
                      <w:szCs w:val="21"/>
                    </w:rPr>
                    <w:t>HW01医疗废物（废物代码：841-001-01）</w:t>
                  </w:r>
                </w:p>
              </w:tc>
              <w:tc>
                <w:tcPr>
                  <w:tcW w:w="345" w:type="pct"/>
                  <w:tcBorders>
                    <w:tl2br w:val="nil"/>
                    <w:tr2bl w:val="nil"/>
                  </w:tcBorders>
                  <w:vAlign w:val="center"/>
                </w:tcPr>
                <w:p>
                  <w:pPr>
                    <w:jc w:val="center"/>
                    <w:rPr>
                      <w:szCs w:val="21"/>
                    </w:rPr>
                  </w:pPr>
                  <w:r>
                    <w:rPr>
                      <w:szCs w:val="21"/>
                    </w:rPr>
                    <w:t>类比法</w:t>
                  </w:r>
                </w:p>
              </w:tc>
              <w:tc>
                <w:tcPr>
                  <w:tcW w:w="420" w:type="pct"/>
                  <w:tcBorders>
                    <w:tl2br w:val="nil"/>
                    <w:tr2bl w:val="nil"/>
                  </w:tcBorders>
                  <w:vAlign w:val="center"/>
                </w:tcPr>
                <w:p>
                  <w:pPr>
                    <w:jc w:val="center"/>
                    <w:rPr>
                      <w:szCs w:val="21"/>
                    </w:rPr>
                  </w:pPr>
                  <w:r>
                    <w:rPr>
                      <w:rFonts w:hint="eastAsia"/>
                      <w:szCs w:val="21"/>
                    </w:rPr>
                    <w:t>0.1</w:t>
                  </w:r>
                </w:p>
              </w:tc>
              <w:tc>
                <w:tcPr>
                  <w:tcW w:w="564" w:type="pct"/>
                  <w:tcBorders>
                    <w:tl2br w:val="nil"/>
                    <w:tr2bl w:val="nil"/>
                  </w:tcBorders>
                </w:tcPr>
                <w:p>
                  <w:pPr>
                    <w:jc w:val="center"/>
                    <w:rPr>
                      <w:szCs w:val="21"/>
                    </w:rPr>
                  </w:pPr>
                  <w:r>
                    <w:rPr>
                      <w:szCs w:val="21"/>
                    </w:rPr>
                    <w:t>消毒剂消毒后送医疗废物暂存间</w:t>
                  </w:r>
                </w:p>
              </w:tc>
              <w:tc>
                <w:tcPr>
                  <w:tcW w:w="496" w:type="pct"/>
                  <w:tcBorders>
                    <w:tl2br w:val="nil"/>
                    <w:tr2bl w:val="nil"/>
                  </w:tcBorders>
                  <w:vAlign w:val="center"/>
                </w:tcPr>
                <w:p>
                  <w:pPr>
                    <w:jc w:val="center"/>
                    <w:rPr>
                      <w:szCs w:val="21"/>
                    </w:rPr>
                  </w:pPr>
                  <w:r>
                    <w:rPr>
                      <w:rFonts w:hint="eastAsia"/>
                      <w:szCs w:val="21"/>
                    </w:rPr>
                    <w:t>0.1</w:t>
                  </w:r>
                </w:p>
              </w:tc>
              <w:tc>
                <w:tcPr>
                  <w:tcW w:w="338" w:type="pct"/>
                  <w:vMerge w:val="continue"/>
                  <w:tcBorders>
                    <w:tl2br w:val="nil"/>
                    <w:tr2bl w:val="nil"/>
                  </w:tcBorders>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569" w:type="pct"/>
                  <w:tcBorders>
                    <w:tl2br w:val="nil"/>
                    <w:tr2bl w:val="nil"/>
                  </w:tcBorders>
                  <w:vAlign w:val="center"/>
                </w:tcPr>
                <w:p>
                  <w:pPr>
                    <w:jc w:val="center"/>
                    <w:rPr>
                      <w:szCs w:val="21"/>
                    </w:rPr>
                  </w:pPr>
                  <w:r>
                    <w:rPr>
                      <w:rFonts w:hint="eastAsia"/>
                      <w:szCs w:val="21"/>
                    </w:rPr>
                    <w:t>样本接收与处理</w:t>
                  </w:r>
                </w:p>
              </w:tc>
              <w:tc>
                <w:tcPr>
                  <w:tcW w:w="633" w:type="pct"/>
                  <w:tcBorders>
                    <w:tl2br w:val="nil"/>
                    <w:tr2bl w:val="nil"/>
                  </w:tcBorders>
                  <w:vAlign w:val="center"/>
                </w:tcPr>
                <w:p>
                  <w:pPr>
                    <w:jc w:val="center"/>
                    <w:rPr>
                      <w:szCs w:val="21"/>
                    </w:rPr>
                  </w:pPr>
                  <w:r>
                    <w:rPr>
                      <w:szCs w:val="21"/>
                    </w:rPr>
                    <w:t>废</w:t>
                  </w:r>
                  <w:r>
                    <w:rPr>
                      <w:rFonts w:hint="eastAsia"/>
                      <w:szCs w:val="21"/>
                    </w:rPr>
                    <w:t>试剂</w:t>
                  </w:r>
                </w:p>
              </w:tc>
              <w:tc>
                <w:tcPr>
                  <w:tcW w:w="342" w:type="pct"/>
                  <w:tcBorders>
                    <w:tl2br w:val="nil"/>
                    <w:tr2bl w:val="nil"/>
                  </w:tcBorders>
                  <w:vAlign w:val="center"/>
                </w:tcPr>
                <w:p>
                  <w:pPr>
                    <w:jc w:val="center"/>
                    <w:rPr>
                      <w:szCs w:val="21"/>
                    </w:rPr>
                  </w:pPr>
                  <w:r>
                    <w:rPr>
                      <w:szCs w:val="21"/>
                    </w:rPr>
                    <w:t>医疗废物</w:t>
                  </w:r>
                </w:p>
              </w:tc>
              <w:tc>
                <w:tcPr>
                  <w:tcW w:w="385" w:type="pct"/>
                  <w:tcBorders>
                    <w:tl2br w:val="nil"/>
                    <w:tr2bl w:val="nil"/>
                  </w:tcBorders>
                  <w:vAlign w:val="center"/>
                </w:tcPr>
                <w:p>
                  <w:pPr>
                    <w:jc w:val="center"/>
                    <w:rPr>
                      <w:szCs w:val="21"/>
                    </w:rPr>
                  </w:pPr>
                  <w:r>
                    <w:rPr>
                      <w:szCs w:val="21"/>
                    </w:rPr>
                    <w:t>化学性废物</w:t>
                  </w:r>
                </w:p>
              </w:tc>
              <w:tc>
                <w:tcPr>
                  <w:tcW w:w="903" w:type="pct"/>
                  <w:tcBorders>
                    <w:tl2br w:val="nil"/>
                    <w:tr2bl w:val="nil"/>
                  </w:tcBorders>
                  <w:vAlign w:val="center"/>
                </w:tcPr>
                <w:p>
                  <w:pPr>
                    <w:jc w:val="center"/>
                    <w:rPr>
                      <w:szCs w:val="21"/>
                    </w:rPr>
                  </w:pPr>
                  <w:r>
                    <w:rPr>
                      <w:szCs w:val="21"/>
                    </w:rPr>
                    <w:t>HW01医疗废物（废物代码：841-004-01）</w:t>
                  </w:r>
                </w:p>
              </w:tc>
              <w:tc>
                <w:tcPr>
                  <w:tcW w:w="345" w:type="pct"/>
                  <w:tcBorders>
                    <w:tl2br w:val="nil"/>
                    <w:tr2bl w:val="nil"/>
                  </w:tcBorders>
                  <w:vAlign w:val="center"/>
                </w:tcPr>
                <w:p>
                  <w:pPr>
                    <w:jc w:val="center"/>
                    <w:rPr>
                      <w:szCs w:val="21"/>
                    </w:rPr>
                  </w:pPr>
                  <w:r>
                    <w:rPr>
                      <w:szCs w:val="21"/>
                    </w:rPr>
                    <w:t>类比法</w:t>
                  </w:r>
                </w:p>
              </w:tc>
              <w:tc>
                <w:tcPr>
                  <w:tcW w:w="420" w:type="pct"/>
                  <w:tcBorders>
                    <w:tl2br w:val="nil"/>
                    <w:tr2bl w:val="nil"/>
                  </w:tcBorders>
                  <w:vAlign w:val="center"/>
                </w:tcPr>
                <w:p>
                  <w:pPr>
                    <w:jc w:val="center"/>
                    <w:rPr>
                      <w:szCs w:val="21"/>
                    </w:rPr>
                  </w:pPr>
                  <w:r>
                    <w:rPr>
                      <w:rFonts w:hint="eastAsia"/>
                      <w:szCs w:val="21"/>
                    </w:rPr>
                    <w:t>2.0</w:t>
                  </w:r>
                </w:p>
              </w:tc>
              <w:tc>
                <w:tcPr>
                  <w:tcW w:w="564" w:type="pct"/>
                  <w:tcBorders>
                    <w:tl2br w:val="nil"/>
                    <w:tr2bl w:val="nil"/>
                  </w:tcBorders>
                  <w:vAlign w:val="center"/>
                </w:tcPr>
                <w:p>
                  <w:pPr>
                    <w:jc w:val="center"/>
                    <w:rPr>
                      <w:szCs w:val="21"/>
                    </w:rPr>
                  </w:pPr>
                  <w:r>
                    <w:rPr>
                      <w:rFonts w:hint="eastAsia"/>
                      <w:szCs w:val="21"/>
                    </w:rPr>
                    <w:t>专用桶收集，消毒后，</w:t>
                  </w:r>
                  <w:r>
                    <w:rPr>
                      <w:szCs w:val="21"/>
                    </w:rPr>
                    <w:t>暂存医疗废物暂存间</w:t>
                  </w:r>
                </w:p>
              </w:tc>
              <w:tc>
                <w:tcPr>
                  <w:tcW w:w="496" w:type="pct"/>
                  <w:tcBorders>
                    <w:tl2br w:val="nil"/>
                    <w:tr2bl w:val="nil"/>
                  </w:tcBorders>
                  <w:vAlign w:val="center"/>
                </w:tcPr>
                <w:p>
                  <w:pPr>
                    <w:jc w:val="center"/>
                    <w:rPr>
                      <w:szCs w:val="21"/>
                    </w:rPr>
                  </w:pPr>
                  <w:r>
                    <w:rPr>
                      <w:rFonts w:hint="eastAsia"/>
                      <w:szCs w:val="21"/>
                    </w:rPr>
                    <w:t>2.0</w:t>
                  </w:r>
                </w:p>
              </w:tc>
              <w:tc>
                <w:tcPr>
                  <w:tcW w:w="338" w:type="pct"/>
                  <w:vMerge w:val="continue"/>
                  <w:tcBorders>
                    <w:tl2br w:val="nil"/>
                    <w:tr2bl w:val="nil"/>
                  </w:tcBorders>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569" w:type="pct"/>
                  <w:tcBorders>
                    <w:tl2br w:val="nil"/>
                    <w:tr2bl w:val="nil"/>
                  </w:tcBorders>
                  <w:vAlign w:val="center"/>
                </w:tcPr>
                <w:p>
                  <w:pPr>
                    <w:jc w:val="center"/>
                    <w:rPr>
                      <w:szCs w:val="21"/>
                    </w:rPr>
                  </w:pPr>
                  <w:r>
                    <w:rPr>
                      <w:rFonts w:hint="eastAsia"/>
                      <w:szCs w:val="21"/>
                    </w:rPr>
                    <w:t>污水处理</w:t>
                  </w:r>
                </w:p>
              </w:tc>
              <w:tc>
                <w:tcPr>
                  <w:tcW w:w="633" w:type="pct"/>
                  <w:tcBorders>
                    <w:tl2br w:val="nil"/>
                    <w:tr2bl w:val="nil"/>
                  </w:tcBorders>
                  <w:vAlign w:val="center"/>
                </w:tcPr>
                <w:p>
                  <w:pPr>
                    <w:jc w:val="center"/>
                    <w:rPr>
                      <w:szCs w:val="21"/>
                    </w:rPr>
                  </w:pPr>
                  <w:r>
                    <w:rPr>
                      <w:rFonts w:hint="eastAsia"/>
                      <w:szCs w:val="21"/>
                    </w:rPr>
                    <w:t>污泥</w:t>
                  </w:r>
                </w:p>
              </w:tc>
              <w:tc>
                <w:tcPr>
                  <w:tcW w:w="342" w:type="pct"/>
                  <w:tcBorders>
                    <w:tl2br w:val="nil"/>
                    <w:tr2bl w:val="nil"/>
                  </w:tcBorders>
                  <w:vAlign w:val="center"/>
                </w:tcPr>
                <w:p>
                  <w:pPr>
                    <w:jc w:val="center"/>
                    <w:rPr>
                      <w:szCs w:val="21"/>
                    </w:rPr>
                  </w:pPr>
                  <w:r>
                    <w:rPr>
                      <w:szCs w:val="21"/>
                    </w:rPr>
                    <w:t>医疗废物</w:t>
                  </w:r>
                </w:p>
              </w:tc>
              <w:tc>
                <w:tcPr>
                  <w:tcW w:w="385" w:type="pct"/>
                  <w:tcBorders>
                    <w:tl2br w:val="nil"/>
                    <w:tr2bl w:val="nil"/>
                  </w:tcBorders>
                  <w:vAlign w:val="center"/>
                </w:tcPr>
                <w:p>
                  <w:pPr>
                    <w:jc w:val="center"/>
                    <w:rPr>
                      <w:szCs w:val="21"/>
                    </w:rPr>
                  </w:pPr>
                  <w:r>
                    <w:rPr>
                      <w:szCs w:val="21"/>
                    </w:rPr>
                    <w:t>感染性废物</w:t>
                  </w:r>
                </w:p>
              </w:tc>
              <w:tc>
                <w:tcPr>
                  <w:tcW w:w="903" w:type="pct"/>
                  <w:tcBorders>
                    <w:tl2br w:val="nil"/>
                    <w:tr2bl w:val="nil"/>
                  </w:tcBorders>
                  <w:vAlign w:val="center"/>
                </w:tcPr>
                <w:p>
                  <w:pPr>
                    <w:jc w:val="center"/>
                    <w:rPr>
                      <w:szCs w:val="21"/>
                    </w:rPr>
                  </w:pPr>
                  <w:r>
                    <w:rPr>
                      <w:szCs w:val="21"/>
                    </w:rPr>
                    <w:t>HW01医疗废物（废物代码：841-001-01）</w:t>
                  </w:r>
                </w:p>
              </w:tc>
              <w:tc>
                <w:tcPr>
                  <w:tcW w:w="345" w:type="pct"/>
                  <w:tcBorders>
                    <w:tl2br w:val="nil"/>
                    <w:tr2bl w:val="nil"/>
                  </w:tcBorders>
                  <w:vAlign w:val="center"/>
                </w:tcPr>
                <w:p>
                  <w:pPr>
                    <w:jc w:val="center"/>
                    <w:rPr>
                      <w:szCs w:val="21"/>
                    </w:rPr>
                  </w:pPr>
                  <w:r>
                    <w:rPr>
                      <w:szCs w:val="21"/>
                    </w:rPr>
                    <w:t>类比法</w:t>
                  </w:r>
                </w:p>
              </w:tc>
              <w:tc>
                <w:tcPr>
                  <w:tcW w:w="420" w:type="pct"/>
                  <w:tcBorders>
                    <w:tl2br w:val="nil"/>
                    <w:tr2bl w:val="nil"/>
                  </w:tcBorders>
                  <w:vAlign w:val="center"/>
                </w:tcPr>
                <w:p>
                  <w:pPr>
                    <w:jc w:val="center"/>
                    <w:rPr>
                      <w:szCs w:val="21"/>
                    </w:rPr>
                  </w:pPr>
                  <w:r>
                    <w:rPr>
                      <w:rFonts w:hint="eastAsia"/>
                      <w:szCs w:val="21"/>
                    </w:rPr>
                    <w:t>2.5</w:t>
                  </w:r>
                </w:p>
              </w:tc>
              <w:tc>
                <w:tcPr>
                  <w:tcW w:w="564" w:type="pct"/>
                  <w:tcBorders>
                    <w:tl2br w:val="nil"/>
                    <w:tr2bl w:val="nil"/>
                  </w:tcBorders>
                </w:tcPr>
                <w:p>
                  <w:pPr>
                    <w:jc w:val="center"/>
                    <w:rPr>
                      <w:szCs w:val="21"/>
                    </w:rPr>
                  </w:pPr>
                  <w:r>
                    <w:rPr>
                      <w:szCs w:val="21"/>
                    </w:rPr>
                    <w:t>在清运处理前，采用漂白剂消毒处理</w:t>
                  </w:r>
                </w:p>
              </w:tc>
              <w:tc>
                <w:tcPr>
                  <w:tcW w:w="496" w:type="pct"/>
                  <w:tcBorders>
                    <w:tl2br w:val="nil"/>
                    <w:tr2bl w:val="nil"/>
                  </w:tcBorders>
                  <w:vAlign w:val="center"/>
                </w:tcPr>
                <w:p>
                  <w:pPr>
                    <w:jc w:val="center"/>
                    <w:rPr>
                      <w:szCs w:val="21"/>
                    </w:rPr>
                  </w:pPr>
                  <w:r>
                    <w:rPr>
                      <w:rFonts w:hint="eastAsia"/>
                      <w:szCs w:val="21"/>
                    </w:rPr>
                    <w:t>2.5</w:t>
                  </w:r>
                </w:p>
              </w:tc>
              <w:tc>
                <w:tcPr>
                  <w:tcW w:w="338" w:type="pct"/>
                  <w:vMerge w:val="continue"/>
                  <w:tcBorders>
                    <w:tl2br w:val="nil"/>
                    <w:tr2bl w:val="nil"/>
                  </w:tcBorders>
                  <w:vAlign w:val="center"/>
                </w:tcPr>
                <w:p>
                  <w:pPr>
                    <w:jc w:val="center"/>
                    <w:rPr>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569" w:type="pct"/>
                  <w:tcBorders>
                    <w:tl2br w:val="nil"/>
                    <w:tr2bl w:val="nil"/>
                  </w:tcBorders>
                  <w:vAlign w:val="center"/>
                </w:tcPr>
                <w:p>
                  <w:pPr>
                    <w:jc w:val="center"/>
                    <w:rPr>
                      <w:szCs w:val="21"/>
                    </w:rPr>
                  </w:pPr>
                  <w:r>
                    <w:rPr>
                      <w:rFonts w:hint="eastAsia"/>
                      <w:szCs w:val="21"/>
                    </w:rPr>
                    <w:t>员工办公</w:t>
                  </w:r>
                </w:p>
              </w:tc>
              <w:tc>
                <w:tcPr>
                  <w:tcW w:w="633" w:type="pct"/>
                  <w:tcBorders>
                    <w:tl2br w:val="nil"/>
                    <w:tr2bl w:val="nil"/>
                  </w:tcBorders>
                  <w:vAlign w:val="center"/>
                </w:tcPr>
                <w:p>
                  <w:pPr>
                    <w:jc w:val="center"/>
                    <w:rPr>
                      <w:szCs w:val="21"/>
                    </w:rPr>
                  </w:pPr>
                  <w:r>
                    <w:rPr>
                      <w:rFonts w:hint="eastAsia"/>
                      <w:szCs w:val="21"/>
                    </w:rPr>
                    <w:t>生活垃圾</w:t>
                  </w:r>
                </w:p>
              </w:tc>
              <w:tc>
                <w:tcPr>
                  <w:tcW w:w="342" w:type="pct"/>
                  <w:tcBorders>
                    <w:tl2br w:val="nil"/>
                    <w:tr2bl w:val="nil"/>
                  </w:tcBorders>
                  <w:vAlign w:val="center"/>
                </w:tcPr>
                <w:p>
                  <w:pPr>
                    <w:jc w:val="center"/>
                    <w:rPr>
                      <w:szCs w:val="21"/>
                    </w:rPr>
                  </w:pPr>
                  <w:r>
                    <w:rPr>
                      <w:rFonts w:hint="eastAsia"/>
                      <w:szCs w:val="21"/>
                    </w:rPr>
                    <w:t>一般固废</w:t>
                  </w:r>
                </w:p>
              </w:tc>
              <w:tc>
                <w:tcPr>
                  <w:tcW w:w="385" w:type="pct"/>
                  <w:tcBorders>
                    <w:tl2br w:val="nil"/>
                    <w:tr2bl w:val="nil"/>
                  </w:tcBorders>
                  <w:vAlign w:val="center"/>
                </w:tcPr>
                <w:p>
                  <w:pPr>
                    <w:jc w:val="center"/>
                    <w:rPr>
                      <w:szCs w:val="21"/>
                    </w:rPr>
                  </w:pPr>
                  <w:r>
                    <w:rPr>
                      <w:rFonts w:hint="eastAsia"/>
                      <w:szCs w:val="21"/>
                    </w:rPr>
                    <w:t>/</w:t>
                  </w:r>
                </w:p>
              </w:tc>
              <w:tc>
                <w:tcPr>
                  <w:tcW w:w="903" w:type="pct"/>
                  <w:tcBorders>
                    <w:tl2br w:val="nil"/>
                    <w:tr2bl w:val="nil"/>
                  </w:tcBorders>
                  <w:vAlign w:val="center"/>
                </w:tcPr>
                <w:p>
                  <w:pPr>
                    <w:jc w:val="center"/>
                    <w:rPr>
                      <w:szCs w:val="21"/>
                    </w:rPr>
                  </w:pPr>
                  <w:r>
                    <w:rPr>
                      <w:rFonts w:hint="eastAsia"/>
                      <w:szCs w:val="21"/>
                    </w:rPr>
                    <w:t>/</w:t>
                  </w:r>
                </w:p>
              </w:tc>
              <w:tc>
                <w:tcPr>
                  <w:tcW w:w="345" w:type="pct"/>
                  <w:tcBorders>
                    <w:tl2br w:val="nil"/>
                    <w:tr2bl w:val="nil"/>
                  </w:tcBorders>
                  <w:vAlign w:val="center"/>
                </w:tcPr>
                <w:p>
                  <w:pPr>
                    <w:jc w:val="center"/>
                    <w:rPr>
                      <w:szCs w:val="21"/>
                    </w:rPr>
                  </w:pPr>
                  <w:r>
                    <w:rPr>
                      <w:rFonts w:hint="eastAsia"/>
                      <w:szCs w:val="21"/>
                    </w:rPr>
                    <w:t>类比法</w:t>
                  </w:r>
                </w:p>
              </w:tc>
              <w:tc>
                <w:tcPr>
                  <w:tcW w:w="420" w:type="pct"/>
                  <w:tcBorders>
                    <w:tl2br w:val="nil"/>
                    <w:tr2bl w:val="nil"/>
                  </w:tcBorders>
                  <w:vAlign w:val="center"/>
                </w:tcPr>
                <w:p>
                  <w:pPr>
                    <w:jc w:val="center"/>
                    <w:rPr>
                      <w:szCs w:val="21"/>
                    </w:rPr>
                  </w:pPr>
                  <w:r>
                    <w:rPr>
                      <w:rFonts w:hint="eastAsia"/>
                      <w:szCs w:val="21"/>
                    </w:rPr>
                    <w:t>5.375</w:t>
                  </w:r>
                </w:p>
              </w:tc>
              <w:tc>
                <w:tcPr>
                  <w:tcW w:w="564" w:type="pct"/>
                  <w:tcBorders>
                    <w:tl2br w:val="nil"/>
                    <w:tr2bl w:val="nil"/>
                  </w:tcBorders>
                  <w:vAlign w:val="center"/>
                </w:tcPr>
                <w:p>
                  <w:pPr>
                    <w:jc w:val="center"/>
                    <w:rPr>
                      <w:szCs w:val="21"/>
                    </w:rPr>
                  </w:pPr>
                  <w:r>
                    <w:rPr>
                      <w:kern w:val="21"/>
                      <w:szCs w:val="21"/>
                    </w:rPr>
                    <w:t>由环卫部门统一清运处理</w:t>
                  </w:r>
                </w:p>
              </w:tc>
              <w:tc>
                <w:tcPr>
                  <w:tcW w:w="496" w:type="pct"/>
                  <w:tcBorders>
                    <w:tl2br w:val="nil"/>
                    <w:tr2bl w:val="nil"/>
                  </w:tcBorders>
                  <w:vAlign w:val="center"/>
                </w:tcPr>
                <w:p>
                  <w:pPr>
                    <w:jc w:val="center"/>
                    <w:rPr>
                      <w:szCs w:val="21"/>
                    </w:rPr>
                  </w:pPr>
                  <w:r>
                    <w:rPr>
                      <w:rFonts w:hint="eastAsia"/>
                      <w:szCs w:val="21"/>
                    </w:rPr>
                    <w:t>5.375</w:t>
                  </w:r>
                </w:p>
              </w:tc>
              <w:tc>
                <w:tcPr>
                  <w:tcW w:w="338" w:type="pct"/>
                  <w:tcBorders>
                    <w:tl2br w:val="nil"/>
                    <w:tr2bl w:val="nil"/>
                  </w:tcBorders>
                  <w:vAlign w:val="center"/>
                </w:tcPr>
                <w:p>
                  <w:pPr>
                    <w:jc w:val="center"/>
                    <w:rPr>
                      <w:szCs w:val="21"/>
                    </w:rPr>
                  </w:pPr>
                  <w:r>
                    <w:rPr>
                      <w:kern w:val="21"/>
                      <w:szCs w:val="21"/>
                    </w:rPr>
                    <w:t>由环卫部门统一清运处理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569"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活性炭吸附装置</w:t>
                  </w:r>
                </w:p>
              </w:tc>
              <w:tc>
                <w:tcPr>
                  <w:tcW w:w="633" w:type="pct"/>
                  <w:tcBorders>
                    <w:tl2br w:val="nil"/>
                    <w:tr2bl w:val="nil"/>
                  </w:tcBorders>
                  <w:vAlign w:val="center"/>
                </w:tcPr>
                <w:p>
                  <w:pPr>
                    <w:jc w:val="center"/>
                    <w:rPr>
                      <w:rFonts w:hint="eastAsia"/>
                      <w:szCs w:val="21"/>
                    </w:rPr>
                  </w:pPr>
                  <w:r>
                    <w:rPr>
                      <w:rFonts w:hint="eastAsia"/>
                      <w:szCs w:val="21"/>
                      <w:lang w:val="en-US" w:eastAsia="zh-CN"/>
                    </w:rPr>
                    <w:t>废活性炭</w:t>
                  </w:r>
                </w:p>
              </w:tc>
              <w:tc>
                <w:tcPr>
                  <w:tcW w:w="342"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危险废物</w:t>
                  </w:r>
                </w:p>
              </w:tc>
              <w:tc>
                <w:tcPr>
                  <w:tcW w:w="385"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w:t>
                  </w:r>
                </w:p>
              </w:tc>
              <w:tc>
                <w:tcPr>
                  <w:tcW w:w="903"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HW49其他废物（废物代码：900-039-49）</w:t>
                  </w:r>
                </w:p>
              </w:tc>
              <w:tc>
                <w:tcPr>
                  <w:tcW w:w="345"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类比法</w:t>
                  </w:r>
                </w:p>
              </w:tc>
              <w:tc>
                <w:tcPr>
                  <w:tcW w:w="420"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5</w:t>
                  </w:r>
                </w:p>
              </w:tc>
              <w:tc>
                <w:tcPr>
                  <w:tcW w:w="564" w:type="pct"/>
                  <w:tcBorders>
                    <w:tl2br w:val="nil"/>
                    <w:tr2bl w:val="nil"/>
                  </w:tcBorders>
                  <w:vAlign w:val="center"/>
                </w:tcPr>
                <w:p>
                  <w:pPr>
                    <w:jc w:val="center"/>
                    <w:rPr>
                      <w:rFonts w:hint="default" w:eastAsia="宋体"/>
                      <w:kern w:val="21"/>
                      <w:szCs w:val="21"/>
                      <w:lang w:val="en-US" w:eastAsia="zh-CN"/>
                    </w:rPr>
                  </w:pPr>
                  <w:r>
                    <w:rPr>
                      <w:rFonts w:hint="eastAsia"/>
                      <w:kern w:val="21"/>
                      <w:szCs w:val="21"/>
                      <w:lang w:val="en-US" w:eastAsia="zh-CN"/>
                    </w:rPr>
                    <w:t>使用专用桶收集，暂存危废暂存间内</w:t>
                  </w:r>
                </w:p>
              </w:tc>
              <w:tc>
                <w:tcPr>
                  <w:tcW w:w="496" w:type="pct"/>
                  <w:tcBorders>
                    <w:tl2br w:val="nil"/>
                    <w:tr2bl w:val="nil"/>
                  </w:tcBorders>
                  <w:vAlign w:val="center"/>
                </w:tcPr>
                <w:p>
                  <w:pPr>
                    <w:jc w:val="center"/>
                    <w:rPr>
                      <w:rFonts w:hint="eastAsia"/>
                      <w:szCs w:val="21"/>
                    </w:rPr>
                  </w:pPr>
                  <w:r>
                    <w:rPr>
                      <w:rFonts w:hint="eastAsia"/>
                      <w:szCs w:val="21"/>
                      <w:lang w:val="en-US" w:eastAsia="zh-CN"/>
                    </w:rPr>
                    <w:t>5</w:t>
                  </w:r>
                </w:p>
              </w:tc>
              <w:tc>
                <w:tcPr>
                  <w:tcW w:w="338" w:type="pct"/>
                  <w:vMerge w:val="restart"/>
                  <w:tcBorders>
                    <w:tl2br w:val="nil"/>
                    <w:tr2bl w:val="nil"/>
                  </w:tcBorders>
                  <w:vAlign w:val="center"/>
                </w:tcPr>
                <w:p>
                  <w:pPr>
                    <w:jc w:val="center"/>
                    <w:rPr>
                      <w:rFonts w:hint="eastAsia" w:ascii="Times New Roman" w:hAnsi="Times New Roman" w:eastAsia="宋体" w:cs="Times New Roman"/>
                      <w:kern w:val="2"/>
                      <w:sz w:val="21"/>
                      <w:szCs w:val="21"/>
                      <w:lang w:val="en-US" w:eastAsia="zh-CN" w:bidi="ar-SA"/>
                    </w:rPr>
                  </w:pPr>
                  <w:r>
                    <w:rPr>
                      <w:rFonts w:hint="eastAsia"/>
                      <w:szCs w:val="21"/>
                    </w:rPr>
                    <w:t>资质单位进行处置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569"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质谱实验室运营过程</w:t>
                  </w:r>
                </w:p>
              </w:tc>
              <w:tc>
                <w:tcPr>
                  <w:tcW w:w="633" w:type="pct"/>
                  <w:tcBorders>
                    <w:tl2br w:val="nil"/>
                    <w:tr2bl w:val="nil"/>
                  </w:tcBorders>
                  <w:vAlign w:val="center"/>
                </w:tcPr>
                <w:p>
                  <w:pPr>
                    <w:jc w:val="center"/>
                    <w:rPr>
                      <w:rFonts w:hint="eastAsia"/>
                      <w:szCs w:val="21"/>
                    </w:rPr>
                  </w:pPr>
                  <w:r>
                    <w:rPr>
                      <w:rFonts w:hint="eastAsia"/>
                      <w:szCs w:val="21"/>
                      <w:lang w:val="en-US" w:eastAsia="zh-CN"/>
                    </w:rPr>
                    <w:t>有机废液</w:t>
                  </w:r>
                </w:p>
              </w:tc>
              <w:tc>
                <w:tcPr>
                  <w:tcW w:w="342" w:type="pct"/>
                  <w:tcBorders>
                    <w:tl2br w:val="nil"/>
                    <w:tr2bl w:val="nil"/>
                  </w:tcBorders>
                  <w:vAlign w:val="center"/>
                </w:tcPr>
                <w:p>
                  <w:pPr>
                    <w:jc w:val="center"/>
                    <w:rPr>
                      <w:rFonts w:hint="eastAsia" w:eastAsia="宋体"/>
                      <w:szCs w:val="21"/>
                      <w:lang w:val="en-US" w:eastAsia="zh-CN"/>
                    </w:rPr>
                  </w:pPr>
                  <w:r>
                    <w:rPr>
                      <w:szCs w:val="21"/>
                    </w:rPr>
                    <w:t>医疗废物</w:t>
                  </w:r>
                </w:p>
              </w:tc>
              <w:tc>
                <w:tcPr>
                  <w:tcW w:w="385"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w:t>
                  </w:r>
                </w:p>
              </w:tc>
              <w:tc>
                <w:tcPr>
                  <w:tcW w:w="903" w:type="pct"/>
                  <w:tcBorders>
                    <w:tl2br w:val="nil"/>
                    <w:tr2bl w:val="nil"/>
                  </w:tcBorders>
                  <w:vAlign w:val="center"/>
                </w:tcPr>
                <w:p>
                  <w:pPr>
                    <w:jc w:val="center"/>
                    <w:rPr>
                      <w:rFonts w:hint="eastAsia"/>
                      <w:szCs w:val="21"/>
                    </w:rPr>
                  </w:pPr>
                  <w:r>
                    <w:rPr>
                      <w:rFonts w:hint="eastAsia"/>
                      <w:szCs w:val="21"/>
                      <w:lang w:val="en-US" w:eastAsia="zh-CN"/>
                    </w:rPr>
                    <w:t>HW49其他废物（废物代码：900-047-49）</w:t>
                  </w:r>
                </w:p>
              </w:tc>
              <w:tc>
                <w:tcPr>
                  <w:tcW w:w="345" w:type="pct"/>
                  <w:tcBorders>
                    <w:tl2br w:val="nil"/>
                    <w:tr2bl w:val="nil"/>
                  </w:tcBorders>
                  <w:vAlign w:val="center"/>
                </w:tcPr>
                <w:p>
                  <w:pPr>
                    <w:jc w:val="center"/>
                    <w:rPr>
                      <w:rFonts w:hint="eastAsia" w:eastAsia="宋体"/>
                      <w:szCs w:val="21"/>
                      <w:lang w:val="en-US" w:eastAsia="zh-CN"/>
                    </w:rPr>
                  </w:pPr>
                  <w:r>
                    <w:rPr>
                      <w:rFonts w:hint="eastAsia"/>
                      <w:szCs w:val="21"/>
                      <w:lang w:val="en-US" w:eastAsia="zh-CN"/>
                    </w:rPr>
                    <w:t>类比法</w:t>
                  </w:r>
                </w:p>
              </w:tc>
              <w:tc>
                <w:tcPr>
                  <w:tcW w:w="420" w:type="pct"/>
                  <w:tcBorders>
                    <w:tl2br w:val="nil"/>
                    <w:tr2bl w:val="nil"/>
                  </w:tcBorders>
                  <w:vAlign w:val="center"/>
                </w:tcPr>
                <w:p>
                  <w:pPr>
                    <w:jc w:val="center"/>
                    <w:rPr>
                      <w:rFonts w:hint="default" w:eastAsia="宋体"/>
                      <w:szCs w:val="21"/>
                      <w:lang w:val="en-US" w:eastAsia="zh-CN"/>
                    </w:rPr>
                  </w:pPr>
                  <w:r>
                    <w:rPr>
                      <w:rFonts w:hint="eastAsia"/>
                      <w:szCs w:val="21"/>
                      <w:lang w:val="en-US" w:eastAsia="zh-CN"/>
                    </w:rPr>
                    <w:t>2.5</w:t>
                  </w:r>
                </w:p>
              </w:tc>
              <w:tc>
                <w:tcPr>
                  <w:tcW w:w="564" w:type="pct"/>
                  <w:tcBorders>
                    <w:tl2br w:val="nil"/>
                    <w:tr2bl w:val="nil"/>
                  </w:tcBorders>
                  <w:vAlign w:val="center"/>
                </w:tcPr>
                <w:p>
                  <w:pPr>
                    <w:jc w:val="center"/>
                    <w:rPr>
                      <w:kern w:val="21"/>
                      <w:szCs w:val="21"/>
                    </w:rPr>
                  </w:pPr>
                  <w:r>
                    <w:rPr>
                      <w:rFonts w:hint="eastAsia"/>
                      <w:kern w:val="21"/>
                      <w:szCs w:val="21"/>
                      <w:lang w:val="en-US" w:eastAsia="zh-CN"/>
                    </w:rPr>
                    <w:t>使用专用桶收集，暂存危废暂存间内</w:t>
                  </w:r>
                </w:p>
              </w:tc>
              <w:tc>
                <w:tcPr>
                  <w:tcW w:w="496" w:type="pct"/>
                  <w:tcBorders>
                    <w:tl2br w:val="nil"/>
                    <w:tr2bl w:val="nil"/>
                  </w:tcBorders>
                  <w:vAlign w:val="center"/>
                </w:tcPr>
                <w:p>
                  <w:pPr>
                    <w:jc w:val="center"/>
                    <w:rPr>
                      <w:rFonts w:hint="eastAsia"/>
                      <w:szCs w:val="21"/>
                    </w:rPr>
                  </w:pPr>
                  <w:r>
                    <w:rPr>
                      <w:rFonts w:hint="eastAsia"/>
                      <w:szCs w:val="21"/>
                      <w:lang w:val="en-US" w:eastAsia="zh-CN"/>
                    </w:rPr>
                    <w:t>2.5</w:t>
                  </w:r>
                </w:p>
              </w:tc>
              <w:tc>
                <w:tcPr>
                  <w:tcW w:w="338" w:type="pct"/>
                  <w:vMerge w:val="continue"/>
                  <w:tcBorders>
                    <w:tl2br w:val="nil"/>
                    <w:tr2bl w:val="nil"/>
                  </w:tcBorders>
                  <w:vAlign w:val="center"/>
                </w:tcPr>
                <w:p>
                  <w:pPr>
                    <w:jc w:val="center"/>
                    <w:rPr>
                      <w:rFonts w:hint="default" w:ascii="Times New Roman" w:hAnsi="Times New Roman" w:eastAsia="宋体" w:cs="Times New Roman"/>
                      <w:kern w:val="2"/>
                      <w:sz w:val="21"/>
                      <w:szCs w:val="21"/>
                      <w:lang w:val="en-US" w:eastAsia="zh-CN" w:bidi="ar-SA"/>
                    </w:rPr>
                  </w:pPr>
                </w:p>
              </w:tc>
            </w:tr>
            <w:bookmarkEnd w:id="11"/>
          </w:tbl>
          <w:p>
            <w:pPr>
              <w:widowControl/>
              <w:spacing w:line="360" w:lineRule="auto"/>
              <w:ind w:firstLine="422" w:firstLineChars="200"/>
              <w:jc w:val="left"/>
              <w:rPr>
                <w:szCs w:val="21"/>
              </w:rPr>
            </w:pPr>
            <w:r>
              <w:rPr>
                <w:rFonts w:hint="eastAsia"/>
                <w:b/>
                <w:kern w:val="0"/>
                <w:szCs w:val="21"/>
              </w:rPr>
              <w:t>5</w:t>
            </w:r>
            <w:r>
              <w:rPr>
                <w:b/>
                <w:kern w:val="0"/>
                <w:szCs w:val="21"/>
              </w:rPr>
              <w:t xml:space="preserve">、环境风险 </w:t>
            </w:r>
          </w:p>
          <w:p>
            <w:pPr>
              <w:spacing w:line="360" w:lineRule="auto"/>
              <w:ind w:firstLine="420" w:firstLineChars="200"/>
              <w:rPr>
                <w:szCs w:val="21"/>
              </w:rPr>
            </w:pPr>
            <w:bookmarkStart w:id="4" w:name="_Toc22814"/>
            <w:bookmarkStart w:id="5" w:name="_Toc21956"/>
            <w:r>
              <w:rPr>
                <w:rFonts w:hint="eastAsia"/>
                <w:szCs w:val="21"/>
              </w:rPr>
              <w:t>（1）风险物质</w:t>
            </w:r>
          </w:p>
          <w:p>
            <w:pPr>
              <w:spacing w:line="360" w:lineRule="auto"/>
              <w:ind w:firstLine="420" w:firstLineChars="200"/>
              <w:rPr>
                <w:szCs w:val="21"/>
              </w:rPr>
            </w:pPr>
            <w:r>
              <w:rPr>
                <w:rFonts w:hint="eastAsia"/>
                <w:szCs w:val="21"/>
              </w:rPr>
              <w:t>根据</w:t>
            </w:r>
            <w:r>
              <w:rPr>
                <w:szCs w:val="21"/>
              </w:rPr>
              <w:t>《建设项目环境风险评价技术导则》（HJ169-2018）附录B</w:t>
            </w:r>
            <w:r>
              <w:rPr>
                <w:rFonts w:hint="eastAsia"/>
                <w:szCs w:val="21"/>
              </w:rPr>
              <w:t>以及《企业突发环境事件风险分级方法》(HJ941-2018)</w:t>
            </w:r>
            <w:r>
              <w:rPr>
                <w:szCs w:val="21"/>
              </w:rPr>
              <w:t>附录</w:t>
            </w:r>
            <w:r>
              <w:rPr>
                <w:rFonts w:hint="eastAsia"/>
                <w:szCs w:val="21"/>
              </w:rPr>
              <w:t>A，</w:t>
            </w:r>
            <w:r>
              <w:rPr>
                <w:szCs w:val="21"/>
              </w:rPr>
              <w:t>本项目涉及的风险物质主要是</w:t>
            </w:r>
            <w:r>
              <w:rPr>
                <w:rFonts w:hint="eastAsia"/>
                <w:szCs w:val="21"/>
              </w:rPr>
              <w:t>污水处理站二氧化氯及试剂室乙醇。</w:t>
            </w:r>
            <w:r>
              <w:rPr>
                <w:szCs w:val="21"/>
              </w:rPr>
              <w:t>厂区内</w:t>
            </w:r>
            <w:r>
              <w:rPr>
                <w:rFonts w:hint="eastAsia"/>
                <w:szCs w:val="21"/>
              </w:rPr>
              <w:t>二氧化氯</w:t>
            </w:r>
            <w:r>
              <w:rPr>
                <w:szCs w:val="21"/>
              </w:rPr>
              <w:t>最大存在总量为</w:t>
            </w:r>
            <w:r>
              <w:rPr>
                <w:rFonts w:hint="eastAsia"/>
                <w:szCs w:val="21"/>
              </w:rPr>
              <w:t>0.1</w:t>
            </w:r>
            <w:r>
              <w:rPr>
                <w:szCs w:val="21"/>
              </w:rPr>
              <w:t>t，</w:t>
            </w:r>
            <w:r>
              <w:rPr>
                <w:rFonts w:hint="eastAsia"/>
                <w:szCs w:val="21"/>
              </w:rPr>
              <w:t>临界量为0.5t；乙醇</w:t>
            </w:r>
            <w:r>
              <w:rPr>
                <w:szCs w:val="21"/>
              </w:rPr>
              <w:t>最大存在总量为</w:t>
            </w:r>
            <w:r>
              <w:rPr>
                <w:rFonts w:hint="eastAsia"/>
                <w:szCs w:val="21"/>
              </w:rPr>
              <w:t>0.1</w:t>
            </w:r>
            <w:r>
              <w:rPr>
                <w:szCs w:val="21"/>
              </w:rPr>
              <w:t>t，</w:t>
            </w:r>
            <w:r>
              <w:rPr>
                <w:rFonts w:hint="eastAsia"/>
                <w:szCs w:val="21"/>
              </w:rPr>
              <w:t>临界量为500t，故Q值为0.1/0.5+0.1/500=0.2002＜1。</w:t>
            </w:r>
            <w:bookmarkEnd w:id="4"/>
            <w:bookmarkEnd w:id="5"/>
            <w:bookmarkStart w:id="6" w:name="_Toc19773"/>
            <w:bookmarkStart w:id="7" w:name="_Toc10718"/>
          </w:p>
          <w:bookmarkEnd w:id="6"/>
          <w:bookmarkEnd w:id="7"/>
          <w:p>
            <w:pPr>
              <w:spacing w:line="360" w:lineRule="auto"/>
              <w:ind w:firstLine="420" w:firstLineChars="200"/>
              <w:rPr>
                <w:szCs w:val="21"/>
              </w:rPr>
            </w:pPr>
            <w:r>
              <w:rPr>
                <w:rFonts w:hint="eastAsia"/>
                <w:szCs w:val="21"/>
              </w:rPr>
              <w:t>（2）风险事故分析</w:t>
            </w:r>
          </w:p>
          <w:p>
            <w:pPr>
              <w:spacing w:line="360" w:lineRule="auto"/>
              <w:ind w:firstLine="420" w:firstLineChars="200"/>
              <w:rPr>
                <w:szCs w:val="21"/>
              </w:rPr>
            </w:pPr>
            <w:r>
              <w:rPr>
                <w:szCs w:val="21"/>
              </w:rPr>
              <w:t>项目存在的环境风险主要是</w:t>
            </w:r>
            <w:r>
              <w:rPr>
                <w:rFonts w:hint="eastAsia"/>
                <w:szCs w:val="21"/>
              </w:rPr>
              <w:t>污水处理间</w:t>
            </w:r>
            <w:r>
              <w:rPr>
                <w:szCs w:val="21"/>
              </w:rPr>
              <w:t>二氧化氯</w:t>
            </w:r>
            <w:r>
              <w:rPr>
                <w:rFonts w:hint="eastAsia"/>
                <w:szCs w:val="21"/>
              </w:rPr>
              <w:t>及试剂室化学试剂瓶罐破裂、化学试剂发生泄漏或操作不当，</w:t>
            </w:r>
            <w:r>
              <w:rPr>
                <w:szCs w:val="21"/>
              </w:rPr>
              <w:t>引起的人员接触</w:t>
            </w:r>
            <w:r>
              <w:rPr>
                <w:rFonts w:hint="eastAsia"/>
                <w:szCs w:val="21"/>
              </w:rPr>
              <w:t>带来毒性、腐蚀性等不利影响</w:t>
            </w:r>
            <w:r>
              <w:rPr>
                <w:szCs w:val="21"/>
              </w:rPr>
              <w:t>或</w:t>
            </w:r>
            <w:r>
              <w:rPr>
                <w:rFonts w:hint="eastAsia"/>
                <w:szCs w:val="21"/>
              </w:rPr>
              <w:t>引发</w:t>
            </w:r>
            <w:r>
              <w:rPr>
                <w:szCs w:val="21"/>
              </w:rPr>
              <w:t>火灾</w:t>
            </w:r>
            <w:r>
              <w:rPr>
                <w:rFonts w:hint="eastAsia"/>
                <w:szCs w:val="21"/>
              </w:rPr>
              <w:t>。以及污水处理间事故污水的排放所造成的环境影响。</w:t>
            </w:r>
          </w:p>
          <w:p>
            <w:pPr>
              <w:spacing w:line="360" w:lineRule="auto"/>
              <w:ind w:firstLine="420" w:firstLineChars="200"/>
              <w:rPr>
                <w:szCs w:val="21"/>
              </w:rPr>
            </w:pPr>
            <w:r>
              <w:rPr>
                <w:rFonts w:hint="eastAsia"/>
                <w:szCs w:val="21"/>
              </w:rPr>
              <w:t>（3）环境风险防范措施</w:t>
            </w:r>
          </w:p>
          <w:p>
            <w:pPr>
              <w:spacing w:line="360" w:lineRule="auto"/>
              <w:ind w:firstLine="420" w:firstLineChars="200"/>
              <w:rPr>
                <w:szCs w:val="21"/>
              </w:rPr>
            </w:pPr>
            <w:r>
              <w:rPr>
                <w:szCs w:val="21"/>
              </w:rPr>
              <w:t>①严格按照相关要求落实二氧化氯</w:t>
            </w:r>
            <w:r>
              <w:rPr>
                <w:rFonts w:hint="eastAsia"/>
                <w:szCs w:val="21"/>
              </w:rPr>
              <w:t>及化学试剂</w:t>
            </w:r>
            <w:r>
              <w:rPr>
                <w:szCs w:val="21"/>
              </w:rPr>
              <w:t>的储存，确定指定地点存放；</w:t>
            </w:r>
          </w:p>
          <w:p>
            <w:pPr>
              <w:spacing w:line="360" w:lineRule="auto"/>
              <w:ind w:firstLine="420" w:firstLineChars="200"/>
              <w:rPr>
                <w:szCs w:val="21"/>
              </w:rPr>
            </w:pPr>
            <w:r>
              <w:rPr>
                <w:szCs w:val="21"/>
              </w:rPr>
              <w:t xml:space="preserve">②实验室制定安全操作管理规程，每日安排专人对化学试剂的安全存放、使用进行检查，确保化学试剂不发生泄漏及火灾爆炸。 </w:t>
            </w:r>
          </w:p>
          <w:p>
            <w:pPr>
              <w:spacing w:line="360" w:lineRule="auto"/>
              <w:ind w:firstLine="420" w:firstLineChars="200"/>
              <w:rPr>
                <w:szCs w:val="21"/>
              </w:rPr>
            </w:pPr>
            <w:r>
              <w:rPr>
                <w:szCs w:val="21"/>
              </w:rPr>
              <w:t xml:space="preserve">③加强对实验室操作人员的环境安全宣传教育，严格按操作规程操作，杜绝化学试剂瓶罐破裂现象的发生，不使用化学试剂时要及时将瓶罐口封闭。 </w:t>
            </w:r>
          </w:p>
          <w:p>
            <w:pPr>
              <w:spacing w:line="360" w:lineRule="auto"/>
              <w:ind w:firstLine="420" w:firstLineChars="200"/>
              <w:rPr>
                <w:szCs w:val="21"/>
              </w:rPr>
            </w:pPr>
            <w:r>
              <w:rPr>
                <w:rFonts w:hint="eastAsia"/>
                <w:szCs w:val="21"/>
                <w:lang w:val="zh-CN"/>
              </w:rPr>
              <w:t>④</w:t>
            </w:r>
            <w:r>
              <w:rPr>
                <w:szCs w:val="21"/>
              </w:rPr>
              <w:t>存在化学试剂的科室应远离明火，最大限度地杜绝火灾爆炸现象的发生。</w:t>
            </w:r>
          </w:p>
          <w:p>
            <w:pPr>
              <w:spacing w:line="360" w:lineRule="auto"/>
              <w:ind w:firstLine="420" w:firstLineChars="200"/>
              <w:rPr>
                <w:szCs w:val="21"/>
              </w:rPr>
            </w:pPr>
            <w:r>
              <w:rPr>
                <w:rFonts w:hint="eastAsia"/>
                <w:szCs w:val="21"/>
                <w:lang w:val="zh-CN"/>
              </w:rPr>
              <w:t>⑤</w:t>
            </w:r>
            <w:r>
              <w:rPr>
                <w:szCs w:val="21"/>
              </w:rPr>
              <w:t>严格落实各项消防措施</w:t>
            </w:r>
            <w:r>
              <w:rPr>
                <w:rFonts w:hint="eastAsia"/>
                <w:szCs w:val="21"/>
              </w:rPr>
              <w:t>。</w:t>
            </w:r>
          </w:p>
          <w:p>
            <w:pPr>
              <w:spacing w:line="360" w:lineRule="auto"/>
              <w:ind w:firstLine="420" w:firstLineChars="200"/>
              <w:rPr>
                <w:szCs w:val="21"/>
                <w:lang w:val="zh-CN"/>
              </w:rPr>
            </w:pPr>
            <w:r>
              <w:rPr>
                <w:rFonts w:hint="eastAsia"/>
                <w:szCs w:val="21"/>
                <w:lang w:val="zh-CN"/>
              </w:rPr>
              <w:t>⑥本项目在污水处理间内设置可容纳污水处理站出现事故时的事故水池，容量为6.0m</w:t>
            </w:r>
            <w:r>
              <w:rPr>
                <w:rFonts w:hint="eastAsia"/>
                <w:szCs w:val="21"/>
                <w:vertAlign w:val="superscript"/>
                <w:lang w:val="zh-CN"/>
              </w:rPr>
              <w:t>3</w:t>
            </w:r>
            <w:r>
              <w:rPr>
                <w:rFonts w:hint="eastAsia"/>
                <w:szCs w:val="21"/>
                <w:lang w:val="zh-CN"/>
              </w:rPr>
              <w:t>。因此发生事故时，事故池足够容纳事故时项目产生的污水，避免污染地表水体和污染地下水。</w:t>
            </w:r>
          </w:p>
          <w:p>
            <w:pPr>
              <w:widowControl/>
              <w:spacing w:line="360" w:lineRule="auto"/>
              <w:ind w:firstLine="422" w:firstLineChars="200"/>
              <w:jc w:val="left"/>
              <w:rPr>
                <w:szCs w:val="21"/>
              </w:rPr>
            </w:pPr>
            <w:r>
              <w:rPr>
                <w:rFonts w:hint="eastAsia"/>
                <w:b/>
                <w:kern w:val="0"/>
                <w:szCs w:val="21"/>
              </w:rPr>
              <w:t>6</w:t>
            </w:r>
            <w:r>
              <w:rPr>
                <w:b/>
                <w:kern w:val="0"/>
                <w:szCs w:val="21"/>
              </w:rPr>
              <w:t xml:space="preserve">、环保投资 </w:t>
            </w:r>
          </w:p>
          <w:p>
            <w:pPr>
              <w:spacing w:line="430" w:lineRule="exact"/>
              <w:ind w:firstLine="420" w:firstLineChars="200"/>
              <w:rPr>
                <w:szCs w:val="21"/>
              </w:rPr>
            </w:pPr>
            <w:r>
              <w:rPr>
                <w:szCs w:val="21"/>
              </w:rPr>
              <w:t>本项目总投资</w:t>
            </w:r>
            <w:r>
              <w:rPr>
                <w:rFonts w:hint="eastAsia"/>
                <w:szCs w:val="21"/>
                <w:lang w:val="en-US" w:eastAsia="zh-CN"/>
              </w:rPr>
              <w:t>300</w:t>
            </w:r>
            <w:r>
              <w:rPr>
                <w:szCs w:val="21"/>
              </w:rPr>
              <w:t>万元，环保投资</w:t>
            </w:r>
            <w:r>
              <w:rPr>
                <w:rFonts w:hint="eastAsia"/>
                <w:szCs w:val="21"/>
              </w:rPr>
              <w:t>10</w:t>
            </w:r>
            <w:r>
              <w:rPr>
                <w:szCs w:val="21"/>
              </w:rPr>
              <w:t>万元，环保总投资占项目总投资的</w:t>
            </w:r>
            <w:r>
              <w:rPr>
                <w:rFonts w:hint="eastAsia"/>
                <w:szCs w:val="21"/>
                <w:lang w:val="en-US" w:eastAsia="zh-CN"/>
              </w:rPr>
              <w:t>3.33</w:t>
            </w:r>
            <w:r>
              <w:rPr>
                <w:szCs w:val="21"/>
              </w:rPr>
              <w:t>%。环保投资详见表</w:t>
            </w:r>
            <w:r>
              <w:rPr>
                <w:rFonts w:hint="eastAsia"/>
                <w:szCs w:val="21"/>
                <w:lang w:val="en-US" w:eastAsia="zh-CN"/>
              </w:rPr>
              <w:t>27</w:t>
            </w:r>
            <w:r>
              <w:rPr>
                <w:szCs w:val="21"/>
              </w:rPr>
              <w:t>。</w:t>
            </w:r>
          </w:p>
          <w:p>
            <w:pPr>
              <w:pStyle w:val="21"/>
              <w:rPr>
                <w:szCs w:val="21"/>
              </w:rPr>
            </w:pPr>
          </w:p>
          <w:p/>
          <w:p>
            <w:pPr>
              <w:pStyle w:val="2"/>
            </w:pPr>
          </w:p>
          <w:p/>
          <w:p>
            <w:pPr>
              <w:pStyle w:val="32"/>
            </w:pPr>
            <w:r>
              <w:t>环保投资一览表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97"/>
              <w:gridCol w:w="4829"/>
              <w:gridCol w:w="20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940" w:type="pct"/>
                  <w:tcBorders>
                    <w:tl2br w:val="nil"/>
                    <w:tr2bl w:val="nil"/>
                  </w:tcBorders>
                  <w:vAlign w:val="center"/>
                </w:tcPr>
                <w:p>
                  <w:pPr>
                    <w:jc w:val="center"/>
                    <w:rPr>
                      <w:szCs w:val="21"/>
                    </w:rPr>
                  </w:pPr>
                  <w:r>
                    <w:rPr>
                      <w:szCs w:val="21"/>
                    </w:rPr>
                    <w:t>治理项目</w:t>
                  </w:r>
                </w:p>
              </w:tc>
              <w:tc>
                <w:tcPr>
                  <w:tcW w:w="2843" w:type="pct"/>
                  <w:tcBorders>
                    <w:tl2br w:val="nil"/>
                    <w:tr2bl w:val="nil"/>
                  </w:tcBorders>
                  <w:vAlign w:val="center"/>
                </w:tcPr>
                <w:p>
                  <w:pPr>
                    <w:jc w:val="center"/>
                    <w:rPr>
                      <w:szCs w:val="21"/>
                    </w:rPr>
                  </w:pPr>
                  <w:r>
                    <w:rPr>
                      <w:szCs w:val="21"/>
                    </w:rPr>
                    <w:t>治理措施</w:t>
                  </w:r>
                </w:p>
              </w:tc>
              <w:tc>
                <w:tcPr>
                  <w:tcW w:w="1217" w:type="pct"/>
                  <w:tcBorders>
                    <w:tl2br w:val="nil"/>
                    <w:tr2bl w:val="nil"/>
                  </w:tcBorders>
                  <w:vAlign w:val="center"/>
                </w:tcPr>
                <w:p>
                  <w:pPr>
                    <w:jc w:val="center"/>
                    <w:rPr>
                      <w:szCs w:val="21"/>
                    </w:rPr>
                  </w:pPr>
                  <w:r>
                    <w:rPr>
                      <w:szCs w:val="21"/>
                    </w:rPr>
                    <w:t>环保投资（万元）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940" w:type="pct"/>
                  <w:tcBorders>
                    <w:tl2br w:val="nil"/>
                    <w:tr2bl w:val="nil"/>
                  </w:tcBorders>
                  <w:vAlign w:val="center"/>
                </w:tcPr>
                <w:p>
                  <w:pPr>
                    <w:jc w:val="center"/>
                    <w:rPr>
                      <w:szCs w:val="21"/>
                    </w:rPr>
                  </w:pPr>
                  <w:r>
                    <w:rPr>
                      <w:rFonts w:hint="eastAsia"/>
                      <w:szCs w:val="21"/>
                    </w:rPr>
                    <w:t>废气</w:t>
                  </w:r>
                </w:p>
              </w:tc>
              <w:tc>
                <w:tcPr>
                  <w:tcW w:w="4723" w:type="dxa"/>
                  <w:tcBorders>
                    <w:tl2br w:val="nil"/>
                    <w:tr2bl w:val="nil"/>
                  </w:tcBorders>
                  <w:vAlign w:val="center"/>
                </w:tcPr>
                <w:p>
                  <w:pPr>
                    <w:jc w:val="center"/>
                    <w:rPr>
                      <w:szCs w:val="21"/>
                    </w:rPr>
                  </w:pPr>
                  <w:r>
                    <w:rPr>
                      <w:rFonts w:hint="eastAsia"/>
                      <w:szCs w:val="21"/>
                      <w:lang w:val="en-US" w:eastAsia="zh-CN"/>
                    </w:rPr>
                    <w:t>活性炭吸附装置；</w:t>
                  </w:r>
                  <w:r>
                    <w:rPr>
                      <w:rFonts w:hint="eastAsia"/>
                      <w:szCs w:val="21"/>
                    </w:rPr>
                    <w:t>HEPA过滤</w:t>
                  </w:r>
                  <w:r>
                    <w:rPr>
                      <w:rFonts w:hint="eastAsia"/>
                    </w:rPr>
                    <w:t>器；污水处理间各处理单元密闭加盖，定时投加除臭剂</w:t>
                  </w:r>
                </w:p>
              </w:tc>
              <w:tc>
                <w:tcPr>
                  <w:tcW w:w="2022" w:type="dxa"/>
                  <w:tcBorders>
                    <w:tl2br w:val="nil"/>
                    <w:tr2bl w:val="nil"/>
                  </w:tcBorders>
                  <w:vAlign w:val="center"/>
                </w:tcPr>
                <w:p>
                  <w:pPr>
                    <w:jc w:val="center"/>
                    <w:rPr>
                      <w:szCs w:val="21"/>
                    </w:rPr>
                  </w:pPr>
                  <w:r>
                    <w:rPr>
                      <w:rFonts w:hint="eastAsia"/>
                      <w:szCs w:val="21"/>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0" w:type="pct"/>
                  <w:tcBorders>
                    <w:tl2br w:val="nil"/>
                    <w:tr2bl w:val="nil"/>
                  </w:tcBorders>
                  <w:vAlign w:val="center"/>
                </w:tcPr>
                <w:p>
                  <w:pPr>
                    <w:jc w:val="center"/>
                    <w:rPr>
                      <w:szCs w:val="21"/>
                    </w:rPr>
                  </w:pPr>
                  <w:r>
                    <w:rPr>
                      <w:szCs w:val="21"/>
                    </w:rPr>
                    <w:t>噪声</w:t>
                  </w:r>
                </w:p>
              </w:tc>
              <w:tc>
                <w:tcPr>
                  <w:tcW w:w="2843" w:type="pct"/>
                  <w:tcBorders>
                    <w:tl2br w:val="nil"/>
                    <w:tr2bl w:val="nil"/>
                  </w:tcBorders>
                  <w:vAlign w:val="center"/>
                </w:tcPr>
                <w:p>
                  <w:pPr>
                    <w:jc w:val="center"/>
                    <w:rPr>
                      <w:szCs w:val="21"/>
                    </w:rPr>
                  </w:pPr>
                  <w:r>
                    <w:rPr>
                      <w:szCs w:val="21"/>
                    </w:rPr>
                    <w:t>实验室封闭、减震、选用低噪声设备</w:t>
                  </w:r>
                </w:p>
              </w:tc>
              <w:tc>
                <w:tcPr>
                  <w:tcW w:w="1217" w:type="pct"/>
                  <w:tcBorders>
                    <w:tl2br w:val="nil"/>
                    <w:tr2bl w:val="nil"/>
                  </w:tcBorders>
                  <w:vAlign w:val="center"/>
                </w:tcPr>
                <w:p>
                  <w:pPr>
                    <w:jc w:val="center"/>
                    <w:rPr>
                      <w:szCs w:val="21"/>
                    </w:rPr>
                  </w:pPr>
                  <w:r>
                    <w:rPr>
                      <w:rFonts w:hint="eastAsia"/>
                      <w:szCs w:val="21"/>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0" w:type="pct"/>
                  <w:tcBorders>
                    <w:tl2br w:val="nil"/>
                    <w:tr2bl w:val="nil"/>
                  </w:tcBorders>
                  <w:vAlign w:val="center"/>
                </w:tcPr>
                <w:p>
                  <w:pPr>
                    <w:jc w:val="center"/>
                    <w:rPr>
                      <w:szCs w:val="21"/>
                    </w:rPr>
                  </w:pPr>
                  <w:r>
                    <w:rPr>
                      <w:szCs w:val="21"/>
                    </w:rPr>
                    <w:t>废水</w:t>
                  </w:r>
                </w:p>
              </w:tc>
              <w:tc>
                <w:tcPr>
                  <w:tcW w:w="4723" w:type="dxa"/>
                  <w:tcBorders>
                    <w:tl2br w:val="nil"/>
                    <w:tr2bl w:val="nil"/>
                  </w:tcBorders>
                  <w:vAlign w:val="center"/>
                </w:tcPr>
                <w:p>
                  <w:pPr>
                    <w:jc w:val="center"/>
                    <w:rPr>
                      <w:szCs w:val="21"/>
                    </w:rPr>
                  </w:pPr>
                  <w:r>
                    <w:rPr>
                      <w:rFonts w:hint="eastAsia"/>
                      <w:szCs w:val="21"/>
                    </w:rPr>
                    <w:t>污水处理设备</w:t>
                  </w:r>
                </w:p>
              </w:tc>
              <w:tc>
                <w:tcPr>
                  <w:tcW w:w="2022" w:type="dxa"/>
                  <w:tcBorders>
                    <w:tl2br w:val="nil"/>
                    <w:tr2bl w:val="nil"/>
                  </w:tcBorders>
                  <w:vAlign w:val="center"/>
                </w:tcPr>
                <w:p>
                  <w:pPr>
                    <w:jc w:val="center"/>
                    <w:rPr>
                      <w:szCs w:val="21"/>
                    </w:rPr>
                  </w:pPr>
                  <w:r>
                    <w:rPr>
                      <w:rFonts w:hint="eastAsia"/>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940" w:type="pct"/>
                  <w:tcBorders>
                    <w:tl2br w:val="nil"/>
                    <w:tr2bl w:val="nil"/>
                  </w:tcBorders>
                  <w:vAlign w:val="center"/>
                </w:tcPr>
                <w:p>
                  <w:pPr>
                    <w:jc w:val="center"/>
                    <w:rPr>
                      <w:szCs w:val="21"/>
                    </w:rPr>
                  </w:pPr>
                  <w:r>
                    <w:rPr>
                      <w:szCs w:val="21"/>
                    </w:rPr>
                    <w:t>固体废物</w:t>
                  </w:r>
                </w:p>
              </w:tc>
              <w:tc>
                <w:tcPr>
                  <w:tcW w:w="2843" w:type="pct"/>
                  <w:tcBorders>
                    <w:tl2br w:val="nil"/>
                    <w:tr2bl w:val="nil"/>
                  </w:tcBorders>
                  <w:vAlign w:val="center"/>
                </w:tcPr>
                <w:p>
                  <w:pPr>
                    <w:jc w:val="center"/>
                    <w:rPr>
                      <w:szCs w:val="21"/>
                    </w:rPr>
                  </w:pPr>
                  <w:r>
                    <w:rPr>
                      <w:rFonts w:hint="eastAsia"/>
                      <w:szCs w:val="21"/>
                      <w:lang w:val="en-US" w:eastAsia="zh-CN"/>
                    </w:rPr>
                    <w:t>危废</w:t>
                  </w:r>
                  <w:r>
                    <w:rPr>
                      <w:rFonts w:hint="eastAsia"/>
                      <w:szCs w:val="21"/>
                    </w:rPr>
                    <w:t>暂存间</w:t>
                  </w:r>
                </w:p>
              </w:tc>
              <w:tc>
                <w:tcPr>
                  <w:tcW w:w="1217" w:type="pct"/>
                  <w:tcBorders>
                    <w:tl2br w:val="nil"/>
                    <w:tr2bl w:val="nil"/>
                  </w:tcBorders>
                  <w:vAlign w:val="center"/>
                </w:tcPr>
                <w:p>
                  <w:pPr>
                    <w:jc w:val="center"/>
                    <w:rPr>
                      <w:szCs w:val="21"/>
                    </w:rPr>
                  </w:pPr>
                  <w:r>
                    <w:rPr>
                      <w:rFonts w:hint="eastAsia"/>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10" w:hRule="atLeast"/>
                <w:jc w:val="center"/>
              </w:trPr>
              <w:tc>
                <w:tcPr>
                  <w:tcW w:w="940" w:type="pct"/>
                  <w:tcBorders>
                    <w:tl2br w:val="nil"/>
                    <w:tr2bl w:val="nil"/>
                  </w:tcBorders>
                  <w:vAlign w:val="center"/>
                </w:tcPr>
                <w:p>
                  <w:pPr>
                    <w:jc w:val="center"/>
                    <w:rPr>
                      <w:szCs w:val="21"/>
                    </w:rPr>
                  </w:pPr>
                  <w:r>
                    <w:rPr>
                      <w:szCs w:val="21"/>
                    </w:rPr>
                    <w:t>运营维护费用</w:t>
                  </w:r>
                </w:p>
              </w:tc>
              <w:tc>
                <w:tcPr>
                  <w:tcW w:w="2843" w:type="pct"/>
                  <w:tcBorders>
                    <w:tl2br w:val="nil"/>
                    <w:tr2bl w:val="nil"/>
                  </w:tcBorders>
                  <w:vAlign w:val="center"/>
                </w:tcPr>
                <w:p>
                  <w:pPr>
                    <w:jc w:val="center"/>
                    <w:rPr>
                      <w:szCs w:val="21"/>
                    </w:rPr>
                  </w:pPr>
                  <w:r>
                    <w:rPr>
                      <w:szCs w:val="21"/>
                    </w:rPr>
                    <w:t>环保设施运行维护费用</w:t>
                  </w:r>
                </w:p>
              </w:tc>
              <w:tc>
                <w:tcPr>
                  <w:tcW w:w="1217" w:type="pct"/>
                  <w:tcBorders>
                    <w:tl2br w:val="nil"/>
                    <w:tr2bl w:val="nil"/>
                  </w:tcBorders>
                  <w:vAlign w:val="center"/>
                </w:tcPr>
                <w:p>
                  <w:pPr>
                    <w:jc w:val="center"/>
                    <w:rPr>
                      <w:szCs w:val="21"/>
                    </w:rPr>
                  </w:pPr>
                  <w:r>
                    <w:rPr>
                      <w:rFonts w:hint="eastAsia"/>
                      <w:szCs w:val="21"/>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940" w:type="pct"/>
                  <w:tcBorders>
                    <w:tl2br w:val="nil"/>
                    <w:tr2bl w:val="nil"/>
                  </w:tcBorders>
                  <w:vAlign w:val="center"/>
                </w:tcPr>
                <w:p>
                  <w:pPr>
                    <w:jc w:val="center"/>
                    <w:rPr>
                      <w:szCs w:val="21"/>
                    </w:rPr>
                  </w:pPr>
                  <w:r>
                    <w:rPr>
                      <w:szCs w:val="21"/>
                    </w:rPr>
                    <w:t>环保投资</w:t>
                  </w:r>
                </w:p>
              </w:tc>
              <w:tc>
                <w:tcPr>
                  <w:tcW w:w="4060" w:type="pct"/>
                  <w:gridSpan w:val="2"/>
                  <w:tcBorders>
                    <w:tl2br w:val="nil"/>
                    <w:tr2bl w:val="nil"/>
                  </w:tcBorders>
                  <w:vAlign w:val="center"/>
                </w:tcPr>
                <w:p>
                  <w:pPr>
                    <w:jc w:val="center"/>
                    <w:rPr>
                      <w:szCs w:val="21"/>
                    </w:rPr>
                  </w:pPr>
                  <w:r>
                    <w:rPr>
                      <w:rFonts w:hint="eastAsia"/>
                      <w:szCs w:val="21"/>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0" w:type="pct"/>
                  <w:tcBorders>
                    <w:tl2br w:val="nil"/>
                    <w:tr2bl w:val="nil"/>
                  </w:tcBorders>
                  <w:vAlign w:val="center"/>
                </w:tcPr>
                <w:p>
                  <w:pPr>
                    <w:jc w:val="center"/>
                    <w:rPr>
                      <w:szCs w:val="21"/>
                    </w:rPr>
                  </w:pPr>
                  <w:r>
                    <w:rPr>
                      <w:szCs w:val="21"/>
                    </w:rPr>
                    <w:t>总投资</w:t>
                  </w:r>
                </w:p>
              </w:tc>
              <w:tc>
                <w:tcPr>
                  <w:tcW w:w="4060" w:type="pct"/>
                  <w:gridSpan w:val="2"/>
                  <w:tcBorders>
                    <w:tl2br w:val="nil"/>
                    <w:tr2bl w:val="nil"/>
                  </w:tcBorders>
                  <w:vAlign w:val="center"/>
                </w:tcPr>
                <w:p>
                  <w:pPr>
                    <w:jc w:val="center"/>
                    <w:rPr>
                      <w:rFonts w:hint="default" w:eastAsia="宋体"/>
                      <w:szCs w:val="21"/>
                      <w:lang w:val="en-US" w:eastAsia="zh-CN"/>
                    </w:rPr>
                  </w:pPr>
                  <w:r>
                    <w:rPr>
                      <w:rFonts w:hint="eastAsia"/>
                      <w:szCs w:val="21"/>
                      <w:lang w:val="en-US" w:eastAsia="zh-CN"/>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68" w:hRule="atLeast"/>
                <w:jc w:val="center"/>
              </w:trPr>
              <w:tc>
                <w:tcPr>
                  <w:tcW w:w="940" w:type="pct"/>
                  <w:tcBorders>
                    <w:tl2br w:val="nil"/>
                    <w:tr2bl w:val="nil"/>
                  </w:tcBorders>
                  <w:vAlign w:val="center"/>
                </w:tcPr>
                <w:p>
                  <w:pPr>
                    <w:jc w:val="center"/>
                    <w:rPr>
                      <w:szCs w:val="21"/>
                    </w:rPr>
                  </w:pPr>
                  <w:r>
                    <w:rPr>
                      <w:szCs w:val="21"/>
                    </w:rPr>
                    <w:t>环保投资比</w:t>
                  </w:r>
                </w:p>
              </w:tc>
              <w:tc>
                <w:tcPr>
                  <w:tcW w:w="4060" w:type="pct"/>
                  <w:gridSpan w:val="2"/>
                  <w:tcBorders>
                    <w:tl2br w:val="nil"/>
                    <w:tr2bl w:val="nil"/>
                  </w:tcBorders>
                  <w:vAlign w:val="center"/>
                </w:tcPr>
                <w:p>
                  <w:pPr>
                    <w:widowControl/>
                    <w:jc w:val="center"/>
                    <w:textAlignment w:val="center"/>
                    <w:rPr>
                      <w:rFonts w:hint="default" w:eastAsia="宋体"/>
                      <w:sz w:val="22"/>
                      <w:lang w:val="en-US" w:eastAsia="zh-CN"/>
                    </w:rPr>
                  </w:pPr>
                  <w:r>
                    <w:rPr>
                      <w:rFonts w:hint="eastAsia"/>
                      <w:kern w:val="0"/>
                      <w:szCs w:val="21"/>
                      <w:lang w:val="en-US" w:eastAsia="zh-CN"/>
                    </w:rPr>
                    <w:t>3.33</w:t>
                  </w:r>
                </w:p>
              </w:tc>
            </w:tr>
          </w:tbl>
          <w:p>
            <w:pPr>
              <w:widowControl/>
              <w:spacing w:line="360" w:lineRule="auto"/>
              <w:ind w:firstLine="422" w:firstLineChars="200"/>
              <w:jc w:val="left"/>
              <w:rPr>
                <w:b/>
                <w:kern w:val="0"/>
                <w:szCs w:val="21"/>
              </w:rPr>
            </w:pPr>
            <w:r>
              <w:rPr>
                <w:rFonts w:hint="eastAsia"/>
                <w:b/>
                <w:kern w:val="0"/>
                <w:szCs w:val="21"/>
              </w:rPr>
              <w:t>7、防渗要求</w:t>
            </w:r>
          </w:p>
          <w:p>
            <w:pPr>
              <w:adjustRightInd w:val="0"/>
              <w:snapToGrid w:val="0"/>
              <w:spacing w:line="360" w:lineRule="auto"/>
              <w:ind w:firstLine="420" w:firstLineChars="200"/>
            </w:pPr>
            <w:r>
              <w:rPr>
                <w:rFonts w:hint="eastAsia"/>
              </w:rPr>
              <w:t>本项目设医疗废物暂存间，参照医疗废物贮存要求中防渗等级要求，将医疗废物暂存间划定为重点防渗区域；本工程医疗废物暂存间地面及裙脚采用 2mm 厚的高密度聚乙烯，渗透系数 K=1×10</w:t>
            </w:r>
            <w:r>
              <w:rPr>
                <w:rFonts w:hint="eastAsia"/>
                <w:vertAlign w:val="superscript"/>
              </w:rPr>
              <w:t>-10</w:t>
            </w:r>
            <w:r>
              <w:rPr>
                <w:rFonts w:hint="eastAsia"/>
              </w:rPr>
              <w:t>cm/s 防渗层的渗透量，地面采用坚固、防渗、耐腐蚀的材料建造，采用 2mm 厚的高密度聚乙烯，渗透系数≤1.0×10</w:t>
            </w:r>
            <w:r>
              <w:rPr>
                <w:rFonts w:hint="eastAsia"/>
                <w:vertAlign w:val="superscript"/>
              </w:rPr>
              <w:t>-10</w:t>
            </w:r>
            <w:r>
              <w:rPr>
                <w:rFonts w:hint="eastAsia"/>
              </w:rPr>
              <w:t>cm/s，暂存间外贴明显标示。防渗能力满足</w:t>
            </w:r>
            <w:r>
              <w:rPr>
                <w:szCs w:val="21"/>
              </w:rPr>
              <w:t>《危险废物贮存污染控制标准》（GB18597-2001）及其修改单要求</w:t>
            </w:r>
            <w:r>
              <w:rPr>
                <w:rFonts w:hint="eastAsia"/>
              </w:rPr>
              <w:t>。</w:t>
            </w:r>
          </w:p>
          <w:p>
            <w:pPr>
              <w:adjustRightInd w:val="0"/>
              <w:snapToGrid w:val="0"/>
              <w:spacing w:line="360" w:lineRule="auto"/>
              <w:ind w:firstLine="382" w:firstLineChars="200"/>
              <w:rPr>
                <w:rFonts w:cs="宋体"/>
                <w:b/>
                <w:bCs/>
                <w:spacing w:val="-10"/>
                <w:szCs w:val="21"/>
              </w:rPr>
            </w:pPr>
          </w:p>
        </w:tc>
      </w:tr>
    </w:tbl>
    <w:p>
      <w:pPr>
        <w:adjustRightInd w:val="0"/>
        <w:snapToGrid w:val="0"/>
        <w:spacing w:line="360" w:lineRule="auto"/>
        <w:rPr>
          <w:rFonts w:cs="宋体"/>
          <w:b/>
          <w:kern w:val="0"/>
          <w:sz w:val="28"/>
          <w:szCs w:val="28"/>
        </w:rPr>
        <w:sectPr>
          <w:pgSz w:w="11907" w:h="16840"/>
          <w:pgMar w:top="1440" w:right="1440" w:bottom="1440" w:left="1440" w:header="851" w:footer="851" w:gutter="0"/>
          <w:pgBorders>
            <w:top w:val="none" w:sz="0" w:space="0"/>
            <w:left w:val="none" w:sz="0" w:space="0"/>
            <w:bottom w:val="none" w:sz="0" w:space="0"/>
            <w:right w:val="none" w:sz="0" w:space="0"/>
          </w:pgBorders>
          <w:cols w:space="720" w:num="1"/>
          <w:docGrid w:linePitch="312" w:charSpace="0"/>
        </w:sectPr>
      </w:pPr>
    </w:p>
    <w:p>
      <w:pPr>
        <w:pStyle w:val="43"/>
        <w:spacing w:before="240" w:after="240"/>
        <w:outlineLvl w:val="0"/>
      </w:pPr>
      <w:r>
        <w:rPr>
          <w:rFonts w:hint="eastAsia"/>
        </w:rPr>
        <w:t>五、</w:t>
      </w:r>
      <w:bookmarkStart w:id="8" w:name="_Hlk54167917"/>
      <w:r>
        <w:rPr>
          <w:rFonts w:hint="eastAsia"/>
        </w:rPr>
        <w:t>环境保护措施监督检查清单</w:t>
      </w:r>
      <w:bookmarkEnd w:id="8"/>
    </w:p>
    <w:tbl>
      <w:tblPr>
        <w:tblStyle w:val="26"/>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Layout w:type="fixed"/>
        <w:tblCellMar>
          <w:top w:w="0" w:type="dxa"/>
          <w:left w:w="108" w:type="dxa"/>
          <w:bottom w:w="0" w:type="dxa"/>
          <w:right w:w="108" w:type="dxa"/>
        </w:tblCellMar>
      </w:tblPr>
      <w:tblGrid>
        <w:gridCol w:w="1659"/>
        <w:gridCol w:w="1444"/>
        <w:gridCol w:w="1828"/>
        <w:gridCol w:w="2135"/>
        <w:gridCol w:w="2176"/>
      </w:tblGrid>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1077" w:hRule="atLeast"/>
          <w:jc w:val="center"/>
        </w:trPr>
        <w:tc>
          <w:tcPr>
            <w:tcW w:w="897" w:type="pct"/>
            <w:tcBorders>
              <w:tl2br w:val="single" w:color="auto" w:sz="4" w:space="0"/>
            </w:tcBorders>
            <w:noWrap/>
          </w:tcPr>
          <w:p>
            <w:pPr>
              <w:pStyle w:val="22"/>
              <w:adjustRightInd w:val="0"/>
              <w:snapToGrid w:val="0"/>
              <w:jc w:val="center"/>
              <w:rPr>
                <w:rFonts w:cs="宋体"/>
                <w:kern w:val="21"/>
                <w:sz w:val="21"/>
                <w:szCs w:val="21"/>
              </w:rPr>
            </w:pPr>
            <w:r>
              <w:rPr>
                <w:rFonts w:hint="eastAsia" w:cs="宋体"/>
                <w:kern w:val="21"/>
                <w:sz w:val="21"/>
                <w:szCs w:val="21"/>
              </w:rPr>
              <w:t xml:space="preserve">      内容</w:t>
            </w:r>
          </w:p>
          <w:p>
            <w:pPr>
              <w:pStyle w:val="22"/>
              <w:adjustRightInd w:val="0"/>
              <w:snapToGrid w:val="0"/>
              <w:rPr>
                <w:rFonts w:cs="宋体"/>
                <w:kern w:val="21"/>
                <w:sz w:val="21"/>
                <w:szCs w:val="21"/>
              </w:rPr>
            </w:pPr>
          </w:p>
          <w:p>
            <w:pPr>
              <w:pStyle w:val="22"/>
              <w:adjustRightInd w:val="0"/>
              <w:snapToGrid w:val="0"/>
              <w:rPr>
                <w:rFonts w:cs="宋体"/>
                <w:kern w:val="21"/>
                <w:sz w:val="21"/>
                <w:szCs w:val="21"/>
              </w:rPr>
            </w:pPr>
            <w:r>
              <w:rPr>
                <w:rFonts w:hint="eastAsia" w:cs="宋体"/>
                <w:kern w:val="21"/>
                <w:sz w:val="21"/>
                <w:szCs w:val="21"/>
              </w:rPr>
              <w:t>要素</w:t>
            </w:r>
          </w:p>
        </w:tc>
        <w:tc>
          <w:tcPr>
            <w:tcW w:w="781" w:type="pct"/>
            <w:noWrap/>
            <w:vAlign w:val="center"/>
          </w:tcPr>
          <w:p>
            <w:pPr>
              <w:pStyle w:val="22"/>
              <w:adjustRightInd w:val="0"/>
              <w:snapToGrid w:val="0"/>
              <w:rPr>
                <w:rFonts w:cs="宋体"/>
                <w:kern w:val="21"/>
                <w:sz w:val="21"/>
                <w:szCs w:val="21"/>
              </w:rPr>
            </w:pPr>
            <w:r>
              <w:rPr>
                <w:rFonts w:hint="eastAsia" w:cs="宋体"/>
                <w:kern w:val="21"/>
                <w:sz w:val="21"/>
                <w:szCs w:val="21"/>
              </w:rPr>
              <w:t>排放口（编号、名称）/污染源</w:t>
            </w:r>
          </w:p>
        </w:tc>
        <w:tc>
          <w:tcPr>
            <w:tcW w:w="988" w:type="pct"/>
            <w:noWrap/>
            <w:vAlign w:val="center"/>
          </w:tcPr>
          <w:p>
            <w:pPr>
              <w:pStyle w:val="22"/>
              <w:adjustRightInd w:val="0"/>
              <w:snapToGrid w:val="0"/>
              <w:jc w:val="center"/>
              <w:rPr>
                <w:rFonts w:cs="宋体"/>
                <w:kern w:val="21"/>
                <w:sz w:val="21"/>
                <w:szCs w:val="21"/>
              </w:rPr>
            </w:pPr>
            <w:r>
              <w:rPr>
                <w:rFonts w:hint="eastAsia" w:cs="宋体"/>
                <w:kern w:val="21"/>
                <w:sz w:val="21"/>
                <w:szCs w:val="21"/>
              </w:rPr>
              <w:t>污染物项目</w:t>
            </w:r>
          </w:p>
        </w:tc>
        <w:tc>
          <w:tcPr>
            <w:tcW w:w="1155" w:type="pct"/>
            <w:noWrap/>
            <w:vAlign w:val="center"/>
          </w:tcPr>
          <w:p>
            <w:pPr>
              <w:pStyle w:val="22"/>
              <w:adjustRightInd w:val="0"/>
              <w:snapToGrid w:val="0"/>
              <w:jc w:val="center"/>
              <w:rPr>
                <w:rFonts w:cs="宋体"/>
                <w:kern w:val="21"/>
                <w:sz w:val="21"/>
                <w:szCs w:val="21"/>
              </w:rPr>
            </w:pPr>
            <w:r>
              <w:rPr>
                <w:rFonts w:hint="eastAsia" w:cs="宋体"/>
                <w:kern w:val="21"/>
                <w:sz w:val="21"/>
                <w:szCs w:val="21"/>
              </w:rPr>
              <w:t>环境保护措施</w:t>
            </w:r>
          </w:p>
        </w:tc>
        <w:tc>
          <w:tcPr>
            <w:tcW w:w="1177" w:type="pct"/>
            <w:noWrap/>
            <w:vAlign w:val="center"/>
          </w:tcPr>
          <w:p>
            <w:pPr>
              <w:pStyle w:val="22"/>
              <w:adjustRightInd w:val="0"/>
              <w:snapToGrid w:val="0"/>
              <w:jc w:val="center"/>
              <w:rPr>
                <w:rFonts w:cs="宋体"/>
                <w:kern w:val="21"/>
                <w:sz w:val="21"/>
                <w:szCs w:val="21"/>
              </w:rPr>
            </w:pPr>
            <w:r>
              <w:rPr>
                <w:rFonts w:hint="eastAsia" w:cs="宋体"/>
                <w:kern w:val="21"/>
                <w:sz w:val="21"/>
                <w:szCs w:val="21"/>
              </w:rPr>
              <w:t>执行标准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82" w:hRule="atLeast"/>
          <w:jc w:val="center"/>
        </w:trPr>
        <w:tc>
          <w:tcPr>
            <w:tcW w:w="897" w:type="pct"/>
            <w:vMerge w:val="restart"/>
            <w:noWrap/>
            <w:vAlign w:val="center"/>
          </w:tcPr>
          <w:p>
            <w:pPr>
              <w:adjustRightInd w:val="0"/>
              <w:snapToGrid w:val="0"/>
              <w:jc w:val="center"/>
              <w:rPr>
                <w:rFonts w:cs="宋体"/>
                <w:kern w:val="21"/>
                <w:szCs w:val="21"/>
              </w:rPr>
            </w:pPr>
            <w:r>
              <w:rPr>
                <w:rFonts w:hint="eastAsia" w:cs="宋体"/>
                <w:kern w:val="21"/>
                <w:szCs w:val="21"/>
              </w:rPr>
              <w:t>大气环境</w:t>
            </w:r>
          </w:p>
        </w:tc>
        <w:tc>
          <w:tcPr>
            <w:tcW w:w="781" w:type="pct"/>
            <w:vMerge w:val="restart"/>
            <w:noWrap/>
            <w:vAlign w:val="center"/>
          </w:tcPr>
          <w:p>
            <w:pPr>
              <w:adjustRightInd w:val="0"/>
              <w:snapToGrid w:val="0"/>
              <w:jc w:val="center"/>
              <w:rPr>
                <w:rFonts w:cs="宋体"/>
                <w:kern w:val="21"/>
                <w:szCs w:val="21"/>
              </w:rPr>
            </w:pPr>
            <w:r>
              <w:rPr>
                <w:rFonts w:hint="eastAsia" w:cs="宋体"/>
                <w:kern w:val="21"/>
                <w:szCs w:val="21"/>
              </w:rPr>
              <w:t>污水处理站周边</w:t>
            </w:r>
          </w:p>
        </w:tc>
        <w:tc>
          <w:tcPr>
            <w:tcW w:w="988" w:type="pct"/>
            <w:noWrap/>
            <w:vAlign w:val="center"/>
          </w:tcPr>
          <w:p>
            <w:pPr>
              <w:adjustRightInd w:val="0"/>
              <w:snapToGrid w:val="0"/>
              <w:jc w:val="center"/>
              <w:rPr>
                <w:kern w:val="21"/>
                <w:szCs w:val="21"/>
              </w:rPr>
            </w:pPr>
            <w:r>
              <w:rPr>
                <w:szCs w:val="21"/>
              </w:rPr>
              <w:t>NH</w:t>
            </w:r>
            <w:r>
              <w:rPr>
                <w:szCs w:val="21"/>
                <w:vertAlign w:val="subscript"/>
              </w:rPr>
              <w:t>3</w:t>
            </w:r>
          </w:p>
        </w:tc>
        <w:tc>
          <w:tcPr>
            <w:tcW w:w="1155" w:type="pct"/>
            <w:vMerge w:val="restart"/>
            <w:noWrap/>
            <w:vAlign w:val="center"/>
          </w:tcPr>
          <w:p>
            <w:pPr>
              <w:adjustRightInd w:val="0"/>
              <w:snapToGrid w:val="0"/>
              <w:jc w:val="center"/>
              <w:rPr>
                <w:rFonts w:cs="宋体"/>
                <w:kern w:val="21"/>
                <w:szCs w:val="21"/>
              </w:rPr>
            </w:pPr>
            <w:r>
              <w:rPr>
                <w:rFonts w:hint="eastAsia" w:cs="宋体"/>
                <w:kern w:val="21"/>
                <w:szCs w:val="21"/>
              </w:rPr>
              <w:t>污水处理间各处理单元密闭加盖，定时投加除臭剂。</w:t>
            </w:r>
          </w:p>
        </w:tc>
        <w:tc>
          <w:tcPr>
            <w:tcW w:w="1177" w:type="pct"/>
            <w:vMerge w:val="restart"/>
            <w:noWrap/>
            <w:vAlign w:val="center"/>
          </w:tcPr>
          <w:p>
            <w:pPr>
              <w:adjustRightInd w:val="0"/>
              <w:snapToGrid w:val="0"/>
              <w:jc w:val="center"/>
              <w:rPr>
                <w:rFonts w:cs="宋体"/>
                <w:kern w:val="21"/>
                <w:szCs w:val="21"/>
              </w:rPr>
            </w:pPr>
            <w:r>
              <w:rPr>
                <w:rFonts w:hint="eastAsia" w:cs="宋体"/>
                <w:kern w:val="21"/>
                <w:szCs w:val="21"/>
              </w:rPr>
              <w:t>《医疗机构水污染物排放标准》（GB18466-2005）中表3 污水处理站周边大气污染物最高允许浓度</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82" w:hRule="atLeast"/>
          <w:jc w:val="center"/>
        </w:trPr>
        <w:tc>
          <w:tcPr>
            <w:tcW w:w="897" w:type="pct"/>
            <w:vMerge w:val="continue"/>
            <w:noWrap/>
            <w:vAlign w:val="center"/>
          </w:tcPr>
          <w:p>
            <w:pPr>
              <w:adjustRightInd w:val="0"/>
              <w:snapToGrid w:val="0"/>
              <w:jc w:val="center"/>
              <w:rPr>
                <w:rFonts w:cs="宋体"/>
                <w:kern w:val="21"/>
                <w:szCs w:val="21"/>
              </w:rPr>
            </w:pPr>
          </w:p>
        </w:tc>
        <w:tc>
          <w:tcPr>
            <w:tcW w:w="781" w:type="pct"/>
            <w:vMerge w:val="continue"/>
            <w:noWrap/>
            <w:vAlign w:val="center"/>
          </w:tcPr>
          <w:p>
            <w:pPr>
              <w:adjustRightInd w:val="0"/>
              <w:snapToGrid w:val="0"/>
              <w:jc w:val="center"/>
              <w:rPr>
                <w:rFonts w:cs="宋体"/>
                <w:kern w:val="21"/>
                <w:szCs w:val="21"/>
              </w:rPr>
            </w:pPr>
          </w:p>
        </w:tc>
        <w:tc>
          <w:tcPr>
            <w:tcW w:w="988" w:type="pct"/>
            <w:noWrap/>
            <w:vAlign w:val="center"/>
          </w:tcPr>
          <w:p>
            <w:pPr>
              <w:adjustRightInd w:val="0"/>
              <w:snapToGrid w:val="0"/>
              <w:jc w:val="center"/>
              <w:rPr>
                <w:kern w:val="21"/>
                <w:szCs w:val="21"/>
              </w:rPr>
            </w:pPr>
            <w:r>
              <w:rPr>
                <w:szCs w:val="21"/>
              </w:rPr>
              <w:t>H</w:t>
            </w:r>
            <w:r>
              <w:rPr>
                <w:szCs w:val="21"/>
                <w:vertAlign w:val="subscript"/>
              </w:rPr>
              <w:t>2</w:t>
            </w:r>
            <w:r>
              <w:rPr>
                <w:szCs w:val="21"/>
              </w:rPr>
              <w:t>S</w:t>
            </w:r>
          </w:p>
        </w:tc>
        <w:tc>
          <w:tcPr>
            <w:tcW w:w="1155" w:type="pct"/>
            <w:vMerge w:val="continue"/>
            <w:noWrap/>
            <w:vAlign w:val="center"/>
          </w:tcPr>
          <w:p>
            <w:pPr>
              <w:adjustRightInd w:val="0"/>
              <w:snapToGrid w:val="0"/>
              <w:jc w:val="center"/>
              <w:rPr>
                <w:rFonts w:cs="宋体"/>
                <w:kern w:val="21"/>
                <w:szCs w:val="21"/>
              </w:rPr>
            </w:pPr>
          </w:p>
        </w:tc>
        <w:tc>
          <w:tcPr>
            <w:tcW w:w="1177" w:type="pct"/>
            <w:vMerge w:val="continue"/>
            <w:noWrap/>
            <w:vAlign w:val="center"/>
          </w:tcPr>
          <w:p>
            <w:pPr>
              <w:adjustRightInd w:val="0"/>
              <w:snapToGrid w:val="0"/>
              <w:jc w:val="center"/>
              <w:rPr>
                <w:rFonts w:cs="宋体"/>
                <w:kern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82" w:hRule="atLeast"/>
          <w:jc w:val="center"/>
        </w:trPr>
        <w:tc>
          <w:tcPr>
            <w:tcW w:w="897" w:type="pct"/>
            <w:vMerge w:val="continue"/>
            <w:noWrap/>
            <w:vAlign w:val="center"/>
          </w:tcPr>
          <w:p>
            <w:pPr>
              <w:adjustRightInd w:val="0"/>
              <w:snapToGrid w:val="0"/>
              <w:jc w:val="center"/>
              <w:rPr>
                <w:rFonts w:cs="宋体"/>
                <w:kern w:val="21"/>
                <w:szCs w:val="21"/>
              </w:rPr>
            </w:pPr>
          </w:p>
        </w:tc>
        <w:tc>
          <w:tcPr>
            <w:tcW w:w="781" w:type="pct"/>
            <w:vMerge w:val="continue"/>
            <w:noWrap/>
            <w:vAlign w:val="center"/>
          </w:tcPr>
          <w:p>
            <w:pPr>
              <w:adjustRightInd w:val="0"/>
              <w:snapToGrid w:val="0"/>
              <w:jc w:val="center"/>
              <w:rPr>
                <w:rFonts w:cs="宋体"/>
                <w:kern w:val="21"/>
                <w:szCs w:val="21"/>
              </w:rPr>
            </w:pPr>
          </w:p>
        </w:tc>
        <w:tc>
          <w:tcPr>
            <w:tcW w:w="988" w:type="pct"/>
            <w:noWrap/>
            <w:vAlign w:val="center"/>
          </w:tcPr>
          <w:p>
            <w:pPr>
              <w:adjustRightInd w:val="0"/>
              <w:snapToGrid w:val="0"/>
              <w:jc w:val="center"/>
              <w:rPr>
                <w:kern w:val="21"/>
                <w:szCs w:val="21"/>
              </w:rPr>
            </w:pPr>
            <w:r>
              <w:rPr>
                <w:szCs w:val="21"/>
              </w:rPr>
              <w:t>臭气浓度（无量纲）</w:t>
            </w:r>
          </w:p>
        </w:tc>
        <w:tc>
          <w:tcPr>
            <w:tcW w:w="1155" w:type="pct"/>
            <w:vMerge w:val="continue"/>
            <w:noWrap/>
            <w:vAlign w:val="center"/>
          </w:tcPr>
          <w:p>
            <w:pPr>
              <w:adjustRightInd w:val="0"/>
              <w:snapToGrid w:val="0"/>
              <w:jc w:val="center"/>
              <w:rPr>
                <w:rFonts w:cs="宋体"/>
                <w:kern w:val="21"/>
                <w:szCs w:val="21"/>
              </w:rPr>
            </w:pPr>
          </w:p>
        </w:tc>
        <w:tc>
          <w:tcPr>
            <w:tcW w:w="1177" w:type="pct"/>
            <w:vMerge w:val="continue"/>
            <w:noWrap/>
            <w:vAlign w:val="center"/>
          </w:tcPr>
          <w:p>
            <w:pPr>
              <w:adjustRightInd w:val="0"/>
              <w:snapToGrid w:val="0"/>
              <w:jc w:val="center"/>
              <w:rPr>
                <w:rFonts w:cs="宋体"/>
                <w:kern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82" w:hRule="atLeast"/>
          <w:jc w:val="center"/>
        </w:trPr>
        <w:tc>
          <w:tcPr>
            <w:tcW w:w="897" w:type="pct"/>
            <w:vMerge w:val="continue"/>
            <w:noWrap/>
            <w:vAlign w:val="center"/>
          </w:tcPr>
          <w:p>
            <w:pPr>
              <w:adjustRightInd w:val="0"/>
              <w:snapToGrid w:val="0"/>
              <w:jc w:val="center"/>
              <w:rPr>
                <w:rFonts w:cs="宋体"/>
                <w:kern w:val="21"/>
                <w:szCs w:val="21"/>
              </w:rPr>
            </w:pPr>
          </w:p>
        </w:tc>
        <w:tc>
          <w:tcPr>
            <w:tcW w:w="781" w:type="pct"/>
            <w:noWrap/>
            <w:vAlign w:val="center"/>
          </w:tcPr>
          <w:p>
            <w:pPr>
              <w:adjustRightInd w:val="0"/>
              <w:snapToGrid w:val="0"/>
              <w:jc w:val="center"/>
              <w:rPr>
                <w:rFonts w:cs="宋体"/>
                <w:kern w:val="21"/>
                <w:szCs w:val="21"/>
              </w:rPr>
            </w:pPr>
            <w:r>
              <w:rPr>
                <w:rFonts w:hint="eastAsia" w:cs="宋体"/>
                <w:kern w:val="21"/>
                <w:szCs w:val="21"/>
              </w:rPr>
              <w:t>临床细胞分子遗传学实验室</w:t>
            </w:r>
          </w:p>
        </w:tc>
        <w:tc>
          <w:tcPr>
            <w:tcW w:w="988" w:type="pct"/>
            <w:noWrap/>
            <w:vAlign w:val="center"/>
          </w:tcPr>
          <w:p>
            <w:pPr>
              <w:adjustRightInd w:val="0"/>
              <w:snapToGrid w:val="0"/>
              <w:jc w:val="center"/>
              <w:rPr>
                <w:szCs w:val="21"/>
              </w:rPr>
            </w:pPr>
            <w:r>
              <w:rPr>
                <w:rFonts w:hint="eastAsia" w:cs="宋体"/>
                <w:kern w:val="21"/>
                <w:szCs w:val="21"/>
              </w:rPr>
              <w:t>微生物气溶胶</w:t>
            </w:r>
          </w:p>
        </w:tc>
        <w:tc>
          <w:tcPr>
            <w:tcW w:w="1155" w:type="pct"/>
            <w:noWrap/>
            <w:vAlign w:val="center"/>
          </w:tcPr>
          <w:p>
            <w:pPr>
              <w:adjustRightInd w:val="0"/>
              <w:snapToGrid w:val="0"/>
              <w:jc w:val="center"/>
              <w:rPr>
                <w:rFonts w:cs="宋体"/>
                <w:kern w:val="21"/>
                <w:szCs w:val="21"/>
              </w:rPr>
            </w:pPr>
            <w:r>
              <w:rPr>
                <w:rFonts w:hint="eastAsia" w:cs="宋体"/>
                <w:kern w:val="21"/>
                <w:szCs w:val="21"/>
              </w:rPr>
              <w:t>实验室废气主要是可能含有病原微生物的气溶胶，实验室内设置生物安全柜，涉及病原微生物气溶胶的操作在生物安全柜中进行，废气经负压收集通过高效过滤器处理后经楼顶专业排放口排放。</w:t>
            </w:r>
          </w:p>
        </w:tc>
        <w:tc>
          <w:tcPr>
            <w:tcW w:w="1177" w:type="pct"/>
            <w:noWrap/>
            <w:vAlign w:val="center"/>
          </w:tcPr>
          <w:p>
            <w:pPr>
              <w:adjustRightInd w:val="0"/>
              <w:snapToGrid w:val="0"/>
              <w:jc w:val="center"/>
              <w:rPr>
                <w:rFonts w:cs="宋体"/>
                <w:kern w:val="21"/>
                <w:szCs w:val="21"/>
              </w:rPr>
            </w:pPr>
            <w:r>
              <w:rPr>
                <w:rFonts w:hint="eastAsia" w:cs="宋体"/>
                <w:kern w:val="21"/>
                <w:szCs w:val="21"/>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482" w:hRule="atLeast"/>
          <w:jc w:val="center"/>
        </w:trPr>
        <w:tc>
          <w:tcPr>
            <w:tcW w:w="897" w:type="pct"/>
            <w:vMerge w:val="continue"/>
            <w:noWrap/>
            <w:vAlign w:val="center"/>
          </w:tcPr>
          <w:p>
            <w:pPr>
              <w:adjustRightInd w:val="0"/>
              <w:snapToGrid w:val="0"/>
              <w:jc w:val="center"/>
              <w:rPr>
                <w:rFonts w:cs="宋体"/>
                <w:kern w:val="21"/>
                <w:szCs w:val="21"/>
              </w:rPr>
            </w:pPr>
          </w:p>
        </w:tc>
        <w:tc>
          <w:tcPr>
            <w:tcW w:w="781" w:type="pct"/>
            <w:noWrap/>
            <w:vAlign w:val="center"/>
          </w:tcPr>
          <w:p>
            <w:pPr>
              <w:adjustRightInd w:val="0"/>
              <w:snapToGrid w:val="0"/>
              <w:jc w:val="center"/>
              <w:rPr>
                <w:rFonts w:hint="eastAsia" w:eastAsia="宋体" w:cs="宋体"/>
                <w:kern w:val="21"/>
                <w:szCs w:val="21"/>
                <w:lang w:val="en-US" w:eastAsia="zh-CN"/>
              </w:rPr>
            </w:pPr>
            <w:r>
              <w:rPr>
                <w:rFonts w:hint="eastAsia" w:cs="宋体"/>
                <w:kern w:val="21"/>
                <w:szCs w:val="21"/>
                <w:lang w:val="en-US" w:eastAsia="zh-CN"/>
              </w:rPr>
              <w:t>质谱实验室</w:t>
            </w:r>
          </w:p>
        </w:tc>
        <w:tc>
          <w:tcPr>
            <w:tcW w:w="988" w:type="pct"/>
            <w:noWrap/>
            <w:vAlign w:val="center"/>
          </w:tcPr>
          <w:p>
            <w:pPr>
              <w:adjustRightInd w:val="0"/>
              <w:snapToGrid w:val="0"/>
              <w:jc w:val="center"/>
              <w:rPr>
                <w:rFonts w:hint="eastAsia" w:eastAsia="宋体" w:cs="宋体"/>
                <w:kern w:val="21"/>
                <w:szCs w:val="21"/>
                <w:lang w:val="en-US" w:eastAsia="zh-CN"/>
              </w:rPr>
            </w:pPr>
            <w:r>
              <w:rPr>
                <w:rFonts w:hint="eastAsia" w:cs="宋体"/>
                <w:kern w:val="21"/>
                <w:szCs w:val="21"/>
                <w:lang w:val="en-US" w:eastAsia="zh-CN"/>
              </w:rPr>
              <w:t>有机废气</w:t>
            </w:r>
          </w:p>
        </w:tc>
        <w:tc>
          <w:tcPr>
            <w:tcW w:w="1155" w:type="pct"/>
            <w:noWrap/>
            <w:vAlign w:val="center"/>
          </w:tcPr>
          <w:p>
            <w:pPr>
              <w:adjustRightInd w:val="0"/>
              <w:snapToGrid w:val="0"/>
              <w:jc w:val="center"/>
              <w:rPr>
                <w:rFonts w:hint="eastAsia" w:cs="宋体"/>
                <w:kern w:val="21"/>
                <w:szCs w:val="21"/>
              </w:rPr>
            </w:pPr>
            <w:r>
              <w:rPr>
                <w:rFonts w:hint="eastAsia" w:cs="宋体"/>
                <w:kern w:val="21"/>
                <w:szCs w:val="21"/>
              </w:rPr>
              <w:t>有机废气经活性炭吸附装置吸附后再由管道引至楼顶排放。</w:t>
            </w:r>
          </w:p>
        </w:tc>
        <w:tc>
          <w:tcPr>
            <w:tcW w:w="1177" w:type="pct"/>
            <w:noWrap/>
            <w:vAlign w:val="center"/>
          </w:tcPr>
          <w:p>
            <w:pPr>
              <w:adjustRightInd w:val="0"/>
              <w:snapToGrid w:val="0"/>
              <w:jc w:val="center"/>
              <w:rPr>
                <w:rFonts w:hint="eastAsia" w:cs="宋体"/>
                <w:kern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1077" w:hRule="atLeast"/>
          <w:jc w:val="center"/>
        </w:trPr>
        <w:tc>
          <w:tcPr>
            <w:tcW w:w="897" w:type="pct"/>
            <w:vMerge w:val="restart"/>
            <w:noWrap/>
            <w:vAlign w:val="center"/>
          </w:tcPr>
          <w:p>
            <w:pPr>
              <w:adjustRightInd w:val="0"/>
              <w:snapToGrid w:val="0"/>
              <w:jc w:val="center"/>
              <w:rPr>
                <w:rFonts w:cs="宋体"/>
                <w:kern w:val="21"/>
                <w:szCs w:val="21"/>
              </w:rPr>
            </w:pPr>
            <w:r>
              <w:rPr>
                <w:rFonts w:hint="eastAsia" w:cs="宋体"/>
                <w:kern w:val="21"/>
                <w:szCs w:val="21"/>
              </w:rPr>
              <w:t>地表水环境</w:t>
            </w:r>
          </w:p>
        </w:tc>
        <w:tc>
          <w:tcPr>
            <w:tcW w:w="781" w:type="pct"/>
            <w:noWrap/>
            <w:vAlign w:val="center"/>
          </w:tcPr>
          <w:p>
            <w:pPr>
              <w:adjustRightInd w:val="0"/>
              <w:snapToGrid w:val="0"/>
              <w:jc w:val="center"/>
              <w:rPr>
                <w:rFonts w:cs="宋体"/>
                <w:kern w:val="21"/>
                <w:szCs w:val="21"/>
              </w:rPr>
            </w:pPr>
            <w:r>
              <w:rPr>
                <w:rFonts w:hint="eastAsia" w:cs="宋体"/>
                <w:kern w:val="21"/>
                <w:szCs w:val="21"/>
              </w:rPr>
              <w:t>生活污水</w:t>
            </w:r>
          </w:p>
        </w:tc>
        <w:tc>
          <w:tcPr>
            <w:tcW w:w="988" w:type="pct"/>
            <w:noWrap/>
            <w:vAlign w:val="center"/>
          </w:tcPr>
          <w:p>
            <w:pPr>
              <w:adjustRightInd w:val="0"/>
              <w:snapToGrid w:val="0"/>
              <w:jc w:val="center"/>
              <w:rPr>
                <w:rFonts w:cs="宋体"/>
                <w:kern w:val="21"/>
                <w:szCs w:val="21"/>
              </w:rPr>
            </w:pPr>
            <w:r>
              <w:rPr>
                <w:rFonts w:hint="eastAsia" w:cs="宋体"/>
                <w:kern w:val="21"/>
                <w:szCs w:val="21"/>
              </w:rPr>
              <w:t>化学需氧量、氨氮、pH、悬浮物、五日生化需氧量</w:t>
            </w:r>
          </w:p>
        </w:tc>
        <w:tc>
          <w:tcPr>
            <w:tcW w:w="1155" w:type="pct"/>
            <w:vMerge w:val="restart"/>
            <w:noWrap/>
            <w:vAlign w:val="center"/>
          </w:tcPr>
          <w:p>
            <w:pPr>
              <w:adjustRightInd w:val="0"/>
              <w:snapToGrid w:val="0"/>
              <w:jc w:val="left"/>
              <w:rPr>
                <w:rFonts w:cs="宋体"/>
                <w:kern w:val="21"/>
                <w:szCs w:val="21"/>
              </w:rPr>
            </w:pPr>
            <w:r>
              <w:rPr>
                <w:rFonts w:hint="eastAsia" w:cs="宋体"/>
                <w:kern w:val="21"/>
                <w:szCs w:val="21"/>
              </w:rPr>
              <w:t>污水处理规模20m</w:t>
            </w:r>
            <w:r>
              <w:rPr>
                <w:rFonts w:hint="eastAsia" w:cs="宋体"/>
                <w:kern w:val="21"/>
                <w:szCs w:val="21"/>
                <w:vertAlign w:val="superscript"/>
              </w:rPr>
              <w:t>3</w:t>
            </w:r>
            <w:r>
              <w:rPr>
                <w:rFonts w:hint="eastAsia" w:cs="宋体"/>
                <w:kern w:val="21"/>
                <w:szCs w:val="21"/>
              </w:rPr>
              <w:t>/d，处理工艺采用采用“絮凝沉淀+二氧化氯消毒”工艺处理。</w:t>
            </w:r>
          </w:p>
        </w:tc>
        <w:tc>
          <w:tcPr>
            <w:tcW w:w="1177" w:type="pct"/>
            <w:vMerge w:val="restart"/>
            <w:noWrap/>
            <w:vAlign w:val="center"/>
          </w:tcPr>
          <w:p>
            <w:pPr>
              <w:adjustRightInd w:val="0"/>
              <w:snapToGrid w:val="0"/>
              <w:jc w:val="center"/>
              <w:rPr>
                <w:rFonts w:cs="宋体"/>
                <w:kern w:val="21"/>
                <w:szCs w:val="21"/>
              </w:rPr>
            </w:pPr>
            <w:r>
              <w:rPr>
                <w:rFonts w:hint="eastAsia" w:cs="宋体"/>
                <w:kern w:val="21"/>
                <w:szCs w:val="21"/>
              </w:rPr>
              <w:t>《医疗机构水污染物排放标准》（GB18466-2005）中表2预处理标准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1077" w:hRule="atLeast"/>
          <w:jc w:val="center"/>
        </w:trPr>
        <w:tc>
          <w:tcPr>
            <w:tcW w:w="897" w:type="pct"/>
            <w:vMerge w:val="continue"/>
            <w:noWrap/>
            <w:vAlign w:val="center"/>
          </w:tcPr>
          <w:p>
            <w:pPr>
              <w:adjustRightInd w:val="0"/>
              <w:snapToGrid w:val="0"/>
              <w:jc w:val="center"/>
              <w:rPr>
                <w:rFonts w:cs="宋体"/>
                <w:kern w:val="21"/>
                <w:szCs w:val="21"/>
              </w:rPr>
            </w:pPr>
          </w:p>
        </w:tc>
        <w:tc>
          <w:tcPr>
            <w:tcW w:w="781" w:type="pct"/>
            <w:noWrap/>
            <w:vAlign w:val="center"/>
          </w:tcPr>
          <w:p>
            <w:pPr>
              <w:adjustRightInd w:val="0"/>
              <w:snapToGrid w:val="0"/>
              <w:jc w:val="center"/>
              <w:rPr>
                <w:rFonts w:cs="宋体"/>
                <w:kern w:val="21"/>
                <w:szCs w:val="21"/>
              </w:rPr>
            </w:pPr>
            <w:r>
              <w:rPr>
                <w:rFonts w:hint="eastAsia" w:cs="宋体"/>
                <w:kern w:val="21"/>
                <w:szCs w:val="21"/>
              </w:rPr>
              <w:t>实验废水</w:t>
            </w:r>
          </w:p>
        </w:tc>
        <w:tc>
          <w:tcPr>
            <w:tcW w:w="988" w:type="pct"/>
            <w:noWrap/>
            <w:vAlign w:val="center"/>
          </w:tcPr>
          <w:p>
            <w:pPr>
              <w:adjustRightInd w:val="0"/>
              <w:snapToGrid w:val="0"/>
              <w:jc w:val="center"/>
              <w:rPr>
                <w:rFonts w:cs="宋体"/>
                <w:kern w:val="21"/>
                <w:szCs w:val="21"/>
              </w:rPr>
            </w:pPr>
            <w:r>
              <w:rPr>
                <w:rFonts w:hint="eastAsia" w:cs="宋体"/>
                <w:kern w:val="21"/>
                <w:szCs w:val="21"/>
              </w:rPr>
              <w:t>粪大肠菌群、化学需氧量、氨氮、pH、悬浮物、五日生化需氧量、总余氯</w:t>
            </w:r>
          </w:p>
        </w:tc>
        <w:tc>
          <w:tcPr>
            <w:tcW w:w="1155" w:type="pct"/>
            <w:vMerge w:val="continue"/>
            <w:noWrap/>
            <w:vAlign w:val="center"/>
          </w:tcPr>
          <w:p>
            <w:pPr>
              <w:adjustRightInd w:val="0"/>
              <w:snapToGrid w:val="0"/>
              <w:jc w:val="left"/>
              <w:rPr>
                <w:rFonts w:cs="宋体"/>
                <w:kern w:val="21"/>
                <w:szCs w:val="21"/>
              </w:rPr>
            </w:pPr>
          </w:p>
        </w:tc>
        <w:tc>
          <w:tcPr>
            <w:tcW w:w="1177" w:type="pct"/>
            <w:vMerge w:val="continue"/>
            <w:noWrap/>
            <w:vAlign w:val="center"/>
          </w:tcPr>
          <w:p>
            <w:pPr>
              <w:adjustRightInd w:val="0"/>
              <w:snapToGrid w:val="0"/>
              <w:jc w:val="center"/>
              <w:rPr>
                <w:kern w:val="21"/>
                <w:szCs w:val="21"/>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944" w:hRule="atLeast"/>
          <w:jc w:val="center"/>
        </w:trPr>
        <w:tc>
          <w:tcPr>
            <w:tcW w:w="897" w:type="pct"/>
            <w:noWrap/>
            <w:vAlign w:val="center"/>
          </w:tcPr>
          <w:p>
            <w:pPr>
              <w:adjustRightInd w:val="0"/>
              <w:snapToGrid w:val="0"/>
              <w:jc w:val="center"/>
              <w:rPr>
                <w:rFonts w:cs="宋体"/>
                <w:kern w:val="21"/>
                <w:szCs w:val="21"/>
              </w:rPr>
            </w:pPr>
            <w:r>
              <w:rPr>
                <w:rFonts w:hint="eastAsia" w:cs="宋体"/>
                <w:kern w:val="21"/>
                <w:szCs w:val="21"/>
              </w:rPr>
              <w:t>地下水及土壤环境</w:t>
            </w:r>
          </w:p>
        </w:tc>
        <w:tc>
          <w:tcPr>
            <w:tcW w:w="781" w:type="pct"/>
            <w:noWrap/>
            <w:vAlign w:val="center"/>
          </w:tcPr>
          <w:p>
            <w:pPr>
              <w:adjustRightInd w:val="0"/>
              <w:snapToGrid w:val="0"/>
              <w:jc w:val="center"/>
              <w:rPr>
                <w:rFonts w:cs="宋体"/>
                <w:kern w:val="21"/>
                <w:szCs w:val="21"/>
              </w:rPr>
            </w:pPr>
            <w:r>
              <w:rPr>
                <w:rFonts w:hint="eastAsia"/>
                <w:kern w:val="21"/>
                <w:szCs w:val="21"/>
              </w:rPr>
              <w:t>-</w:t>
            </w:r>
          </w:p>
        </w:tc>
        <w:tc>
          <w:tcPr>
            <w:tcW w:w="988" w:type="pct"/>
            <w:noWrap/>
            <w:vAlign w:val="center"/>
          </w:tcPr>
          <w:p>
            <w:pPr>
              <w:adjustRightInd w:val="0"/>
              <w:snapToGrid w:val="0"/>
              <w:jc w:val="center"/>
              <w:rPr>
                <w:rFonts w:cs="宋体"/>
                <w:kern w:val="21"/>
                <w:szCs w:val="21"/>
              </w:rPr>
            </w:pPr>
            <w:r>
              <w:rPr>
                <w:rFonts w:hint="eastAsia"/>
                <w:kern w:val="21"/>
                <w:szCs w:val="21"/>
              </w:rPr>
              <w:t>-</w:t>
            </w:r>
          </w:p>
        </w:tc>
        <w:tc>
          <w:tcPr>
            <w:tcW w:w="1155" w:type="pct"/>
            <w:noWrap/>
            <w:vAlign w:val="center"/>
          </w:tcPr>
          <w:p>
            <w:pPr>
              <w:adjustRightInd w:val="0"/>
              <w:snapToGrid w:val="0"/>
              <w:jc w:val="center"/>
              <w:rPr>
                <w:rFonts w:cs="宋体"/>
                <w:kern w:val="21"/>
                <w:szCs w:val="21"/>
              </w:rPr>
            </w:pPr>
            <w:r>
              <w:rPr>
                <w:rFonts w:hint="eastAsia"/>
                <w:kern w:val="21"/>
                <w:szCs w:val="21"/>
              </w:rPr>
              <w:t>-</w:t>
            </w:r>
          </w:p>
        </w:tc>
        <w:tc>
          <w:tcPr>
            <w:tcW w:w="1177" w:type="pct"/>
            <w:noWrap/>
            <w:vAlign w:val="center"/>
          </w:tcPr>
          <w:p>
            <w:pPr>
              <w:adjustRightInd w:val="0"/>
              <w:snapToGrid w:val="0"/>
              <w:jc w:val="center"/>
              <w:rPr>
                <w:rFonts w:cs="宋体"/>
                <w:kern w:val="21"/>
                <w:szCs w:val="21"/>
              </w:rPr>
            </w:pPr>
            <w:r>
              <w:rPr>
                <w:rFonts w:hint="eastAsia"/>
                <w:kern w:val="21"/>
                <w:szCs w:val="21"/>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1077" w:hRule="atLeast"/>
          <w:jc w:val="center"/>
        </w:trPr>
        <w:tc>
          <w:tcPr>
            <w:tcW w:w="897" w:type="pct"/>
            <w:noWrap/>
            <w:vAlign w:val="center"/>
          </w:tcPr>
          <w:p>
            <w:pPr>
              <w:adjustRightInd w:val="0"/>
              <w:snapToGrid w:val="0"/>
              <w:jc w:val="center"/>
              <w:rPr>
                <w:rFonts w:cs="宋体"/>
                <w:kern w:val="21"/>
                <w:szCs w:val="21"/>
              </w:rPr>
            </w:pPr>
            <w:r>
              <w:rPr>
                <w:rFonts w:hint="eastAsia" w:cs="宋体"/>
                <w:kern w:val="21"/>
                <w:szCs w:val="21"/>
              </w:rPr>
              <w:t>声环境</w:t>
            </w:r>
          </w:p>
        </w:tc>
        <w:tc>
          <w:tcPr>
            <w:tcW w:w="781" w:type="pct"/>
            <w:noWrap/>
            <w:vAlign w:val="center"/>
          </w:tcPr>
          <w:p>
            <w:pPr>
              <w:adjustRightInd w:val="0"/>
              <w:snapToGrid w:val="0"/>
              <w:jc w:val="center"/>
              <w:rPr>
                <w:rFonts w:cs="宋体"/>
                <w:kern w:val="21"/>
                <w:szCs w:val="21"/>
              </w:rPr>
            </w:pPr>
            <w:r>
              <w:rPr>
                <w:rFonts w:hint="eastAsia" w:cs="宋体"/>
                <w:kern w:val="21"/>
                <w:szCs w:val="21"/>
              </w:rPr>
              <w:t>设备运行</w:t>
            </w:r>
          </w:p>
        </w:tc>
        <w:tc>
          <w:tcPr>
            <w:tcW w:w="988" w:type="pct"/>
            <w:noWrap/>
            <w:vAlign w:val="center"/>
          </w:tcPr>
          <w:p>
            <w:pPr>
              <w:adjustRightInd w:val="0"/>
              <w:snapToGrid w:val="0"/>
              <w:jc w:val="center"/>
              <w:rPr>
                <w:rFonts w:cs="宋体"/>
                <w:kern w:val="21"/>
                <w:szCs w:val="21"/>
              </w:rPr>
            </w:pPr>
            <w:r>
              <w:rPr>
                <w:rFonts w:hint="eastAsia" w:cs="宋体"/>
                <w:kern w:val="21"/>
                <w:szCs w:val="21"/>
              </w:rPr>
              <w:t>等效连续A声级</w:t>
            </w:r>
          </w:p>
        </w:tc>
        <w:tc>
          <w:tcPr>
            <w:tcW w:w="1155" w:type="pct"/>
            <w:noWrap/>
            <w:vAlign w:val="center"/>
          </w:tcPr>
          <w:p>
            <w:pPr>
              <w:adjustRightInd w:val="0"/>
              <w:snapToGrid w:val="0"/>
              <w:jc w:val="left"/>
              <w:rPr>
                <w:rFonts w:cs="宋体"/>
                <w:kern w:val="21"/>
                <w:szCs w:val="21"/>
              </w:rPr>
            </w:pPr>
            <w:r>
              <w:rPr>
                <w:rFonts w:hint="eastAsia" w:cs="宋体"/>
                <w:kern w:val="21"/>
                <w:szCs w:val="21"/>
              </w:rPr>
              <w:t>选用低噪声设备、设置减振垫等。</w:t>
            </w:r>
          </w:p>
        </w:tc>
        <w:tc>
          <w:tcPr>
            <w:tcW w:w="1177" w:type="pct"/>
            <w:noWrap/>
            <w:vAlign w:val="center"/>
          </w:tcPr>
          <w:p>
            <w:pPr>
              <w:adjustRightInd w:val="0"/>
              <w:snapToGrid w:val="0"/>
              <w:jc w:val="center"/>
              <w:rPr>
                <w:rFonts w:cs="宋体"/>
                <w:kern w:val="21"/>
                <w:szCs w:val="21"/>
              </w:rPr>
            </w:pPr>
            <w:r>
              <w:rPr>
                <w:rFonts w:hint="eastAsia" w:cs="宋体"/>
                <w:kern w:val="21"/>
                <w:szCs w:val="21"/>
              </w:rPr>
              <w:t>《工业企业厂界环境噪声排放标准》（GB 12348-2008）3类</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977" w:hRule="atLeast"/>
          <w:jc w:val="center"/>
        </w:trPr>
        <w:tc>
          <w:tcPr>
            <w:tcW w:w="897" w:type="pct"/>
            <w:noWrap/>
            <w:vAlign w:val="center"/>
          </w:tcPr>
          <w:p>
            <w:pPr>
              <w:adjustRightInd w:val="0"/>
              <w:snapToGrid w:val="0"/>
              <w:jc w:val="center"/>
              <w:rPr>
                <w:rFonts w:cs="宋体"/>
                <w:kern w:val="21"/>
                <w:szCs w:val="21"/>
              </w:rPr>
            </w:pPr>
            <w:r>
              <w:rPr>
                <w:rFonts w:hint="eastAsia" w:cs="宋体"/>
                <w:kern w:val="21"/>
                <w:szCs w:val="21"/>
              </w:rPr>
              <w:t>电磁辐射</w:t>
            </w:r>
          </w:p>
        </w:tc>
        <w:tc>
          <w:tcPr>
            <w:tcW w:w="781" w:type="pct"/>
            <w:noWrap/>
            <w:vAlign w:val="center"/>
          </w:tcPr>
          <w:p>
            <w:pPr>
              <w:adjustRightInd w:val="0"/>
              <w:snapToGrid w:val="0"/>
              <w:jc w:val="center"/>
              <w:rPr>
                <w:rFonts w:cs="宋体"/>
                <w:kern w:val="21"/>
                <w:szCs w:val="21"/>
              </w:rPr>
            </w:pPr>
            <w:r>
              <w:rPr>
                <w:rFonts w:hint="eastAsia"/>
                <w:kern w:val="21"/>
                <w:szCs w:val="21"/>
              </w:rPr>
              <w:t>-</w:t>
            </w:r>
          </w:p>
        </w:tc>
        <w:tc>
          <w:tcPr>
            <w:tcW w:w="988" w:type="pct"/>
            <w:noWrap/>
            <w:vAlign w:val="center"/>
          </w:tcPr>
          <w:p>
            <w:pPr>
              <w:adjustRightInd w:val="0"/>
              <w:snapToGrid w:val="0"/>
              <w:jc w:val="center"/>
              <w:rPr>
                <w:rFonts w:cs="宋体"/>
                <w:kern w:val="21"/>
                <w:szCs w:val="21"/>
              </w:rPr>
            </w:pPr>
            <w:r>
              <w:rPr>
                <w:rFonts w:hint="eastAsia"/>
                <w:kern w:val="21"/>
                <w:szCs w:val="21"/>
              </w:rPr>
              <w:t>-</w:t>
            </w:r>
          </w:p>
        </w:tc>
        <w:tc>
          <w:tcPr>
            <w:tcW w:w="1155" w:type="pct"/>
            <w:noWrap/>
            <w:vAlign w:val="center"/>
          </w:tcPr>
          <w:p>
            <w:pPr>
              <w:adjustRightInd w:val="0"/>
              <w:snapToGrid w:val="0"/>
              <w:jc w:val="center"/>
              <w:rPr>
                <w:rFonts w:cs="宋体"/>
                <w:kern w:val="21"/>
                <w:szCs w:val="21"/>
              </w:rPr>
            </w:pPr>
            <w:r>
              <w:rPr>
                <w:rFonts w:hint="eastAsia"/>
                <w:kern w:val="21"/>
                <w:szCs w:val="21"/>
              </w:rPr>
              <w:t>-</w:t>
            </w:r>
          </w:p>
        </w:tc>
        <w:tc>
          <w:tcPr>
            <w:tcW w:w="1177" w:type="pct"/>
            <w:noWrap/>
            <w:vAlign w:val="center"/>
          </w:tcPr>
          <w:p>
            <w:pPr>
              <w:adjustRightInd w:val="0"/>
              <w:snapToGrid w:val="0"/>
              <w:jc w:val="center"/>
              <w:rPr>
                <w:rFonts w:cs="宋体"/>
                <w:kern w:val="21"/>
                <w:szCs w:val="21"/>
              </w:rPr>
            </w:pPr>
            <w:r>
              <w:rPr>
                <w:rFonts w:hint="eastAsia"/>
                <w:kern w:val="21"/>
                <w:szCs w:val="21"/>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6821" w:hRule="atLeast"/>
          <w:jc w:val="center"/>
        </w:trPr>
        <w:tc>
          <w:tcPr>
            <w:tcW w:w="897" w:type="pct"/>
            <w:noWrap/>
            <w:vAlign w:val="center"/>
          </w:tcPr>
          <w:p>
            <w:pPr>
              <w:adjustRightInd w:val="0"/>
              <w:snapToGrid w:val="0"/>
              <w:jc w:val="center"/>
              <w:rPr>
                <w:rFonts w:cs="宋体"/>
                <w:kern w:val="21"/>
                <w:szCs w:val="21"/>
              </w:rPr>
            </w:pPr>
            <w:r>
              <w:rPr>
                <w:rFonts w:hint="eastAsia" w:cs="宋体"/>
                <w:kern w:val="21"/>
                <w:szCs w:val="21"/>
              </w:rPr>
              <w:t>固体废物</w:t>
            </w:r>
          </w:p>
        </w:tc>
        <w:tc>
          <w:tcPr>
            <w:tcW w:w="4102" w:type="pct"/>
            <w:gridSpan w:val="4"/>
            <w:noWrap/>
            <w:vAlign w:val="center"/>
          </w:tcPr>
          <w:p>
            <w:pPr>
              <w:adjustRightInd w:val="0"/>
              <w:snapToGrid w:val="0"/>
              <w:jc w:val="left"/>
              <w:rPr>
                <w:rFonts w:cs="宋体"/>
                <w:kern w:val="21"/>
                <w:szCs w:val="21"/>
              </w:rPr>
            </w:pPr>
            <w:r>
              <w:rPr>
                <w:rFonts w:hint="eastAsia" w:cs="宋体"/>
                <w:kern w:val="21"/>
                <w:szCs w:val="21"/>
              </w:rPr>
              <w:t>1、医疗废物管理</w:t>
            </w:r>
          </w:p>
          <w:p>
            <w:pPr>
              <w:adjustRightInd w:val="0"/>
              <w:snapToGrid w:val="0"/>
              <w:jc w:val="left"/>
              <w:rPr>
                <w:rFonts w:cs="宋体"/>
                <w:kern w:val="21"/>
                <w:szCs w:val="21"/>
              </w:rPr>
            </w:pPr>
            <w:r>
              <w:rPr>
                <w:rFonts w:hint="eastAsia" w:cs="宋体"/>
                <w:kern w:val="21"/>
                <w:szCs w:val="21"/>
              </w:rPr>
              <w:t>（1）废样本、废一次性防护服和一次性手套、废弃实验室耗材（废移液器吸头等）、废试剂盒全部放入电高压蒸汽灭菌器消毒后，暂存于医院医疗废物暂存间，定期交由资质单位处置。废试剂专用桶收集，消毒后，暂存医疗废物暂存间，定期交由资质单位处置。</w:t>
            </w:r>
          </w:p>
          <w:p>
            <w:pPr>
              <w:adjustRightInd w:val="0"/>
              <w:snapToGrid w:val="0"/>
              <w:jc w:val="left"/>
              <w:rPr>
                <w:rFonts w:hint="eastAsia" w:cs="宋体"/>
                <w:kern w:val="21"/>
                <w:szCs w:val="21"/>
              </w:rPr>
            </w:pPr>
            <w:r>
              <w:rPr>
                <w:rFonts w:hint="eastAsia" w:cs="宋体"/>
                <w:kern w:val="21"/>
                <w:szCs w:val="21"/>
              </w:rPr>
              <w:t>（2）废HEPA过滤器应当由专业人士进行原位消毒后，装入安全容器内进行消毒灭菌，经消毒灭菌处理后移出实验室，定期资质单位处置。</w:t>
            </w:r>
          </w:p>
          <w:p>
            <w:pPr>
              <w:adjustRightInd w:val="0"/>
              <w:snapToGrid w:val="0"/>
              <w:jc w:val="left"/>
              <w:rPr>
                <w:rFonts w:hint="eastAsia" w:cs="宋体"/>
                <w:kern w:val="21"/>
                <w:szCs w:val="21"/>
              </w:rPr>
            </w:pPr>
            <w:r>
              <w:rPr>
                <w:rFonts w:hint="eastAsia" w:cs="宋体"/>
                <w:kern w:val="21"/>
                <w:szCs w:val="21"/>
              </w:rPr>
              <w:t>（3）污水处理站污泥定期交由资质单位处置。在清运处理前，采用漂白剂消毒处理，达到《医疗机构水污染物排放标准》(GB18466-2005)表4中污泥控制标准（粪大肠菌群数不大于100MPN/g，蛔虫死亡率&gt;95%）。</w:t>
            </w:r>
          </w:p>
          <w:p>
            <w:pPr>
              <w:adjustRightInd w:val="0"/>
              <w:snapToGrid w:val="0"/>
              <w:jc w:val="left"/>
              <w:rPr>
                <w:rFonts w:hint="default" w:cs="宋体"/>
                <w:kern w:val="21"/>
                <w:szCs w:val="21"/>
                <w:lang w:val="en-US" w:eastAsia="zh-CN"/>
              </w:rPr>
            </w:pPr>
            <w:r>
              <w:rPr>
                <w:rFonts w:hint="eastAsia" w:cs="宋体"/>
                <w:kern w:val="21"/>
                <w:szCs w:val="21"/>
                <w:lang w:eastAsia="zh-CN"/>
              </w:rPr>
              <w:t>（</w:t>
            </w:r>
            <w:r>
              <w:rPr>
                <w:rFonts w:hint="eastAsia" w:cs="宋体"/>
                <w:kern w:val="21"/>
                <w:szCs w:val="21"/>
                <w:lang w:val="en-US" w:eastAsia="zh-CN"/>
              </w:rPr>
              <w:t>4</w:t>
            </w:r>
            <w:r>
              <w:rPr>
                <w:rFonts w:hint="eastAsia" w:cs="宋体"/>
                <w:kern w:val="21"/>
                <w:szCs w:val="21"/>
                <w:lang w:eastAsia="zh-CN"/>
              </w:rPr>
              <w:t>）</w:t>
            </w:r>
            <w:r>
              <w:rPr>
                <w:rFonts w:hint="eastAsia" w:cs="宋体"/>
                <w:kern w:val="21"/>
                <w:szCs w:val="21"/>
                <w:lang w:val="en-US" w:eastAsia="zh-CN"/>
              </w:rPr>
              <w:t>废活性炭暂存在危险废物暂存间内，定期交由资质单位处理。</w:t>
            </w:r>
          </w:p>
          <w:p>
            <w:pPr>
              <w:adjustRightInd w:val="0"/>
              <w:snapToGrid w:val="0"/>
              <w:jc w:val="left"/>
              <w:rPr>
                <w:rFonts w:hint="default" w:cs="宋体"/>
                <w:kern w:val="21"/>
                <w:szCs w:val="21"/>
                <w:lang w:val="en-US" w:eastAsia="zh-CN"/>
              </w:rPr>
            </w:pPr>
            <w:r>
              <w:rPr>
                <w:rFonts w:hint="eastAsia" w:cs="宋体"/>
                <w:kern w:val="21"/>
                <w:szCs w:val="21"/>
                <w:lang w:eastAsia="zh-CN"/>
              </w:rPr>
              <w:t>（</w:t>
            </w:r>
            <w:r>
              <w:rPr>
                <w:rFonts w:hint="eastAsia" w:cs="宋体"/>
                <w:kern w:val="21"/>
                <w:szCs w:val="21"/>
                <w:lang w:val="en-US" w:eastAsia="zh-CN"/>
              </w:rPr>
              <w:t>5</w:t>
            </w:r>
            <w:r>
              <w:rPr>
                <w:rFonts w:hint="eastAsia" w:cs="宋体"/>
                <w:kern w:val="21"/>
                <w:szCs w:val="21"/>
                <w:lang w:eastAsia="zh-CN"/>
              </w:rPr>
              <w:t>）</w:t>
            </w:r>
            <w:r>
              <w:rPr>
                <w:rFonts w:hint="eastAsia" w:cs="宋体"/>
                <w:kern w:val="21"/>
                <w:szCs w:val="21"/>
                <w:lang w:val="en-US" w:eastAsia="zh-CN"/>
              </w:rPr>
              <w:t>实验室废液收集后暂存在危险废物暂存间内，定期交由资质单位处理。</w:t>
            </w:r>
          </w:p>
          <w:p>
            <w:pPr>
              <w:adjustRightInd w:val="0"/>
              <w:snapToGrid w:val="0"/>
              <w:jc w:val="left"/>
              <w:rPr>
                <w:rFonts w:hint="eastAsia" w:cs="宋体"/>
                <w:kern w:val="21"/>
                <w:szCs w:val="21"/>
              </w:rPr>
            </w:pPr>
            <w:r>
              <w:rPr>
                <w:rFonts w:hint="eastAsia" w:cs="宋体"/>
                <w:kern w:val="21"/>
                <w:szCs w:val="21"/>
              </w:rPr>
              <w:t>（</w:t>
            </w:r>
            <w:r>
              <w:rPr>
                <w:rFonts w:hint="eastAsia" w:cs="宋体"/>
                <w:kern w:val="21"/>
                <w:szCs w:val="21"/>
                <w:lang w:val="en-US" w:eastAsia="zh-CN"/>
              </w:rPr>
              <w:t>6</w:t>
            </w:r>
            <w:r>
              <w:rPr>
                <w:rFonts w:hint="eastAsia" w:cs="宋体"/>
                <w:kern w:val="21"/>
                <w:szCs w:val="21"/>
              </w:rPr>
              <w:t>）医疗废物暂存期限不超过2d。</w:t>
            </w:r>
          </w:p>
          <w:p>
            <w:pPr>
              <w:adjustRightInd w:val="0"/>
              <w:snapToGrid w:val="0"/>
              <w:jc w:val="left"/>
              <w:rPr>
                <w:rFonts w:hint="eastAsia" w:cs="宋体"/>
                <w:kern w:val="21"/>
                <w:szCs w:val="21"/>
              </w:rPr>
            </w:pPr>
            <w:r>
              <w:rPr>
                <w:rFonts w:hint="eastAsia" w:cs="宋体"/>
                <w:kern w:val="21"/>
                <w:szCs w:val="21"/>
              </w:rPr>
              <w:t>（</w:t>
            </w:r>
            <w:r>
              <w:rPr>
                <w:rFonts w:hint="eastAsia" w:cs="宋体"/>
                <w:kern w:val="21"/>
                <w:szCs w:val="21"/>
                <w:lang w:val="en-US" w:eastAsia="zh-CN"/>
              </w:rPr>
              <w:t>7</w:t>
            </w:r>
            <w:r>
              <w:rPr>
                <w:rFonts w:hint="eastAsia" w:cs="宋体"/>
                <w:kern w:val="21"/>
                <w:szCs w:val="21"/>
              </w:rPr>
              <w:t>）贮存设施定期清洁和消毒。</w:t>
            </w:r>
          </w:p>
          <w:p>
            <w:pPr>
              <w:adjustRightInd w:val="0"/>
              <w:snapToGrid w:val="0"/>
              <w:jc w:val="left"/>
              <w:rPr>
                <w:rFonts w:hint="eastAsia" w:cs="宋体"/>
                <w:kern w:val="21"/>
                <w:szCs w:val="21"/>
              </w:rPr>
            </w:pPr>
            <w:r>
              <w:rPr>
                <w:rFonts w:hint="eastAsia" w:cs="宋体"/>
                <w:kern w:val="21"/>
                <w:szCs w:val="21"/>
              </w:rPr>
              <w:t>（</w:t>
            </w:r>
            <w:r>
              <w:rPr>
                <w:rFonts w:hint="eastAsia" w:cs="宋体"/>
                <w:kern w:val="21"/>
                <w:szCs w:val="21"/>
                <w:lang w:val="en-US" w:eastAsia="zh-CN"/>
              </w:rPr>
              <w:t>8</w:t>
            </w:r>
            <w:r>
              <w:rPr>
                <w:rFonts w:hint="eastAsia" w:cs="宋体"/>
                <w:kern w:val="21"/>
                <w:szCs w:val="21"/>
              </w:rPr>
              <w:t>）贮存设施需满足《医疗废物管理条例》要求。</w:t>
            </w:r>
          </w:p>
          <w:p>
            <w:pPr>
              <w:adjustRightInd w:val="0"/>
              <w:snapToGrid w:val="0"/>
              <w:jc w:val="left"/>
              <w:rPr>
                <w:rFonts w:hint="eastAsia" w:cs="宋体"/>
                <w:kern w:val="21"/>
                <w:szCs w:val="21"/>
              </w:rPr>
            </w:pPr>
            <w:r>
              <w:rPr>
                <w:rFonts w:hint="eastAsia" w:cs="宋体"/>
                <w:kern w:val="21"/>
                <w:szCs w:val="21"/>
              </w:rPr>
              <w:t>（</w:t>
            </w:r>
            <w:r>
              <w:rPr>
                <w:rFonts w:hint="eastAsia" w:cs="宋体"/>
                <w:kern w:val="21"/>
                <w:szCs w:val="21"/>
                <w:lang w:val="en-US" w:eastAsia="zh-CN"/>
              </w:rPr>
              <w:t>9</w:t>
            </w:r>
            <w:r>
              <w:rPr>
                <w:rFonts w:hint="eastAsia" w:cs="宋体"/>
                <w:kern w:val="21"/>
                <w:szCs w:val="21"/>
              </w:rPr>
              <w:t>）建立危废管理台账。</w:t>
            </w:r>
          </w:p>
          <w:p>
            <w:pPr>
              <w:adjustRightInd w:val="0"/>
              <w:snapToGrid w:val="0"/>
              <w:jc w:val="left"/>
              <w:rPr>
                <w:rFonts w:hint="eastAsia" w:cs="宋体"/>
                <w:kern w:val="21"/>
                <w:szCs w:val="21"/>
              </w:rPr>
            </w:pPr>
            <w:r>
              <w:rPr>
                <w:rFonts w:hint="eastAsia" w:cs="宋体"/>
                <w:kern w:val="21"/>
                <w:szCs w:val="21"/>
              </w:rPr>
              <w:t>（</w:t>
            </w:r>
            <w:r>
              <w:rPr>
                <w:rFonts w:hint="eastAsia" w:cs="宋体"/>
                <w:kern w:val="21"/>
                <w:szCs w:val="21"/>
                <w:lang w:val="en-US" w:eastAsia="zh-CN"/>
              </w:rPr>
              <w:t>10</w:t>
            </w:r>
            <w:r>
              <w:rPr>
                <w:rFonts w:hint="eastAsia" w:cs="宋体"/>
                <w:kern w:val="21"/>
                <w:szCs w:val="21"/>
              </w:rPr>
              <w:t>）内部由专人固定时间和路线进行转运。</w:t>
            </w:r>
          </w:p>
          <w:p>
            <w:pPr>
              <w:adjustRightInd w:val="0"/>
              <w:snapToGrid w:val="0"/>
              <w:jc w:val="left"/>
              <w:rPr>
                <w:rFonts w:hint="eastAsia" w:cs="宋体"/>
                <w:kern w:val="21"/>
                <w:szCs w:val="21"/>
              </w:rPr>
            </w:pPr>
            <w:r>
              <w:rPr>
                <w:rFonts w:hint="eastAsia" w:cs="宋体"/>
                <w:kern w:val="21"/>
                <w:szCs w:val="21"/>
              </w:rPr>
              <w:t>（</w:t>
            </w:r>
            <w:r>
              <w:rPr>
                <w:rFonts w:hint="eastAsia" w:cs="宋体"/>
                <w:kern w:val="21"/>
                <w:szCs w:val="21"/>
                <w:lang w:val="en-US" w:eastAsia="zh-CN"/>
              </w:rPr>
              <w:t>11</w:t>
            </w:r>
            <w:r>
              <w:rPr>
                <w:rFonts w:hint="eastAsia" w:cs="宋体"/>
                <w:kern w:val="21"/>
                <w:szCs w:val="21"/>
              </w:rPr>
              <w:t>）外部由资质单位运输。</w:t>
            </w:r>
          </w:p>
          <w:p>
            <w:pPr>
              <w:adjustRightInd w:val="0"/>
              <w:snapToGrid w:val="0"/>
              <w:jc w:val="left"/>
              <w:rPr>
                <w:rFonts w:hint="eastAsia" w:cs="宋体"/>
                <w:kern w:val="21"/>
                <w:szCs w:val="21"/>
              </w:rPr>
            </w:pPr>
            <w:r>
              <w:rPr>
                <w:rFonts w:hint="eastAsia" w:cs="宋体"/>
                <w:kern w:val="21"/>
                <w:szCs w:val="21"/>
              </w:rPr>
              <w:t>（</w:t>
            </w:r>
            <w:r>
              <w:rPr>
                <w:rFonts w:hint="eastAsia" w:cs="宋体"/>
                <w:kern w:val="21"/>
                <w:szCs w:val="21"/>
                <w:lang w:val="en-US" w:eastAsia="zh-CN"/>
              </w:rPr>
              <w:t>12</w:t>
            </w:r>
            <w:r>
              <w:rPr>
                <w:rFonts w:hint="eastAsia" w:cs="宋体"/>
                <w:kern w:val="21"/>
                <w:szCs w:val="21"/>
              </w:rPr>
              <w:t>）外部转运应填报危废医疗废物转移联单。</w:t>
            </w:r>
          </w:p>
          <w:p>
            <w:pPr>
              <w:adjustRightInd w:val="0"/>
              <w:snapToGrid w:val="0"/>
              <w:jc w:val="left"/>
            </w:pPr>
            <w:r>
              <w:rPr>
                <w:rFonts w:hint="eastAsia" w:cs="宋体"/>
                <w:kern w:val="21"/>
                <w:szCs w:val="21"/>
              </w:rPr>
              <w:t>2、生活垃圾</w:t>
            </w:r>
            <w:r>
              <w:rPr>
                <w:rFonts w:cs="宋体"/>
                <w:kern w:val="21"/>
                <w:szCs w:val="21"/>
              </w:rPr>
              <w:t>由环卫部门统一清运处理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1009" w:hRule="atLeast"/>
          <w:jc w:val="center"/>
        </w:trPr>
        <w:tc>
          <w:tcPr>
            <w:tcW w:w="897" w:type="pct"/>
            <w:noWrap/>
            <w:vAlign w:val="center"/>
          </w:tcPr>
          <w:p>
            <w:pPr>
              <w:adjustRightInd w:val="0"/>
              <w:snapToGrid w:val="0"/>
              <w:jc w:val="center"/>
              <w:rPr>
                <w:rFonts w:cs="宋体"/>
                <w:kern w:val="21"/>
                <w:szCs w:val="21"/>
              </w:rPr>
            </w:pPr>
            <w:r>
              <w:rPr>
                <w:rFonts w:hint="eastAsia" w:cs="宋体"/>
                <w:kern w:val="21"/>
                <w:szCs w:val="21"/>
              </w:rPr>
              <w:t>土壤及地下水污染防治措施</w:t>
            </w:r>
          </w:p>
        </w:tc>
        <w:tc>
          <w:tcPr>
            <w:tcW w:w="4102" w:type="pct"/>
            <w:gridSpan w:val="4"/>
            <w:noWrap/>
            <w:vAlign w:val="center"/>
          </w:tcPr>
          <w:p>
            <w:pPr>
              <w:jc w:val="center"/>
              <w:rPr>
                <w:rFonts w:cs="宋体"/>
                <w:kern w:val="21"/>
                <w:szCs w:val="21"/>
              </w:rPr>
            </w:pPr>
            <w:r>
              <w:rPr>
                <w:rFonts w:hint="eastAsia"/>
                <w:kern w:val="21"/>
                <w:szCs w:val="21"/>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1077" w:hRule="atLeast"/>
          <w:jc w:val="center"/>
        </w:trPr>
        <w:tc>
          <w:tcPr>
            <w:tcW w:w="897" w:type="pct"/>
            <w:noWrap/>
            <w:vAlign w:val="center"/>
          </w:tcPr>
          <w:p>
            <w:pPr>
              <w:adjustRightInd w:val="0"/>
              <w:snapToGrid w:val="0"/>
              <w:jc w:val="center"/>
              <w:rPr>
                <w:rFonts w:cs="宋体"/>
                <w:kern w:val="21"/>
                <w:szCs w:val="21"/>
              </w:rPr>
            </w:pPr>
            <w:r>
              <w:rPr>
                <w:rFonts w:hint="eastAsia" w:cs="宋体"/>
                <w:kern w:val="21"/>
                <w:szCs w:val="21"/>
              </w:rPr>
              <w:t>生态保护措施</w:t>
            </w:r>
          </w:p>
        </w:tc>
        <w:tc>
          <w:tcPr>
            <w:tcW w:w="4102" w:type="pct"/>
            <w:gridSpan w:val="4"/>
            <w:noWrap/>
            <w:vAlign w:val="center"/>
          </w:tcPr>
          <w:p>
            <w:pPr>
              <w:adjustRightInd w:val="0"/>
              <w:snapToGrid w:val="0"/>
              <w:jc w:val="center"/>
              <w:rPr>
                <w:rFonts w:cs="宋体"/>
                <w:kern w:val="21"/>
                <w:szCs w:val="21"/>
              </w:rPr>
            </w:pPr>
            <w:r>
              <w:rPr>
                <w:rFonts w:hint="eastAsia"/>
                <w:kern w:val="21"/>
                <w:szCs w:val="21"/>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1077" w:hRule="atLeast"/>
          <w:jc w:val="center"/>
        </w:trPr>
        <w:tc>
          <w:tcPr>
            <w:tcW w:w="897" w:type="pct"/>
            <w:noWrap/>
            <w:vAlign w:val="center"/>
          </w:tcPr>
          <w:p>
            <w:pPr>
              <w:adjustRightInd w:val="0"/>
              <w:snapToGrid w:val="0"/>
              <w:jc w:val="center"/>
              <w:rPr>
                <w:rFonts w:cs="宋体"/>
                <w:kern w:val="21"/>
                <w:szCs w:val="21"/>
              </w:rPr>
            </w:pPr>
            <w:r>
              <w:rPr>
                <w:rFonts w:hint="eastAsia" w:cs="宋体"/>
                <w:kern w:val="21"/>
                <w:szCs w:val="21"/>
              </w:rPr>
              <w:t>环境风险防范措施</w:t>
            </w:r>
          </w:p>
        </w:tc>
        <w:tc>
          <w:tcPr>
            <w:tcW w:w="4102" w:type="pct"/>
            <w:gridSpan w:val="4"/>
            <w:noWrap/>
            <w:vAlign w:val="center"/>
          </w:tcPr>
          <w:p>
            <w:pPr>
              <w:rPr>
                <w:szCs w:val="21"/>
              </w:rPr>
            </w:pPr>
            <w:r>
              <w:rPr>
                <w:rFonts w:hint="eastAsia"/>
                <w:szCs w:val="21"/>
              </w:rPr>
              <w:t>（1）严格按照相关要求落实二氧化氯及化学试剂的储存，确定指定地点存放；</w:t>
            </w:r>
          </w:p>
          <w:p>
            <w:pPr>
              <w:rPr>
                <w:szCs w:val="21"/>
              </w:rPr>
            </w:pPr>
            <w:r>
              <w:rPr>
                <w:rFonts w:hint="eastAsia"/>
                <w:szCs w:val="21"/>
              </w:rPr>
              <w:t>（2）实验室制定安全操作管理规程，每日安排专人对化学试剂的安全存放、使用进行检查，确保化学试剂不发生泄漏及火灾爆炸；</w:t>
            </w:r>
          </w:p>
          <w:p>
            <w:pPr>
              <w:rPr>
                <w:szCs w:val="21"/>
              </w:rPr>
            </w:pPr>
            <w:r>
              <w:rPr>
                <w:rFonts w:hint="eastAsia"/>
                <w:szCs w:val="21"/>
              </w:rPr>
              <w:t>（3）加强对实验室操作人员的环境安全宣传教育，严格按操作规程操作，杜绝化学试剂瓶罐破裂现象的发生，不使用化学试剂时要及时将瓶罐口封闭；</w:t>
            </w:r>
          </w:p>
          <w:p>
            <w:pPr>
              <w:rPr>
                <w:szCs w:val="21"/>
              </w:rPr>
            </w:pPr>
            <w:r>
              <w:rPr>
                <w:rFonts w:hint="eastAsia"/>
                <w:szCs w:val="21"/>
              </w:rPr>
              <w:t>（4）存在化学试剂的科室应远离明火，最大限度地杜绝火灾爆炸现象的发生；</w:t>
            </w:r>
          </w:p>
          <w:p>
            <w:pPr>
              <w:rPr>
                <w:szCs w:val="21"/>
              </w:rPr>
            </w:pPr>
            <w:r>
              <w:rPr>
                <w:rFonts w:hint="eastAsia"/>
                <w:szCs w:val="21"/>
              </w:rPr>
              <w:t>（5）严格落实各项消防措施；</w:t>
            </w:r>
          </w:p>
          <w:p>
            <w:pPr>
              <w:rPr>
                <w:szCs w:val="21"/>
                <w:lang w:val="zh-CN"/>
              </w:rPr>
            </w:pPr>
            <w:r>
              <w:rPr>
                <w:rFonts w:hint="eastAsia"/>
                <w:szCs w:val="21"/>
              </w:rPr>
              <w:t>（6）本项目在污水处理间内设置可容纳污水处理站出现事故时的事故水池，容量为6.0m</w:t>
            </w:r>
            <w:r>
              <w:rPr>
                <w:rFonts w:hint="eastAsia"/>
                <w:szCs w:val="21"/>
                <w:vertAlign w:val="superscript"/>
              </w:rPr>
              <w:t>3</w:t>
            </w:r>
            <w:r>
              <w:rPr>
                <w:rFonts w:hint="eastAsia"/>
                <w:szCs w:val="21"/>
              </w:rPr>
              <w:t>。因此发生事故时，事故池足够容纳事故时项目产生的污水，避免污染地表水体和污染地下水。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4" w:space="0"/>
          </w:tblBorders>
          <w:tblCellMar>
            <w:top w:w="0" w:type="dxa"/>
            <w:left w:w="108" w:type="dxa"/>
            <w:bottom w:w="0" w:type="dxa"/>
            <w:right w:w="108" w:type="dxa"/>
          </w:tblCellMar>
        </w:tblPrEx>
        <w:trPr>
          <w:trHeight w:val="1077" w:hRule="atLeast"/>
          <w:jc w:val="center"/>
        </w:trPr>
        <w:tc>
          <w:tcPr>
            <w:tcW w:w="897" w:type="pct"/>
            <w:noWrap/>
            <w:vAlign w:val="center"/>
          </w:tcPr>
          <w:p>
            <w:pPr>
              <w:adjustRightInd w:val="0"/>
              <w:snapToGrid w:val="0"/>
              <w:jc w:val="center"/>
              <w:rPr>
                <w:rFonts w:cs="宋体"/>
                <w:kern w:val="21"/>
                <w:szCs w:val="21"/>
              </w:rPr>
            </w:pPr>
            <w:r>
              <w:rPr>
                <w:rFonts w:hint="eastAsia" w:cs="宋体"/>
                <w:kern w:val="21"/>
                <w:szCs w:val="21"/>
              </w:rPr>
              <w:t>其他环境管理要求</w:t>
            </w:r>
          </w:p>
        </w:tc>
        <w:tc>
          <w:tcPr>
            <w:tcW w:w="4102" w:type="pct"/>
            <w:gridSpan w:val="4"/>
            <w:noWrap/>
            <w:vAlign w:val="center"/>
          </w:tcPr>
          <w:p>
            <w:pPr>
              <w:ind w:firstLine="420" w:firstLineChars="200"/>
              <w:rPr>
                <w:szCs w:val="21"/>
              </w:rPr>
            </w:pPr>
            <w:r>
              <w:rPr>
                <w:szCs w:val="21"/>
              </w:rPr>
              <w:t>严格按照《国家卫生健康委办公厅关于印发新型冠状病毒实验室生物安全指南（第二版）的通知》（国卫办科教函﹝2020﹞70号）进行实验室管理，加强样本运输及管理、废弃物管理和实验室生物安全操作失误或意外的处理。</w:t>
            </w:r>
          </w:p>
          <w:p>
            <w:pPr>
              <w:ind w:firstLine="420" w:firstLineChars="200"/>
              <w:rPr>
                <w:szCs w:val="21"/>
              </w:rPr>
            </w:pPr>
            <w:r>
              <w:rPr>
                <w:rFonts w:hint="eastAsia"/>
                <w:szCs w:val="21"/>
              </w:rPr>
              <w:t>（1）</w:t>
            </w:r>
            <w:r>
              <w:rPr>
                <w:szCs w:val="21"/>
              </w:rPr>
              <w:t>样本运输及管理</w:t>
            </w:r>
          </w:p>
          <w:p>
            <w:pPr>
              <w:ind w:firstLine="420" w:firstLineChars="200"/>
              <w:rPr>
                <w:szCs w:val="21"/>
              </w:rPr>
            </w:pPr>
            <w:r>
              <w:rPr>
                <w:szCs w:val="21"/>
              </w:rPr>
              <w:t>新型冠状病毒相关样本应当由专人管理，准确记录毒株和样本的来源、种类、数量、编号登记，采取有效措施确保毒株和样本的安全，严防发生误用、恶意使用、被盗、被抢、丢失、泄露等事件。</w:t>
            </w:r>
          </w:p>
          <w:p>
            <w:pPr>
              <w:ind w:firstLine="420" w:firstLineChars="200"/>
              <w:rPr>
                <w:szCs w:val="21"/>
              </w:rPr>
            </w:pPr>
            <w:r>
              <w:rPr>
                <w:rFonts w:hint="eastAsia"/>
                <w:szCs w:val="21"/>
              </w:rPr>
              <w:t>（2）</w:t>
            </w:r>
            <w:r>
              <w:rPr>
                <w:szCs w:val="21"/>
              </w:rPr>
              <w:t>废弃物管理</w:t>
            </w:r>
          </w:p>
          <w:p>
            <w:pPr>
              <w:ind w:firstLine="420" w:firstLineChars="200"/>
              <w:rPr>
                <w:szCs w:val="21"/>
              </w:rPr>
            </w:pPr>
            <w:r>
              <w:rPr>
                <w:szCs w:val="21"/>
              </w:rPr>
              <w:t>A.开展新型冠状病毒相关实验活动的实验室应当制定废弃物处置程序文件及污物、污水处理操作程序。</w:t>
            </w:r>
          </w:p>
          <w:p>
            <w:pPr>
              <w:ind w:firstLine="420" w:firstLineChars="200"/>
              <w:rPr>
                <w:szCs w:val="21"/>
              </w:rPr>
            </w:pPr>
            <w:r>
              <w:rPr>
                <w:szCs w:val="21"/>
              </w:rPr>
              <w:t>B.所有的危险性废弃物必须依照统一规格化的容器和标示方式，完整并且合规地标示废弃物内容。</w:t>
            </w:r>
          </w:p>
          <w:p>
            <w:pPr>
              <w:ind w:firstLine="420" w:firstLineChars="200"/>
              <w:rPr>
                <w:szCs w:val="21"/>
              </w:rPr>
            </w:pPr>
            <w:r>
              <w:rPr>
                <w:szCs w:val="21"/>
              </w:rPr>
              <w:t>C.应当由经过适当培训的人员使用适当的个人防护装备和设备处理危险废弃物。</w:t>
            </w:r>
          </w:p>
          <w:p>
            <w:pPr>
              <w:ind w:firstLine="420" w:firstLineChars="200"/>
              <w:rPr>
                <w:szCs w:val="21"/>
              </w:rPr>
            </w:pPr>
            <w:r>
              <w:rPr>
                <w:szCs w:val="21"/>
              </w:rPr>
              <w:t>D.废弃物的处理措施：废弃物的处理是控制实验室生物安全的关键环节，切实安全地处理感染性废弃物，必须充分掌握生物安全废弃物的分类，并严格执行相应的处理程序。</w:t>
            </w:r>
          </w:p>
          <w:p>
            <w:pPr>
              <w:pStyle w:val="21"/>
              <w:rPr>
                <w:rFonts w:ascii="Times New Roman" w:hAnsi="Times New Roman"/>
                <w:szCs w:val="21"/>
              </w:rPr>
            </w:pPr>
          </w:p>
          <w:p>
            <w:pPr>
              <w:rPr>
                <w:szCs w:val="21"/>
              </w:rPr>
            </w:pPr>
          </w:p>
          <w:p>
            <w:pPr>
              <w:pStyle w:val="21"/>
              <w:rPr>
                <w:rFonts w:ascii="Times New Roman" w:hAnsi="Times New Roman"/>
                <w:szCs w:val="21"/>
              </w:rPr>
            </w:pPr>
          </w:p>
          <w:p>
            <w:pPr>
              <w:rPr>
                <w:szCs w:val="21"/>
              </w:rPr>
            </w:pPr>
          </w:p>
          <w:p>
            <w:pPr>
              <w:pStyle w:val="21"/>
              <w:rPr>
                <w:rFonts w:ascii="Times New Roman" w:hAnsi="Times New Roman"/>
                <w:szCs w:val="21"/>
              </w:rPr>
            </w:pPr>
          </w:p>
          <w:p>
            <w:pPr>
              <w:rPr>
                <w:szCs w:val="21"/>
              </w:rPr>
            </w:pPr>
          </w:p>
          <w:p>
            <w:pPr>
              <w:pStyle w:val="21"/>
              <w:rPr>
                <w:rFonts w:ascii="Times New Roman" w:hAnsi="Times New Roman"/>
                <w:szCs w:val="21"/>
              </w:rPr>
            </w:pPr>
          </w:p>
          <w:p>
            <w:pPr>
              <w:rPr>
                <w:szCs w:val="21"/>
              </w:rPr>
            </w:pPr>
          </w:p>
          <w:p>
            <w:pPr>
              <w:pStyle w:val="21"/>
              <w:rPr>
                <w:rFonts w:ascii="Times New Roman" w:hAnsi="Times New Roman"/>
                <w:szCs w:val="21"/>
              </w:rPr>
            </w:pPr>
          </w:p>
          <w:p>
            <w:pPr>
              <w:rPr>
                <w:szCs w:val="21"/>
              </w:rPr>
            </w:pPr>
          </w:p>
          <w:p>
            <w:pPr>
              <w:pStyle w:val="21"/>
              <w:rPr>
                <w:rFonts w:ascii="Times New Roman" w:hAnsi="Times New Roman"/>
                <w:szCs w:val="21"/>
              </w:rPr>
            </w:pPr>
          </w:p>
          <w:p>
            <w:pPr>
              <w:rPr>
                <w:szCs w:val="21"/>
              </w:rPr>
            </w:pPr>
          </w:p>
          <w:p>
            <w:pPr>
              <w:pStyle w:val="21"/>
              <w:rPr>
                <w:rFonts w:ascii="Times New Roman" w:hAnsi="Times New Roman"/>
                <w:szCs w:val="21"/>
              </w:rPr>
            </w:pPr>
          </w:p>
          <w:p>
            <w:pPr>
              <w:rPr>
                <w:szCs w:val="21"/>
              </w:rPr>
            </w:pPr>
          </w:p>
          <w:p>
            <w:pPr>
              <w:pStyle w:val="21"/>
              <w:rPr>
                <w:rFonts w:ascii="Times New Roman" w:hAnsi="Times New Roman"/>
                <w:szCs w:val="21"/>
              </w:rPr>
            </w:pPr>
          </w:p>
          <w:p>
            <w:pPr>
              <w:rPr>
                <w:szCs w:val="21"/>
              </w:rPr>
            </w:pPr>
          </w:p>
          <w:p>
            <w:pPr>
              <w:pStyle w:val="21"/>
              <w:rPr>
                <w:rFonts w:ascii="Times New Roman" w:hAnsi="Times New Roman"/>
                <w:szCs w:val="21"/>
              </w:rPr>
            </w:pPr>
          </w:p>
          <w:p>
            <w:pPr>
              <w:rPr>
                <w:szCs w:val="21"/>
              </w:rPr>
            </w:pPr>
          </w:p>
          <w:p>
            <w:pPr>
              <w:pStyle w:val="21"/>
              <w:rPr>
                <w:rFonts w:ascii="Times New Roman" w:hAnsi="Times New Roman"/>
                <w:szCs w:val="21"/>
              </w:rPr>
            </w:pPr>
          </w:p>
          <w:p>
            <w:pPr>
              <w:rPr>
                <w:szCs w:val="21"/>
              </w:rPr>
            </w:pPr>
          </w:p>
          <w:p>
            <w:pPr>
              <w:pStyle w:val="21"/>
              <w:rPr>
                <w:rFonts w:ascii="Times New Roman" w:hAnsi="Times New Roman"/>
                <w:szCs w:val="21"/>
              </w:rPr>
            </w:pPr>
          </w:p>
          <w:p>
            <w:pPr>
              <w:rPr>
                <w:szCs w:val="21"/>
              </w:rPr>
            </w:pPr>
          </w:p>
          <w:p>
            <w:pPr>
              <w:pStyle w:val="21"/>
              <w:rPr>
                <w:rFonts w:ascii="Times New Roman" w:hAnsi="Times New Roman"/>
                <w:szCs w:val="21"/>
              </w:rPr>
            </w:pPr>
          </w:p>
          <w:p>
            <w:pPr>
              <w:rPr>
                <w:szCs w:val="21"/>
              </w:rPr>
            </w:pPr>
          </w:p>
          <w:p>
            <w:pPr>
              <w:pStyle w:val="21"/>
              <w:rPr>
                <w:rFonts w:ascii="Times New Roman" w:hAnsi="Times New Roman"/>
                <w:szCs w:val="21"/>
              </w:rPr>
            </w:pPr>
          </w:p>
          <w:p>
            <w:pPr>
              <w:rPr>
                <w:szCs w:val="21"/>
              </w:rPr>
            </w:pPr>
          </w:p>
          <w:p>
            <w:pPr>
              <w:pStyle w:val="21"/>
              <w:rPr>
                <w:rFonts w:ascii="Times New Roman" w:hAnsi="Times New Roman"/>
                <w:szCs w:val="21"/>
              </w:rPr>
            </w:pPr>
          </w:p>
          <w:p>
            <w:pPr>
              <w:rPr>
                <w:szCs w:val="21"/>
              </w:rPr>
            </w:pPr>
          </w:p>
          <w:p>
            <w:pPr>
              <w:pStyle w:val="21"/>
              <w:rPr>
                <w:szCs w:val="21"/>
              </w:rPr>
            </w:pPr>
          </w:p>
          <w:p>
            <w:pPr>
              <w:rPr>
                <w:szCs w:val="21"/>
              </w:rPr>
            </w:pPr>
          </w:p>
          <w:p>
            <w:pPr>
              <w:pStyle w:val="21"/>
              <w:rPr>
                <w:szCs w:val="21"/>
              </w:rPr>
            </w:pPr>
          </w:p>
          <w:p>
            <w:pPr>
              <w:rPr>
                <w:szCs w:val="21"/>
              </w:rPr>
            </w:pPr>
          </w:p>
          <w:p>
            <w:pPr>
              <w:pStyle w:val="21"/>
              <w:rPr>
                <w:szCs w:val="21"/>
              </w:rPr>
            </w:pPr>
          </w:p>
          <w:p>
            <w:pPr>
              <w:rPr>
                <w:szCs w:val="21"/>
              </w:rPr>
            </w:pPr>
          </w:p>
          <w:p>
            <w:pPr>
              <w:pStyle w:val="21"/>
              <w:rPr>
                <w:szCs w:val="21"/>
              </w:rPr>
            </w:pPr>
          </w:p>
          <w:p>
            <w:pPr>
              <w:rPr>
                <w:szCs w:val="21"/>
              </w:rPr>
            </w:pPr>
          </w:p>
          <w:p>
            <w:pPr>
              <w:pStyle w:val="21"/>
              <w:rPr>
                <w:szCs w:val="21"/>
              </w:rPr>
            </w:pPr>
          </w:p>
          <w:p/>
          <w:p>
            <w:pPr>
              <w:pStyle w:val="21"/>
              <w:ind w:left="0" w:leftChars="0"/>
            </w:pPr>
          </w:p>
          <w:p>
            <w:pPr>
              <w:pStyle w:val="21"/>
              <w:rPr>
                <w:rFonts w:ascii="Times New Roman" w:hAnsi="Times New Roman"/>
                <w:szCs w:val="21"/>
              </w:rPr>
            </w:pPr>
          </w:p>
          <w:p>
            <w:pPr>
              <w:rPr>
                <w:szCs w:val="21"/>
              </w:rPr>
            </w:pPr>
          </w:p>
          <w:p>
            <w:pPr>
              <w:rPr>
                <w:szCs w:val="21"/>
              </w:rPr>
            </w:pPr>
          </w:p>
          <w:p>
            <w:pPr>
              <w:adjustRightInd w:val="0"/>
              <w:snapToGrid w:val="0"/>
              <w:jc w:val="center"/>
              <w:rPr>
                <w:rFonts w:cs="宋体"/>
                <w:kern w:val="21"/>
                <w:szCs w:val="21"/>
              </w:rPr>
            </w:pPr>
          </w:p>
        </w:tc>
      </w:tr>
    </w:tbl>
    <w:p>
      <w:pPr>
        <w:pStyle w:val="43"/>
        <w:spacing w:before="240" w:after="240"/>
        <w:outlineLvl w:val="0"/>
        <w:rPr>
          <w:snapToGrid w:val="0"/>
          <w:szCs w:val="30"/>
        </w:rPr>
      </w:pPr>
      <w:r>
        <w:rPr>
          <w:snapToGrid w:val="0"/>
        </w:rPr>
        <w:br w:type="page"/>
      </w:r>
      <w:r>
        <w:rPr>
          <w:rFonts w:hint="eastAsia"/>
          <w:snapToGrid w:val="0"/>
          <w:szCs w:val="30"/>
        </w:rPr>
        <w:t>六、结论</w:t>
      </w:r>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pPr>
              <w:pStyle w:val="42"/>
              <w:ind w:firstLine="420"/>
            </w:pPr>
            <w:r>
              <w:t>建设单位必须严格遵守“三同时”管理规定，完成各项报建手续，加强环境管理，严格按有关法律、法规及本报告提出的要求落实各项环境保护措施，确保本项目所在区域的环境质量不因本项目的建设而受到影响。</w:t>
            </w:r>
            <w:r>
              <w:rPr>
                <w:rFonts w:hint="eastAsia"/>
              </w:rPr>
              <w:t>项目施工期及营运期经采取各项污染防治措施后，</w:t>
            </w:r>
            <w:r>
              <w:t>对周围环境的影响</w:t>
            </w:r>
            <w:r>
              <w:rPr>
                <w:rFonts w:hint="eastAsia"/>
              </w:rPr>
              <w:t>很小</w:t>
            </w:r>
            <w:r>
              <w:t>，从环境保护角度而言，本项目的建设是可行的。</w:t>
            </w:r>
          </w:p>
          <w:p>
            <w:pPr>
              <w:spacing w:line="360" w:lineRule="auto"/>
              <w:rPr>
                <w:rFonts w:cs="宋体"/>
                <w:sz w:val="24"/>
              </w:rPr>
            </w:pPr>
          </w:p>
        </w:tc>
      </w:tr>
    </w:tbl>
    <w:p>
      <w:pPr>
        <w:sectPr>
          <w:pgSz w:w="11906" w:h="16838"/>
          <w:pgMar w:top="1440" w:right="1440" w:bottom="1440" w:left="1440" w:header="851" w:footer="851" w:gutter="0"/>
          <w:pgBorders>
            <w:top w:val="none" w:sz="0" w:space="0"/>
            <w:left w:val="none" w:sz="0" w:space="0"/>
            <w:bottom w:val="none" w:sz="0" w:space="0"/>
            <w:right w:val="none" w:sz="0" w:space="0"/>
          </w:pgBorders>
          <w:cols w:space="720" w:num="1"/>
          <w:docGrid w:linePitch="312" w:charSpace="0"/>
        </w:sectPr>
      </w:pPr>
    </w:p>
    <w:p>
      <w:pPr>
        <w:pStyle w:val="40"/>
        <w:outlineLvl w:val="0"/>
      </w:pPr>
      <w:r>
        <w:rPr>
          <w:rFonts w:hint="eastAsia"/>
        </w:rPr>
        <w:t>附表</w:t>
      </w:r>
    </w:p>
    <w:p>
      <w:pPr>
        <w:pStyle w:val="41"/>
        <w:spacing w:line="240" w:lineRule="auto"/>
      </w:pPr>
      <w:r>
        <w:rPr>
          <w:rFonts w:hint="eastAsia"/>
        </w:rPr>
        <w:t>建设项目污染物排放量汇总表</w:t>
      </w:r>
    </w:p>
    <w:tbl>
      <w:tblPr>
        <w:tblStyle w:val="26"/>
        <w:tblW w:w="1493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16"/>
        <w:gridCol w:w="1975"/>
        <w:gridCol w:w="1688"/>
        <w:gridCol w:w="1258"/>
        <w:gridCol w:w="2059"/>
        <w:gridCol w:w="1944"/>
        <w:gridCol w:w="1944"/>
        <w:gridCol w:w="1953"/>
        <w:gridCol w:w="99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116" w:type="dxa"/>
            <w:tcBorders>
              <w:tl2br w:val="single" w:color="auto" w:sz="4" w:space="0"/>
            </w:tcBorders>
            <w:noWrap/>
            <w:tcMar>
              <w:left w:w="28" w:type="dxa"/>
              <w:right w:w="28" w:type="dxa"/>
            </w:tcMar>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项目</w:t>
            </w:r>
          </w:p>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分类</w:t>
            </w:r>
          </w:p>
        </w:tc>
        <w:tc>
          <w:tcPr>
            <w:tcW w:w="1975" w:type="dxa"/>
            <w:noWrap/>
            <w:tcMar>
              <w:left w:w="28" w:type="dxa"/>
              <w:right w:w="28" w:type="dxa"/>
            </w:tcMar>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污染物名称</w:t>
            </w:r>
          </w:p>
        </w:tc>
        <w:tc>
          <w:tcPr>
            <w:tcW w:w="1688" w:type="dxa"/>
            <w:noWrap/>
            <w:tcMar>
              <w:left w:w="28" w:type="dxa"/>
              <w:right w:w="28" w:type="dxa"/>
            </w:tcMar>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现有工程排放量（固体废物产生量）①</w:t>
            </w:r>
          </w:p>
        </w:tc>
        <w:tc>
          <w:tcPr>
            <w:tcW w:w="1258" w:type="dxa"/>
            <w:noWrap/>
            <w:tcMar>
              <w:left w:w="28" w:type="dxa"/>
              <w:right w:w="28" w:type="dxa"/>
            </w:tcMar>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现有工程许可排放量②</w:t>
            </w:r>
          </w:p>
        </w:tc>
        <w:tc>
          <w:tcPr>
            <w:tcW w:w="2059" w:type="dxa"/>
            <w:noWrap/>
            <w:tcMar>
              <w:left w:w="28" w:type="dxa"/>
              <w:right w:w="28" w:type="dxa"/>
            </w:tcMar>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在建工程排放量（固体废物产生量）③</w:t>
            </w:r>
          </w:p>
        </w:tc>
        <w:tc>
          <w:tcPr>
            <w:tcW w:w="1944" w:type="dxa"/>
            <w:noWrap/>
            <w:tcMar>
              <w:left w:w="28" w:type="dxa"/>
              <w:right w:w="28" w:type="dxa"/>
            </w:tcMar>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本项目排放量（固体废物产生量）④</w:t>
            </w:r>
          </w:p>
        </w:tc>
        <w:tc>
          <w:tcPr>
            <w:tcW w:w="1944" w:type="dxa"/>
            <w:noWrap/>
            <w:tcMar>
              <w:left w:w="28" w:type="dxa"/>
              <w:right w:w="28" w:type="dxa"/>
            </w:tcMar>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以新带老削减量（新建项目不填）⑤</w:t>
            </w:r>
          </w:p>
        </w:tc>
        <w:tc>
          <w:tcPr>
            <w:tcW w:w="1953" w:type="dxa"/>
            <w:noWrap/>
            <w:tcMar>
              <w:left w:w="28" w:type="dxa"/>
              <w:right w:w="28" w:type="dxa"/>
            </w:tcMar>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本项目建成后全厂排放量（固体废物产生量）⑥</w:t>
            </w:r>
          </w:p>
        </w:tc>
        <w:tc>
          <w:tcPr>
            <w:tcW w:w="993" w:type="dxa"/>
            <w:noWrap/>
            <w:tcMar>
              <w:left w:w="28" w:type="dxa"/>
              <w:right w:w="28" w:type="dxa"/>
            </w:tcMar>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变化量⑦</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116" w:type="dxa"/>
            <w:vMerge w:val="restart"/>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废气</w:t>
            </w:r>
          </w:p>
        </w:tc>
        <w:tc>
          <w:tcPr>
            <w:tcW w:w="1975"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NH</w:t>
            </w:r>
            <w:r>
              <w:rPr>
                <w:rFonts w:hint="default" w:ascii="Times New Roman" w:hAnsi="Times New Roman" w:eastAsia="宋体" w:cs="Times New Roman"/>
                <w:snapToGrid w:val="0"/>
                <w:kern w:val="21"/>
                <w:sz w:val="18"/>
                <w:szCs w:val="18"/>
                <w:vertAlign w:val="subscript"/>
              </w:rPr>
              <w:t>3</w:t>
            </w:r>
          </w:p>
        </w:tc>
        <w:tc>
          <w:tcPr>
            <w:tcW w:w="168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125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2059"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1944"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7.900kg/a</w:t>
            </w:r>
          </w:p>
        </w:tc>
        <w:tc>
          <w:tcPr>
            <w:tcW w:w="1944"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1953"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7.900kg/a</w:t>
            </w:r>
          </w:p>
        </w:tc>
        <w:tc>
          <w:tcPr>
            <w:tcW w:w="993"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7.900kg/a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116" w:type="dxa"/>
            <w:vMerge w:val="continue"/>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p>
        </w:tc>
        <w:tc>
          <w:tcPr>
            <w:tcW w:w="1975"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H</w:t>
            </w:r>
            <w:r>
              <w:rPr>
                <w:rFonts w:hint="default" w:ascii="Times New Roman" w:hAnsi="Times New Roman" w:eastAsia="宋体" w:cs="Times New Roman"/>
                <w:snapToGrid w:val="0"/>
                <w:kern w:val="21"/>
                <w:sz w:val="18"/>
                <w:szCs w:val="18"/>
                <w:vertAlign w:val="subscript"/>
              </w:rPr>
              <w:t>2</w:t>
            </w:r>
            <w:r>
              <w:rPr>
                <w:rFonts w:hint="default" w:ascii="Times New Roman" w:hAnsi="Times New Roman" w:eastAsia="宋体" w:cs="Times New Roman"/>
                <w:snapToGrid w:val="0"/>
                <w:kern w:val="21"/>
                <w:sz w:val="18"/>
                <w:szCs w:val="18"/>
              </w:rPr>
              <w:t>S</w:t>
            </w:r>
          </w:p>
        </w:tc>
        <w:tc>
          <w:tcPr>
            <w:tcW w:w="168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125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2059"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1944"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0.023kg/a</w:t>
            </w:r>
          </w:p>
        </w:tc>
        <w:tc>
          <w:tcPr>
            <w:tcW w:w="1944"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1953"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0.023kg/a</w:t>
            </w:r>
          </w:p>
        </w:tc>
        <w:tc>
          <w:tcPr>
            <w:tcW w:w="993"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0.023kg/a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116" w:type="dxa"/>
            <w:vMerge w:val="restart"/>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废水</w:t>
            </w:r>
          </w:p>
        </w:tc>
        <w:tc>
          <w:tcPr>
            <w:tcW w:w="1975"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COD</w:t>
            </w:r>
          </w:p>
        </w:tc>
        <w:tc>
          <w:tcPr>
            <w:tcW w:w="168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125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2059"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1944"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0.225t/a</w:t>
            </w:r>
          </w:p>
        </w:tc>
        <w:tc>
          <w:tcPr>
            <w:tcW w:w="1944"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1953"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0.225t/a</w:t>
            </w:r>
          </w:p>
        </w:tc>
        <w:tc>
          <w:tcPr>
            <w:tcW w:w="993"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0.225t/a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116" w:type="dxa"/>
            <w:vMerge w:val="continue"/>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p>
        </w:tc>
        <w:tc>
          <w:tcPr>
            <w:tcW w:w="1975"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氨氮</w:t>
            </w:r>
          </w:p>
        </w:tc>
        <w:tc>
          <w:tcPr>
            <w:tcW w:w="168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125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2059"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1944"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0.019t/a</w:t>
            </w:r>
          </w:p>
        </w:tc>
        <w:tc>
          <w:tcPr>
            <w:tcW w:w="1944"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1953"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0.019t/a</w:t>
            </w:r>
          </w:p>
        </w:tc>
        <w:tc>
          <w:tcPr>
            <w:tcW w:w="993"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0.019t/a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116"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一般工业</w:t>
            </w:r>
          </w:p>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固体废物</w:t>
            </w:r>
          </w:p>
        </w:tc>
        <w:tc>
          <w:tcPr>
            <w:tcW w:w="1975"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lang w:val="en-US" w:eastAsia="zh-CN"/>
              </w:rPr>
            </w:pPr>
            <w:r>
              <w:rPr>
                <w:rFonts w:hint="default" w:ascii="Times New Roman" w:hAnsi="Times New Roman" w:eastAsia="宋体" w:cs="Times New Roman"/>
                <w:sz w:val="18"/>
                <w:szCs w:val="18"/>
                <w:lang w:val="en-US" w:eastAsia="zh-CN"/>
              </w:rPr>
              <w:t>生活垃圾</w:t>
            </w:r>
          </w:p>
        </w:tc>
        <w:tc>
          <w:tcPr>
            <w:tcW w:w="168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125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2059"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1944"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5.375 t/a</w:t>
            </w:r>
          </w:p>
        </w:tc>
        <w:tc>
          <w:tcPr>
            <w:tcW w:w="1944"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1953"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5.375 t/a</w:t>
            </w:r>
          </w:p>
        </w:tc>
        <w:tc>
          <w:tcPr>
            <w:tcW w:w="993"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5.375 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116" w:type="dxa"/>
            <w:vMerge w:val="restart"/>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lang w:eastAsia="zh-CN"/>
              </w:rPr>
            </w:pPr>
            <w:r>
              <w:rPr>
                <w:rFonts w:hint="default" w:ascii="Times New Roman" w:hAnsi="Times New Roman" w:eastAsia="宋体" w:cs="Times New Roman"/>
                <w:snapToGrid w:val="0"/>
                <w:kern w:val="21"/>
                <w:sz w:val="18"/>
                <w:szCs w:val="18"/>
                <w:lang w:val="en-US" w:eastAsia="zh-CN"/>
              </w:rPr>
              <w:t>危险废物</w:t>
            </w:r>
          </w:p>
        </w:tc>
        <w:tc>
          <w:tcPr>
            <w:tcW w:w="1975"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z w:val="18"/>
                <w:szCs w:val="18"/>
              </w:rPr>
              <w:t>废样本</w:t>
            </w:r>
          </w:p>
        </w:tc>
        <w:tc>
          <w:tcPr>
            <w:tcW w:w="168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125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2059"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1944"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z w:val="18"/>
                <w:szCs w:val="18"/>
              </w:rPr>
              <w:t>3.5</w:t>
            </w:r>
            <w:r>
              <w:rPr>
                <w:rFonts w:hint="default" w:ascii="Times New Roman" w:hAnsi="Times New Roman" w:eastAsia="宋体" w:cs="Times New Roman"/>
                <w:snapToGrid w:val="0"/>
                <w:kern w:val="21"/>
                <w:sz w:val="18"/>
                <w:szCs w:val="18"/>
              </w:rPr>
              <w:t xml:space="preserve"> t/a</w:t>
            </w:r>
          </w:p>
        </w:tc>
        <w:tc>
          <w:tcPr>
            <w:tcW w:w="1944"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napToGrid w:val="0"/>
                <w:kern w:val="21"/>
                <w:sz w:val="18"/>
                <w:szCs w:val="18"/>
              </w:rPr>
              <w:t>/</w:t>
            </w:r>
          </w:p>
        </w:tc>
        <w:tc>
          <w:tcPr>
            <w:tcW w:w="1953"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z w:val="18"/>
                <w:szCs w:val="18"/>
              </w:rPr>
              <w:t>3.5</w:t>
            </w:r>
            <w:r>
              <w:rPr>
                <w:rFonts w:hint="default" w:ascii="Times New Roman" w:hAnsi="Times New Roman" w:eastAsia="宋体" w:cs="Times New Roman"/>
                <w:snapToGrid w:val="0"/>
                <w:kern w:val="21"/>
                <w:sz w:val="18"/>
                <w:szCs w:val="18"/>
              </w:rPr>
              <w:t xml:space="preserve"> t/a</w:t>
            </w:r>
          </w:p>
        </w:tc>
        <w:tc>
          <w:tcPr>
            <w:tcW w:w="993"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napToGrid w:val="0"/>
                <w:kern w:val="21"/>
                <w:sz w:val="18"/>
                <w:szCs w:val="18"/>
              </w:rPr>
            </w:pPr>
            <w:r>
              <w:rPr>
                <w:rFonts w:hint="default" w:ascii="Times New Roman" w:hAnsi="Times New Roman" w:eastAsia="宋体" w:cs="Times New Roman"/>
                <w:sz w:val="18"/>
                <w:szCs w:val="18"/>
              </w:rPr>
              <w:t>3.5</w:t>
            </w:r>
            <w:r>
              <w:rPr>
                <w:rFonts w:hint="default" w:ascii="Times New Roman" w:hAnsi="Times New Roman" w:eastAsia="宋体" w:cs="Times New Roman"/>
                <w:snapToGrid w:val="0"/>
                <w:kern w:val="21"/>
                <w:sz w:val="18"/>
                <w:szCs w:val="18"/>
              </w:rPr>
              <w:t xml:space="preserve"> 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116" w:type="dxa"/>
            <w:vMerge w:val="continue"/>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p>
        </w:tc>
        <w:tc>
          <w:tcPr>
            <w:tcW w:w="1975"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废弃实验室耗材（废移液器吸头等）</w:t>
            </w:r>
          </w:p>
        </w:tc>
        <w:tc>
          <w:tcPr>
            <w:tcW w:w="168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25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2059"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944"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0.5</w:t>
            </w:r>
            <w:r>
              <w:rPr>
                <w:rFonts w:hint="default" w:ascii="Times New Roman" w:hAnsi="Times New Roman" w:eastAsia="宋体" w:cs="Times New Roman"/>
                <w:snapToGrid w:val="0"/>
                <w:kern w:val="21"/>
                <w:sz w:val="18"/>
                <w:szCs w:val="18"/>
              </w:rPr>
              <w:t xml:space="preserve"> t/a</w:t>
            </w:r>
          </w:p>
        </w:tc>
        <w:tc>
          <w:tcPr>
            <w:tcW w:w="1944"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953"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0.5</w:t>
            </w:r>
            <w:r>
              <w:rPr>
                <w:rFonts w:hint="default" w:ascii="Times New Roman" w:hAnsi="Times New Roman" w:eastAsia="宋体" w:cs="Times New Roman"/>
                <w:snapToGrid w:val="0"/>
                <w:kern w:val="21"/>
                <w:sz w:val="18"/>
                <w:szCs w:val="18"/>
              </w:rPr>
              <w:t xml:space="preserve"> t/a</w:t>
            </w:r>
          </w:p>
        </w:tc>
        <w:tc>
          <w:tcPr>
            <w:tcW w:w="993"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0.5</w:t>
            </w:r>
            <w:r>
              <w:rPr>
                <w:rFonts w:hint="default" w:ascii="Times New Roman" w:hAnsi="Times New Roman" w:eastAsia="宋体" w:cs="Times New Roman"/>
                <w:snapToGrid w:val="0"/>
                <w:kern w:val="21"/>
                <w:sz w:val="18"/>
                <w:szCs w:val="18"/>
              </w:rPr>
              <w:t xml:space="preserve"> 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116" w:type="dxa"/>
            <w:vMerge w:val="continue"/>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p>
        </w:tc>
        <w:tc>
          <w:tcPr>
            <w:tcW w:w="1975"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废一次性防护服和一次性手套</w:t>
            </w:r>
          </w:p>
        </w:tc>
        <w:tc>
          <w:tcPr>
            <w:tcW w:w="168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25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2059"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944"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1.5</w:t>
            </w:r>
            <w:r>
              <w:rPr>
                <w:rFonts w:hint="default" w:ascii="Times New Roman" w:hAnsi="Times New Roman" w:eastAsia="宋体" w:cs="Times New Roman"/>
                <w:snapToGrid w:val="0"/>
                <w:kern w:val="21"/>
                <w:sz w:val="18"/>
                <w:szCs w:val="18"/>
              </w:rPr>
              <w:t xml:space="preserve"> t/a</w:t>
            </w:r>
          </w:p>
        </w:tc>
        <w:tc>
          <w:tcPr>
            <w:tcW w:w="1944"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953"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1.5</w:t>
            </w:r>
            <w:r>
              <w:rPr>
                <w:rFonts w:hint="default" w:ascii="Times New Roman" w:hAnsi="Times New Roman" w:eastAsia="宋体" w:cs="Times New Roman"/>
                <w:snapToGrid w:val="0"/>
                <w:kern w:val="21"/>
                <w:sz w:val="18"/>
                <w:szCs w:val="18"/>
              </w:rPr>
              <w:t xml:space="preserve"> t/a</w:t>
            </w:r>
          </w:p>
        </w:tc>
        <w:tc>
          <w:tcPr>
            <w:tcW w:w="993"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1.5</w:t>
            </w:r>
            <w:r>
              <w:rPr>
                <w:rFonts w:hint="default" w:ascii="Times New Roman" w:hAnsi="Times New Roman" w:eastAsia="宋体" w:cs="Times New Roman"/>
                <w:snapToGrid w:val="0"/>
                <w:kern w:val="21"/>
                <w:sz w:val="18"/>
                <w:szCs w:val="18"/>
              </w:rPr>
              <w:t xml:space="preserve"> 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116" w:type="dxa"/>
            <w:vMerge w:val="continue"/>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p>
        </w:tc>
        <w:tc>
          <w:tcPr>
            <w:tcW w:w="1975"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废试剂盒</w:t>
            </w:r>
          </w:p>
        </w:tc>
        <w:tc>
          <w:tcPr>
            <w:tcW w:w="168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25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2059"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944"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2.5</w:t>
            </w:r>
            <w:r>
              <w:rPr>
                <w:rFonts w:hint="default" w:ascii="Times New Roman" w:hAnsi="Times New Roman" w:eastAsia="宋体" w:cs="Times New Roman"/>
                <w:snapToGrid w:val="0"/>
                <w:kern w:val="21"/>
                <w:sz w:val="18"/>
                <w:szCs w:val="18"/>
              </w:rPr>
              <w:t xml:space="preserve"> t/a</w:t>
            </w:r>
          </w:p>
        </w:tc>
        <w:tc>
          <w:tcPr>
            <w:tcW w:w="1944"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953"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2.5</w:t>
            </w:r>
            <w:r>
              <w:rPr>
                <w:rFonts w:hint="default" w:ascii="Times New Roman" w:hAnsi="Times New Roman" w:eastAsia="宋体" w:cs="Times New Roman"/>
                <w:snapToGrid w:val="0"/>
                <w:kern w:val="21"/>
                <w:sz w:val="18"/>
                <w:szCs w:val="18"/>
              </w:rPr>
              <w:t xml:space="preserve"> t/a</w:t>
            </w:r>
          </w:p>
        </w:tc>
        <w:tc>
          <w:tcPr>
            <w:tcW w:w="993"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2.5</w:t>
            </w:r>
            <w:r>
              <w:rPr>
                <w:rFonts w:hint="default" w:ascii="Times New Roman" w:hAnsi="Times New Roman" w:eastAsia="宋体" w:cs="Times New Roman"/>
                <w:snapToGrid w:val="0"/>
                <w:kern w:val="21"/>
                <w:sz w:val="18"/>
                <w:szCs w:val="18"/>
              </w:rPr>
              <w:t xml:space="preserve"> 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7" w:hRule="atLeast"/>
          <w:jc w:val="center"/>
        </w:trPr>
        <w:tc>
          <w:tcPr>
            <w:tcW w:w="1116" w:type="dxa"/>
            <w:vMerge w:val="continue"/>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p>
        </w:tc>
        <w:tc>
          <w:tcPr>
            <w:tcW w:w="1975"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废HEPA过滤器</w:t>
            </w:r>
          </w:p>
        </w:tc>
        <w:tc>
          <w:tcPr>
            <w:tcW w:w="168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25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2059"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944"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0.1</w:t>
            </w:r>
            <w:r>
              <w:rPr>
                <w:rFonts w:hint="default" w:ascii="Times New Roman" w:hAnsi="Times New Roman" w:eastAsia="宋体" w:cs="Times New Roman"/>
                <w:snapToGrid w:val="0"/>
                <w:kern w:val="21"/>
                <w:sz w:val="18"/>
                <w:szCs w:val="18"/>
              </w:rPr>
              <w:t xml:space="preserve"> t/a</w:t>
            </w:r>
          </w:p>
        </w:tc>
        <w:tc>
          <w:tcPr>
            <w:tcW w:w="1944"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953"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0.1</w:t>
            </w:r>
            <w:r>
              <w:rPr>
                <w:rFonts w:hint="default" w:ascii="Times New Roman" w:hAnsi="Times New Roman" w:eastAsia="宋体" w:cs="Times New Roman"/>
                <w:snapToGrid w:val="0"/>
                <w:kern w:val="21"/>
                <w:sz w:val="18"/>
                <w:szCs w:val="18"/>
              </w:rPr>
              <w:t xml:space="preserve"> t/a</w:t>
            </w:r>
          </w:p>
        </w:tc>
        <w:tc>
          <w:tcPr>
            <w:tcW w:w="993"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0.1</w:t>
            </w:r>
            <w:r>
              <w:rPr>
                <w:rFonts w:hint="default" w:ascii="Times New Roman" w:hAnsi="Times New Roman" w:eastAsia="宋体" w:cs="Times New Roman"/>
                <w:snapToGrid w:val="0"/>
                <w:kern w:val="21"/>
                <w:sz w:val="18"/>
                <w:szCs w:val="18"/>
              </w:rPr>
              <w:t xml:space="preserve"> 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116" w:type="dxa"/>
            <w:vMerge w:val="continue"/>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p>
        </w:tc>
        <w:tc>
          <w:tcPr>
            <w:tcW w:w="1975"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废试剂</w:t>
            </w:r>
          </w:p>
        </w:tc>
        <w:tc>
          <w:tcPr>
            <w:tcW w:w="168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25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2059"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944"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2.0</w:t>
            </w:r>
            <w:r>
              <w:rPr>
                <w:rFonts w:hint="default" w:ascii="Times New Roman" w:hAnsi="Times New Roman" w:eastAsia="宋体" w:cs="Times New Roman"/>
                <w:snapToGrid w:val="0"/>
                <w:kern w:val="21"/>
                <w:sz w:val="18"/>
                <w:szCs w:val="18"/>
              </w:rPr>
              <w:t xml:space="preserve"> t/a</w:t>
            </w:r>
          </w:p>
        </w:tc>
        <w:tc>
          <w:tcPr>
            <w:tcW w:w="1944"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953"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2.0</w:t>
            </w:r>
            <w:r>
              <w:rPr>
                <w:rFonts w:hint="default" w:ascii="Times New Roman" w:hAnsi="Times New Roman" w:eastAsia="宋体" w:cs="Times New Roman"/>
                <w:snapToGrid w:val="0"/>
                <w:kern w:val="21"/>
                <w:sz w:val="18"/>
                <w:szCs w:val="18"/>
              </w:rPr>
              <w:t xml:space="preserve"> t/a</w:t>
            </w:r>
          </w:p>
        </w:tc>
        <w:tc>
          <w:tcPr>
            <w:tcW w:w="993"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2.0</w:t>
            </w:r>
            <w:r>
              <w:rPr>
                <w:rFonts w:hint="default" w:ascii="Times New Roman" w:hAnsi="Times New Roman" w:eastAsia="宋体" w:cs="Times New Roman"/>
                <w:snapToGrid w:val="0"/>
                <w:kern w:val="21"/>
                <w:sz w:val="18"/>
                <w:szCs w:val="18"/>
              </w:rPr>
              <w:t xml:space="preserve"> 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116" w:type="dxa"/>
            <w:vMerge w:val="continue"/>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p>
        </w:tc>
        <w:tc>
          <w:tcPr>
            <w:tcW w:w="1975"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污泥</w:t>
            </w:r>
          </w:p>
        </w:tc>
        <w:tc>
          <w:tcPr>
            <w:tcW w:w="168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25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2059"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944"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2.5</w:t>
            </w:r>
            <w:r>
              <w:rPr>
                <w:rFonts w:hint="default" w:ascii="Times New Roman" w:hAnsi="Times New Roman" w:eastAsia="宋体" w:cs="Times New Roman"/>
                <w:snapToGrid w:val="0"/>
                <w:kern w:val="21"/>
                <w:sz w:val="18"/>
                <w:szCs w:val="18"/>
              </w:rPr>
              <w:t xml:space="preserve"> t/a</w:t>
            </w:r>
          </w:p>
        </w:tc>
        <w:tc>
          <w:tcPr>
            <w:tcW w:w="1944"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953"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2.5</w:t>
            </w:r>
            <w:r>
              <w:rPr>
                <w:rFonts w:hint="default" w:ascii="Times New Roman" w:hAnsi="Times New Roman" w:eastAsia="宋体" w:cs="Times New Roman"/>
                <w:snapToGrid w:val="0"/>
                <w:kern w:val="21"/>
                <w:sz w:val="18"/>
                <w:szCs w:val="18"/>
              </w:rPr>
              <w:t xml:space="preserve"> t/a</w:t>
            </w:r>
          </w:p>
        </w:tc>
        <w:tc>
          <w:tcPr>
            <w:tcW w:w="993"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2.5</w:t>
            </w:r>
            <w:r>
              <w:rPr>
                <w:rFonts w:hint="default" w:ascii="Times New Roman" w:hAnsi="Times New Roman" w:eastAsia="宋体" w:cs="Times New Roman"/>
                <w:snapToGrid w:val="0"/>
                <w:kern w:val="21"/>
                <w:sz w:val="18"/>
                <w:szCs w:val="18"/>
              </w:rPr>
              <w:t xml:space="preserve"> 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116" w:type="dxa"/>
            <w:vMerge w:val="continue"/>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p>
        </w:tc>
        <w:tc>
          <w:tcPr>
            <w:tcW w:w="1975"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废活性炭</w:t>
            </w:r>
          </w:p>
        </w:tc>
        <w:tc>
          <w:tcPr>
            <w:tcW w:w="168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25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2059"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944"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5</w:t>
            </w:r>
            <w:r>
              <w:rPr>
                <w:rFonts w:hint="default" w:ascii="Times New Roman" w:hAnsi="Times New Roman" w:eastAsia="宋体" w:cs="Times New Roman"/>
                <w:snapToGrid w:val="0"/>
                <w:kern w:val="21"/>
                <w:sz w:val="18"/>
                <w:szCs w:val="18"/>
              </w:rPr>
              <w:t xml:space="preserve"> t/a</w:t>
            </w:r>
          </w:p>
        </w:tc>
        <w:tc>
          <w:tcPr>
            <w:tcW w:w="1944"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953"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5</w:t>
            </w:r>
            <w:r>
              <w:rPr>
                <w:rFonts w:hint="default" w:ascii="Times New Roman" w:hAnsi="Times New Roman" w:eastAsia="宋体" w:cs="Times New Roman"/>
                <w:snapToGrid w:val="0"/>
                <w:kern w:val="21"/>
                <w:sz w:val="18"/>
                <w:szCs w:val="18"/>
              </w:rPr>
              <w:t xml:space="preserve"> t/a</w:t>
            </w:r>
          </w:p>
        </w:tc>
        <w:tc>
          <w:tcPr>
            <w:tcW w:w="993"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5</w:t>
            </w:r>
            <w:r>
              <w:rPr>
                <w:rFonts w:hint="default" w:ascii="Times New Roman" w:hAnsi="Times New Roman" w:eastAsia="宋体" w:cs="Times New Roman"/>
                <w:snapToGrid w:val="0"/>
                <w:kern w:val="21"/>
                <w:sz w:val="18"/>
                <w:szCs w:val="18"/>
              </w:rPr>
              <w:t xml:space="preserve"> 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116" w:type="dxa"/>
            <w:vMerge w:val="continue"/>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p>
        </w:tc>
        <w:tc>
          <w:tcPr>
            <w:tcW w:w="1975"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有机废液</w:t>
            </w:r>
          </w:p>
        </w:tc>
        <w:tc>
          <w:tcPr>
            <w:tcW w:w="168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258"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2059"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944"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2.5</w:t>
            </w:r>
            <w:r>
              <w:rPr>
                <w:rFonts w:hint="default" w:ascii="Times New Roman" w:hAnsi="Times New Roman" w:eastAsia="宋体" w:cs="Times New Roman"/>
                <w:snapToGrid w:val="0"/>
                <w:kern w:val="21"/>
                <w:sz w:val="18"/>
                <w:szCs w:val="18"/>
              </w:rPr>
              <w:t xml:space="preserve"> t/a</w:t>
            </w:r>
          </w:p>
        </w:tc>
        <w:tc>
          <w:tcPr>
            <w:tcW w:w="1944" w:type="dxa"/>
            <w:noWrap/>
            <w:vAlign w:val="center"/>
          </w:tcPr>
          <w:p>
            <w:pPr>
              <w:pStyle w:val="60"/>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napToGrid w:val="0"/>
                <w:kern w:val="21"/>
                <w:sz w:val="18"/>
                <w:szCs w:val="18"/>
              </w:rPr>
              <w:t>/</w:t>
            </w:r>
          </w:p>
        </w:tc>
        <w:tc>
          <w:tcPr>
            <w:tcW w:w="1953"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2.5</w:t>
            </w:r>
            <w:r>
              <w:rPr>
                <w:rFonts w:hint="default" w:ascii="Times New Roman" w:hAnsi="Times New Roman" w:eastAsia="宋体" w:cs="Times New Roman"/>
                <w:snapToGrid w:val="0"/>
                <w:kern w:val="21"/>
                <w:sz w:val="18"/>
                <w:szCs w:val="18"/>
              </w:rPr>
              <w:t xml:space="preserve"> t/a</w:t>
            </w:r>
          </w:p>
        </w:tc>
        <w:tc>
          <w:tcPr>
            <w:tcW w:w="993" w:type="dxa"/>
            <w:noWrap/>
            <w:vAlign w:val="center"/>
          </w:tcPr>
          <w:p>
            <w:pPr>
              <w:keepNext w:val="0"/>
              <w:keepLines w:val="0"/>
              <w:pageBreakBefore w:val="0"/>
              <w:widowControl w:val="0"/>
              <w:kinsoku/>
              <w:wordWrap/>
              <w:overflowPunct/>
              <w:topLinePunct w:val="0"/>
              <w:autoSpaceDE/>
              <w:autoSpaceDN/>
              <w:bidi w:val="0"/>
              <w:spacing w:beforeLines="0" w:afterLines="0" w:line="240" w:lineRule="auto"/>
              <w:ind w:firstLine="0" w:firstLineChars="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2.5</w:t>
            </w:r>
            <w:r>
              <w:rPr>
                <w:rFonts w:hint="default" w:ascii="Times New Roman" w:hAnsi="Times New Roman" w:eastAsia="宋体" w:cs="Times New Roman"/>
                <w:snapToGrid w:val="0"/>
                <w:kern w:val="21"/>
                <w:sz w:val="18"/>
                <w:szCs w:val="18"/>
              </w:rPr>
              <w:t xml:space="preserve"> t/a</w:t>
            </w:r>
          </w:p>
        </w:tc>
      </w:tr>
    </w:tbl>
    <w:p>
      <w:pPr>
        <w:spacing w:before="192" w:beforeLines="80" w:after="24"/>
        <w:jc w:val="left"/>
        <w:rPr>
          <w:snapToGrid w:val="0"/>
          <w:spacing w:val="-6"/>
          <w:kern w:val="21"/>
          <w:szCs w:val="21"/>
        </w:rPr>
      </w:pPr>
      <w:r>
        <w:rPr>
          <w:snapToGrid w:val="0"/>
          <w:kern w:val="21"/>
          <w:szCs w:val="21"/>
        </w:rPr>
        <w:t>注：</w:t>
      </w:r>
      <w:r>
        <w:rPr>
          <w:snapToGrid w:val="0"/>
          <w:spacing w:val="-16"/>
          <w:kern w:val="21"/>
          <w:szCs w:val="21"/>
        </w:rPr>
        <w:fldChar w:fldCharType="begin"/>
      </w:r>
      <w:r>
        <w:rPr>
          <w:snapToGrid w:val="0"/>
          <w:spacing w:val="-16"/>
          <w:kern w:val="21"/>
          <w:szCs w:val="21"/>
        </w:rPr>
        <w:instrText xml:space="preserve"> = 6 \* GB3 \* MERGEFORMAT </w:instrText>
      </w:r>
      <w:r>
        <w:rPr>
          <w:snapToGrid w:val="0"/>
          <w:spacing w:val="-16"/>
          <w:kern w:val="21"/>
          <w:szCs w:val="21"/>
        </w:rPr>
        <w:fldChar w:fldCharType="separate"/>
      </w:r>
      <w:r>
        <w:rPr>
          <w:rFonts w:hint="eastAsia"/>
          <w:szCs w:val="21"/>
        </w:rPr>
        <w:t>⑥</w:t>
      </w:r>
      <w:r>
        <w:rPr>
          <w:snapToGrid w:val="0"/>
          <w:spacing w:val="-16"/>
          <w:kern w:val="21"/>
          <w:szCs w:val="21"/>
        </w:rPr>
        <w:fldChar w:fldCharType="end"/>
      </w:r>
      <w:r>
        <w:rPr>
          <w:snapToGrid w:val="0"/>
          <w:spacing w:val="-16"/>
          <w:kern w:val="21"/>
          <w:szCs w:val="21"/>
        </w:rPr>
        <w:t>=</w:t>
      </w:r>
      <w:r>
        <w:rPr>
          <w:snapToGrid w:val="0"/>
          <w:spacing w:val="-6"/>
          <w:kern w:val="21"/>
          <w:szCs w:val="21"/>
        </w:rPr>
        <w:fldChar w:fldCharType="begin"/>
      </w:r>
      <w:r>
        <w:rPr>
          <w:snapToGrid w:val="0"/>
          <w:spacing w:val="-6"/>
          <w:kern w:val="21"/>
          <w:szCs w:val="21"/>
        </w:rPr>
        <w:instrText xml:space="preserve"> = 1 \* GB3 \* MERGEFORMAT </w:instrText>
      </w:r>
      <w:r>
        <w:rPr>
          <w:snapToGrid w:val="0"/>
          <w:spacing w:val="-6"/>
          <w:kern w:val="21"/>
          <w:szCs w:val="21"/>
        </w:rPr>
        <w:fldChar w:fldCharType="separate"/>
      </w:r>
      <w:r>
        <w:rPr>
          <w:rFonts w:hint="eastAsia"/>
          <w:szCs w:val="21"/>
        </w:rPr>
        <w:t>①</w:t>
      </w:r>
      <w:r>
        <w:rPr>
          <w:snapToGrid w:val="0"/>
          <w:spacing w:val="-6"/>
          <w:kern w:val="21"/>
          <w:szCs w:val="21"/>
        </w:rPr>
        <w:fldChar w:fldCharType="end"/>
      </w:r>
      <w:r>
        <w:rPr>
          <w:snapToGrid w:val="0"/>
          <w:spacing w:val="-6"/>
          <w:kern w:val="21"/>
          <w:szCs w:val="21"/>
        </w:rPr>
        <w:t>+</w:t>
      </w:r>
      <w:r>
        <w:rPr>
          <w:snapToGrid w:val="0"/>
          <w:spacing w:val="-6"/>
          <w:kern w:val="21"/>
          <w:szCs w:val="21"/>
        </w:rPr>
        <w:fldChar w:fldCharType="begin"/>
      </w:r>
      <w:r>
        <w:rPr>
          <w:snapToGrid w:val="0"/>
          <w:spacing w:val="-6"/>
          <w:kern w:val="21"/>
          <w:szCs w:val="21"/>
        </w:rPr>
        <w:instrText xml:space="preserve"> = 3 \* GB3 \* MERGEFORMAT </w:instrText>
      </w:r>
      <w:r>
        <w:rPr>
          <w:snapToGrid w:val="0"/>
          <w:spacing w:val="-6"/>
          <w:kern w:val="21"/>
          <w:szCs w:val="21"/>
        </w:rPr>
        <w:fldChar w:fldCharType="separate"/>
      </w:r>
      <w:r>
        <w:rPr>
          <w:rFonts w:hint="eastAsia"/>
          <w:szCs w:val="21"/>
        </w:rPr>
        <w:t>③</w:t>
      </w:r>
      <w:r>
        <w:rPr>
          <w:snapToGrid w:val="0"/>
          <w:spacing w:val="-6"/>
          <w:kern w:val="21"/>
          <w:szCs w:val="21"/>
        </w:rPr>
        <w:fldChar w:fldCharType="end"/>
      </w:r>
      <w:r>
        <w:rPr>
          <w:snapToGrid w:val="0"/>
          <w:spacing w:val="-6"/>
          <w:kern w:val="21"/>
          <w:szCs w:val="21"/>
        </w:rPr>
        <w:t>+</w:t>
      </w:r>
      <w:r>
        <w:rPr>
          <w:snapToGrid w:val="0"/>
          <w:spacing w:val="-6"/>
          <w:kern w:val="21"/>
          <w:szCs w:val="21"/>
        </w:rPr>
        <w:fldChar w:fldCharType="begin"/>
      </w:r>
      <w:r>
        <w:rPr>
          <w:snapToGrid w:val="0"/>
          <w:spacing w:val="-6"/>
          <w:kern w:val="21"/>
          <w:szCs w:val="21"/>
        </w:rPr>
        <w:instrText xml:space="preserve"> = 4 \* GB3 \* MERGEFORMAT </w:instrText>
      </w:r>
      <w:r>
        <w:rPr>
          <w:snapToGrid w:val="0"/>
          <w:spacing w:val="-6"/>
          <w:kern w:val="21"/>
          <w:szCs w:val="21"/>
        </w:rPr>
        <w:fldChar w:fldCharType="separate"/>
      </w:r>
      <w:r>
        <w:rPr>
          <w:rFonts w:hint="eastAsia"/>
          <w:szCs w:val="21"/>
        </w:rPr>
        <w:t>④</w:t>
      </w:r>
      <w:r>
        <w:rPr>
          <w:snapToGrid w:val="0"/>
          <w:spacing w:val="-6"/>
          <w:kern w:val="21"/>
          <w:szCs w:val="21"/>
        </w:rPr>
        <w:fldChar w:fldCharType="end"/>
      </w:r>
      <w:r>
        <w:rPr>
          <w:snapToGrid w:val="0"/>
          <w:spacing w:val="-6"/>
          <w:kern w:val="21"/>
          <w:szCs w:val="21"/>
        </w:rPr>
        <w:t>-</w:t>
      </w:r>
      <w:r>
        <w:rPr>
          <w:snapToGrid w:val="0"/>
          <w:spacing w:val="-16"/>
          <w:kern w:val="21"/>
          <w:szCs w:val="21"/>
        </w:rPr>
        <w:fldChar w:fldCharType="begin"/>
      </w:r>
      <w:r>
        <w:rPr>
          <w:snapToGrid w:val="0"/>
          <w:spacing w:val="-16"/>
          <w:kern w:val="21"/>
          <w:szCs w:val="21"/>
        </w:rPr>
        <w:instrText xml:space="preserve"> = 5 \* GB3 \* MERGEFORMAT </w:instrText>
      </w:r>
      <w:r>
        <w:rPr>
          <w:snapToGrid w:val="0"/>
          <w:spacing w:val="-16"/>
          <w:kern w:val="21"/>
          <w:szCs w:val="21"/>
        </w:rPr>
        <w:fldChar w:fldCharType="separate"/>
      </w:r>
      <w:r>
        <w:rPr>
          <w:rFonts w:hint="eastAsia"/>
          <w:szCs w:val="21"/>
        </w:rPr>
        <w:t>⑤</w:t>
      </w:r>
      <w:r>
        <w:rPr>
          <w:snapToGrid w:val="0"/>
          <w:spacing w:val="-16"/>
          <w:kern w:val="21"/>
          <w:szCs w:val="21"/>
        </w:rPr>
        <w:fldChar w:fldCharType="end"/>
      </w:r>
      <w:r>
        <w:rPr>
          <w:snapToGrid w:val="0"/>
          <w:spacing w:val="-16"/>
          <w:kern w:val="21"/>
          <w:szCs w:val="21"/>
        </w:rPr>
        <w:t>；</w:t>
      </w:r>
      <w:r>
        <w:rPr>
          <w:snapToGrid w:val="0"/>
          <w:spacing w:val="-6"/>
          <w:kern w:val="21"/>
          <w:szCs w:val="21"/>
        </w:rPr>
        <w:fldChar w:fldCharType="begin"/>
      </w:r>
      <w:r>
        <w:rPr>
          <w:snapToGrid w:val="0"/>
          <w:spacing w:val="-6"/>
          <w:kern w:val="21"/>
          <w:szCs w:val="21"/>
        </w:rPr>
        <w:instrText xml:space="preserve"> = 7 \* GB3 \* MERGEFORMAT </w:instrText>
      </w:r>
      <w:r>
        <w:rPr>
          <w:snapToGrid w:val="0"/>
          <w:spacing w:val="-6"/>
          <w:kern w:val="21"/>
          <w:szCs w:val="21"/>
        </w:rPr>
        <w:fldChar w:fldCharType="separate"/>
      </w:r>
      <w:r>
        <w:rPr>
          <w:rFonts w:hint="eastAsia"/>
          <w:szCs w:val="21"/>
        </w:rPr>
        <w:t>⑦</w:t>
      </w:r>
      <w:r>
        <w:rPr>
          <w:snapToGrid w:val="0"/>
          <w:spacing w:val="-6"/>
          <w:kern w:val="21"/>
          <w:szCs w:val="21"/>
        </w:rPr>
        <w:fldChar w:fldCharType="end"/>
      </w:r>
      <w:r>
        <w:rPr>
          <w:snapToGrid w:val="0"/>
          <w:spacing w:val="-6"/>
          <w:kern w:val="21"/>
          <w:szCs w:val="21"/>
        </w:rPr>
        <w:t>=</w:t>
      </w:r>
      <w:r>
        <w:rPr>
          <w:snapToGrid w:val="0"/>
          <w:spacing w:val="-16"/>
          <w:kern w:val="21"/>
          <w:szCs w:val="21"/>
        </w:rPr>
        <w:fldChar w:fldCharType="begin"/>
      </w:r>
      <w:r>
        <w:rPr>
          <w:snapToGrid w:val="0"/>
          <w:spacing w:val="-16"/>
          <w:kern w:val="21"/>
          <w:szCs w:val="21"/>
        </w:rPr>
        <w:instrText xml:space="preserve"> = 6 \* GB3 \* MERGEFORMAT </w:instrText>
      </w:r>
      <w:r>
        <w:rPr>
          <w:snapToGrid w:val="0"/>
          <w:spacing w:val="-16"/>
          <w:kern w:val="21"/>
          <w:szCs w:val="21"/>
        </w:rPr>
        <w:fldChar w:fldCharType="separate"/>
      </w:r>
      <w:r>
        <w:rPr>
          <w:rFonts w:hint="eastAsia"/>
          <w:szCs w:val="21"/>
        </w:rPr>
        <w:t>⑥</w:t>
      </w:r>
      <w:r>
        <w:rPr>
          <w:snapToGrid w:val="0"/>
          <w:spacing w:val="-16"/>
          <w:kern w:val="21"/>
          <w:szCs w:val="21"/>
        </w:rPr>
        <w:fldChar w:fldCharType="end"/>
      </w:r>
      <w:r>
        <w:rPr>
          <w:snapToGrid w:val="0"/>
          <w:spacing w:val="-16"/>
          <w:kern w:val="21"/>
          <w:szCs w:val="21"/>
        </w:rPr>
        <w:t>-</w:t>
      </w:r>
      <w:r>
        <w:rPr>
          <w:snapToGrid w:val="0"/>
          <w:spacing w:val="-6"/>
          <w:kern w:val="21"/>
          <w:szCs w:val="21"/>
        </w:rPr>
        <w:fldChar w:fldCharType="begin"/>
      </w:r>
      <w:r>
        <w:rPr>
          <w:snapToGrid w:val="0"/>
          <w:spacing w:val="-6"/>
          <w:kern w:val="21"/>
          <w:szCs w:val="21"/>
        </w:rPr>
        <w:instrText xml:space="preserve"> = 1 \* GB3 \* MERGEFORMAT </w:instrText>
      </w:r>
      <w:r>
        <w:rPr>
          <w:snapToGrid w:val="0"/>
          <w:spacing w:val="-6"/>
          <w:kern w:val="21"/>
          <w:szCs w:val="21"/>
        </w:rPr>
        <w:fldChar w:fldCharType="separate"/>
      </w:r>
      <w:r>
        <w:rPr>
          <w:rFonts w:hint="eastAsia"/>
          <w:szCs w:val="21"/>
        </w:rPr>
        <w:t>①</w:t>
      </w:r>
      <w:r>
        <w:rPr>
          <w:snapToGrid w:val="0"/>
          <w:spacing w:val="-6"/>
          <w:kern w:val="21"/>
          <w:szCs w:val="21"/>
        </w:rPr>
        <w:fldChar w:fldCharType="end"/>
      </w:r>
    </w:p>
    <w:p>
      <w:pPr>
        <w:sectPr>
          <w:footerReference r:id="rId6" w:type="default"/>
          <w:pgSz w:w="16838" w:h="11906" w:orient="landscape"/>
          <w:pgMar w:top="1440" w:right="1440" w:bottom="1440" w:left="1440" w:header="851" w:footer="851" w:gutter="0"/>
          <w:pgBorders>
            <w:top w:val="none" w:sz="0" w:space="0"/>
            <w:left w:val="none" w:sz="0" w:space="0"/>
            <w:bottom w:val="none" w:sz="0" w:space="0"/>
            <w:right w:val="none" w:sz="0" w:space="0"/>
          </w:pgBorders>
          <w:cols w:space="720" w:num="1"/>
          <w:docGrid w:linePitch="312" w:charSpace="0"/>
        </w:sectPr>
      </w:pPr>
    </w:p>
    <w:p>
      <w:pPr>
        <w:pStyle w:val="40"/>
        <w:outlineLvl w:val="0"/>
      </w:pPr>
      <w:bookmarkStart w:id="9" w:name="_Toc19783106"/>
      <w:bookmarkStart w:id="10" w:name="_Toc19783107"/>
      <w:r>
        <w:rPr>
          <w:rFonts w:hint="eastAsia"/>
        </w:rPr>
        <w:t>附件1：</w:t>
      </w:r>
      <w:bookmarkEnd w:id="9"/>
      <w:bookmarkEnd w:id="10"/>
      <w:r>
        <w:rPr>
          <w:rFonts w:hint="eastAsia"/>
        </w:rPr>
        <w:t>营业执照</w:t>
      </w:r>
    </w:p>
    <w:p>
      <w:pPr>
        <w:rPr>
          <w:b/>
          <w:sz w:val="30"/>
          <w:szCs w:val="30"/>
        </w:rPr>
        <w:sectPr>
          <w:footerReference r:id="rId7" w:type="default"/>
          <w:pgSz w:w="11906" w:h="16838"/>
          <w:pgMar w:top="1440" w:right="1440" w:bottom="1440" w:left="1440"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728970" cy="4319270"/>
            <wp:effectExtent l="0" t="0" r="5080"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8"/>
                    <a:stretch>
                      <a:fillRect/>
                    </a:stretch>
                  </pic:blipFill>
                  <pic:spPr>
                    <a:xfrm>
                      <a:off x="0" y="0"/>
                      <a:ext cx="5728970" cy="4319270"/>
                    </a:xfrm>
                    <a:prstGeom prst="rect">
                      <a:avLst/>
                    </a:prstGeom>
                    <a:noFill/>
                    <a:ln>
                      <a:noFill/>
                    </a:ln>
                  </pic:spPr>
                </pic:pic>
              </a:graphicData>
            </a:graphic>
          </wp:inline>
        </w:drawing>
      </w:r>
    </w:p>
    <w:p>
      <w:pPr>
        <w:pStyle w:val="40"/>
        <w:outlineLvl w:val="0"/>
      </w:pPr>
      <w:r>
        <w:rPr>
          <w:rFonts w:hint="eastAsia"/>
        </w:rPr>
        <w:t>附件2：场地租赁协议</w:t>
      </w:r>
    </w:p>
    <w:p>
      <w:pPr>
        <w:jc w:val="center"/>
        <w:rPr>
          <w:b/>
          <w:sz w:val="30"/>
          <w:szCs w:val="30"/>
        </w:rPr>
      </w:pPr>
      <w:r>
        <w:drawing>
          <wp:inline distT="0" distB="0" distL="114300" distR="114300">
            <wp:extent cx="5248910" cy="7764780"/>
            <wp:effectExtent l="0" t="0" r="8890" b="762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9"/>
                    <a:stretch>
                      <a:fillRect/>
                    </a:stretch>
                  </pic:blipFill>
                  <pic:spPr>
                    <a:xfrm>
                      <a:off x="0" y="0"/>
                      <a:ext cx="5248910" cy="7764780"/>
                    </a:xfrm>
                    <a:prstGeom prst="rect">
                      <a:avLst/>
                    </a:prstGeom>
                    <a:noFill/>
                    <a:ln>
                      <a:noFill/>
                    </a:ln>
                  </pic:spPr>
                </pic:pic>
              </a:graphicData>
            </a:graphic>
          </wp:inline>
        </w:drawing>
      </w:r>
    </w:p>
    <w:p>
      <w:pPr>
        <w:pStyle w:val="6"/>
        <w:rPr>
          <w:rFonts w:ascii="Times New Roman"/>
        </w:rPr>
        <w:sectPr>
          <w:pgSz w:w="11906" w:h="16838"/>
          <w:pgMar w:top="1440" w:right="1440" w:bottom="1440" w:left="1440" w:header="851" w:footer="851" w:gutter="0"/>
          <w:pgBorders>
            <w:top w:val="none" w:sz="0" w:space="0"/>
            <w:left w:val="none" w:sz="0" w:space="0"/>
            <w:bottom w:val="none" w:sz="0" w:space="0"/>
            <w:right w:val="none" w:sz="0" w:space="0"/>
          </w:pgBorders>
          <w:cols w:space="720" w:num="1"/>
          <w:docGrid w:linePitch="312" w:charSpace="0"/>
        </w:sectPr>
      </w:pPr>
    </w:p>
    <w:p>
      <w:pPr>
        <w:pStyle w:val="40"/>
        <w:outlineLvl w:val="0"/>
      </w:pPr>
      <w:r>
        <w:rPr>
          <w:rFonts w:hint="eastAsia"/>
        </w:rPr>
        <w:t>附件3：土地证</w:t>
      </w:r>
    </w:p>
    <w:p>
      <w:pPr>
        <w:pStyle w:val="40"/>
        <w:spacing w:before="100"/>
        <w:rPr>
          <w:highlight w:val="yellow"/>
        </w:rPr>
      </w:pPr>
      <w:r>
        <w:rPr>
          <w:rFonts w:hint="eastAsia"/>
        </w:rPr>
        <w:drawing>
          <wp:inline distT="0" distB="0" distL="0" distR="0">
            <wp:extent cx="4857750" cy="6781800"/>
            <wp:effectExtent l="1905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0"/>
                    <a:srcRect/>
                    <a:stretch>
                      <a:fillRect/>
                    </a:stretch>
                  </pic:blipFill>
                  <pic:spPr>
                    <a:xfrm>
                      <a:off x="0" y="0"/>
                      <a:ext cx="4858137" cy="6782225"/>
                    </a:xfrm>
                    <a:prstGeom prst="rect">
                      <a:avLst/>
                    </a:prstGeom>
                    <a:noFill/>
                    <a:ln w="9525">
                      <a:noFill/>
                      <a:miter lim="800000"/>
                      <a:headEnd/>
                      <a:tailEnd/>
                    </a:ln>
                  </pic:spPr>
                </pic:pic>
              </a:graphicData>
            </a:graphic>
          </wp:inline>
        </w:drawing>
      </w:r>
      <w:r>
        <w:rPr>
          <w:rFonts w:hint="eastAsia"/>
          <w:highlight w:val="yellow"/>
        </w:rPr>
        <w:t xml:space="preserve"> </w:t>
      </w:r>
      <w:r>
        <w:rPr>
          <w:rFonts w:hint="eastAsia"/>
        </w:rPr>
        <w:drawing>
          <wp:inline distT="0" distB="0" distL="0" distR="0">
            <wp:extent cx="5429250" cy="7524750"/>
            <wp:effectExtent l="1905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21"/>
                    <a:srcRect/>
                    <a:stretch>
                      <a:fillRect/>
                    </a:stretch>
                  </pic:blipFill>
                  <pic:spPr>
                    <a:xfrm>
                      <a:off x="0" y="0"/>
                      <a:ext cx="5429448" cy="7525467"/>
                    </a:xfrm>
                    <a:prstGeom prst="rect">
                      <a:avLst/>
                    </a:prstGeom>
                    <a:noFill/>
                    <a:ln w="9525">
                      <a:noFill/>
                      <a:miter lim="800000"/>
                      <a:headEnd/>
                      <a:tailEnd/>
                    </a:ln>
                  </pic:spPr>
                </pic:pic>
              </a:graphicData>
            </a:graphic>
          </wp:inline>
        </w:drawing>
      </w:r>
      <w:r>
        <w:rPr>
          <w:rFonts w:hint="eastAsia"/>
          <w:highlight w:val="yellow"/>
        </w:rPr>
        <w:t xml:space="preserve"> </w:t>
      </w:r>
      <w:r>
        <w:rPr>
          <w:rFonts w:hint="eastAsia"/>
        </w:rPr>
        <w:drawing>
          <wp:inline distT="0" distB="0" distL="0" distR="0">
            <wp:extent cx="5310505" cy="7333615"/>
            <wp:effectExtent l="19050" t="0" r="4182"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22"/>
                    <a:srcRect/>
                    <a:stretch>
                      <a:fillRect/>
                    </a:stretch>
                  </pic:blipFill>
                  <pic:spPr>
                    <a:xfrm>
                      <a:off x="0" y="0"/>
                      <a:ext cx="5310768" cy="7333917"/>
                    </a:xfrm>
                    <a:prstGeom prst="rect">
                      <a:avLst/>
                    </a:prstGeom>
                    <a:noFill/>
                    <a:ln w="9525">
                      <a:noFill/>
                      <a:miter lim="800000"/>
                      <a:headEnd/>
                      <a:tailEnd/>
                    </a:ln>
                  </pic:spPr>
                </pic:pic>
              </a:graphicData>
            </a:graphic>
          </wp:inline>
        </w:drawing>
      </w:r>
      <w:r>
        <w:rPr>
          <w:rFonts w:hint="eastAsia"/>
          <w:highlight w:val="yellow"/>
        </w:rPr>
        <w:t xml:space="preserve"> </w:t>
      </w:r>
      <w:r>
        <w:rPr>
          <w:rFonts w:hint="eastAsia"/>
        </w:rPr>
        <w:drawing>
          <wp:inline distT="0" distB="0" distL="0" distR="0">
            <wp:extent cx="5424805" cy="7597140"/>
            <wp:effectExtent l="19050" t="0" r="3832"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23"/>
                    <a:srcRect/>
                    <a:stretch>
                      <a:fillRect/>
                    </a:stretch>
                  </pic:blipFill>
                  <pic:spPr>
                    <a:xfrm>
                      <a:off x="0" y="0"/>
                      <a:ext cx="5425418" cy="7597303"/>
                    </a:xfrm>
                    <a:prstGeom prst="rect">
                      <a:avLst/>
                    </a:prstGeom>
                    <a:noFill/>
                    <a:ln w="9525">
                      <a:noFill/>
                      <a:miter lim="800000"/>
                      <a:headEnd/>
                      <a:tailEnd/>
                    </a:ln>
                  </pic:spPr>
                </pic:pic>
              </a:graphicData>
            </a:graphic>
          </wp:inline>
        </w:drawing>
      </w:r>
      <w:r>
        <w:rPr>
          <w:rFonts w:hint="eastAsia"/>
          <w:highlight w:val="yellow"/>
        </w:rPr>
        <w:t xml:space="preserve"> </w:t>
      </w:r>
      <w:r>
        <w:rPr>
          <w:rFonts w:hint="eastAsia"/>
        </w:rPr>
        <w:drawing>
          <wp:inline distT="0" distB="0" distL="0" distR="0">
            <wp:extent cx="5316855" cy="7381875"/>
            <wp:effectExtent l="1905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24"/>
                    <a:srcRect/>
                    <a:stretch>
                      <a:fillRect/>
                    </a:stretch>
                  </pic:blipFill>
                  <pic:spPr>
                    <a:xfrm>
                      <a:off x="0" y="0"/>
                      <a:ext cx="5319664" cy="7385145"/>
                    </a:xfrm>
                    <a:prstGeom prst="rect">
                      <a:avLst/>
                    </a:prstGeom>
                    <a:noFill/>
                    <a:ln w="9525">
                      <a:noFill/>
                      <a:miter lim="800000"/>
                      <a:headEnd/>
                      <a:tailEnd/>
                    </a:ln>
                  </pic:spPr>
                </pic:pic>
              </a:graphicData>
            </a:graphic>
          </wp:inline>
        </w:drawing>
      </w:r>
      <w:r>
        <w:rPr>
          <w:rFonts w:hint="eastAsia"/>
          <w:highlight w:val="yellow"/>
        </w:rPr>
        <w:t xml:space="preserve"> </w:t>
      </w:r>
      <w:r>
        <w:rPr>
          <w:rFonts w:hint="eastAsia"/>
        </w:rPr>
        <w:drawing>
          <wp:inline distT="0" distB="0" distL="0" distR="0">
            <wp:extent cx="5372100" cy="7691120"/>
            <wp:effectExtent l="1905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25"/>
                    <a:srcRect/>
                    <a:stretch>
                      <a:fillRect/>
                    </a:stretch>
                  </pic:blipFill>
                  <pic:spPr>
                    <a:xfrm>
                      <a:off x="0" y="0"/>
                      <a:ext cx="5372100" cy="7691674"/>
                    </a:xfrm>
                    <a:prstGeom prst="rect">
                      <a:avLst/>
                    </a:prstGeom>
                    <a:noFill/>
                    <a:ln w="9525">
                      <a:noFill/>
                      <a:miter lim="800000"/>
                      <a:headEnd/>
                      <a:tailEnd/>
                    </a:ln>
                  </pic:spPr>
                </pic:pic>
              </a:graphicData>
            </a:graphic>
          </wp:inline>
        </w:drawing>
      </w:r>
    </w:p>
    <w:p>
      <w:pPr>
        <w:pStyle w:val="40"/>
        <w:spacing w:before="100"/>
        <w:rPr>
          <w:highlight w:val="yellow"/>
        </w:rPr>
      </w:pPr>
    </w:p>
    <w:p>
      <w:pPr>
        <w:pStyle w:val="40"/>
        <w:outlineLvl w:val="0"/>
      </w:pPr>
      <w:r>
        <w:rPr>
          <w:rFonts w:hint="eastAsia"/>
        </w:rPr>
        <w:t>附件4：检测报告</w:t>
      </w:r>
    </w:p>
    <w:p>
      <w:pPr>
        <w:rPr>
          <w:b/>
          <w:sz w:val="30"/>
          <w:szCs w:val="30"/>
        </w:rPr>
      </w:pPr>
      <w:r>
        <w:rPr>
          <w:b/>
          <w:sz w:val="30"/>
          <w:szCs w:val="30"/>
        </w:rPr>
        <w:drawing>
          <wp:inline distT="0" distB="0" distL="0" distR="0">
            <wp:extent cx="4714875" cy="6562725"/>
            <wp:effectExtent l="19050" t="0" r="9525" b="0"/>
            <wp:docPr id="1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7"/>
                    <pic:cNvPicPr>
                      <a:picLocks noChangeAspect="1" noChangeArrowheads="1"/>
                    </pic:cNvPicPr>
                  </pic:nvPicPr>
                  <pic:blipFill>
                    <a:blip r:embed="rId26"/>
                    <a:srcRect/>
                    <a:stretch>
                      <a:fillRect/>
                    </a:stretch>
                  </pic:blipFill>
                  <pic:spPr>
                    <a:xfrm>
                      <a:off x="0" y="0"/>
                      <a:ext cx="4714875" cy="6562725"/>
                    </a:xfrm>
                    <a:prstGeom prst="rect">
                      <a:avLst/>
                    </a:prstGeom>
                    <a:noFill/>
                    <a:ln w="9525">
                      <a:noFill/>
                      <a:miter lim="800000"/>
                      <a:headEnd/>
                      <a:tailEnd/>
                    </a:ln>
                  </pic:spPr>
                </pic:pic>
              </a:graphicData>
            </a:graphic>
          </wp:inline>
        </w:drawing>
      </w:r>
      <w:r>
        <w:rPr>
          <w:b/>
          <w:sz w:val="30"/>
          <w:szCs w:val="30"/>
        </w:rPr>
        <w:t xml:space="preserve"> </w:t>
      </w:r>
      <w:r>
        <w:rPr>
          <w:b/>
          <w:sz w:val="30"/>
          <w:szCs w:val="30"/>
        </w:rPr>
        <w:drawing>
          <wp:inline distT="0" distB="0" distL="0" distR="0">
            <wp:extent cx="4657725" cy="6515100"/>
            <wp:effectExtent l="19050" t="0" r="952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27"/>
                    <a:srcRect/>
                    <a:stretch>
                      <a:fillRect/>
                    </a:stretch>
                  </pic:blipFill>
                  <pic:spPr>
                    <a:xfrm>
                      <a:off x="0" y="0"/>
                      <a:ext cx="4657725" cy="6515100"/>
                    </a:xfrm>
                    <a:prstGeom prst="rect">
                      <a:avLst/>
                    </a:prstGeom>
                    <a:noFill/>
                    <a:ln w="9525">
                      <a:noFill/>
                      <a:miter lim="800000"/>
                      <a:headEnd/>
                      <a:tailEnd/>
                    </a:ln>
                  </pic:spPr>
                </pic:pic>
              </a:graphicData>
            </a:graphic>
          </wp:inline>
        </w:drawing>
      </w:r>
      <w:r>
        <w:rPr>
          <w:b/>
          <w:sz w:val="30"/>
          <w:szCs w:val="30"/>
        </w:rPr>
        <w:t xml:space="preserve"> </w:t>
      </w:r>
      <w:r>
        <w:rPr>
          <w:b/>
          <w:sz w:val="30"/>
          <w:szCs w:val="30"/>
        </w:rPr>
        <w:drawing>
          <wp:inline distT="0" distB="0" distL="0" distR="0">
            <wp:extent cx="4562475" cy="6429375"/>
            <wp:effectExtent l="19050" t="0" r="952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28"/>
                    <a:srcRect/>
                    <a:stretch>
                      <a:fillRect/>
                    </a:stretch>
                  </pic:blipFill>
                  <pic:spPr>
                    <a:xfrm>
                      <a:off x="0" y="0"/>
                      <a:ext cx="4562475" cy="6429375"/>
                    </a:xfrm>
                    <a:prstGeom prst="rect">
                      <a:avLst/>
                    </a:prstGeom>
                    <a:noFill/>
                    <a:ln w="9525">
                      <a:noFill/>
                      <a:miter lim="800000"/>
                      <a:headEnd/>
                      <a:tailEnd/>
                    </a:ln>
                  </pic:spPr>
                </pic:pic>
              </a:graphicData>
            </a:graphic>
          </wp:inline>
        </w:drawing>
      </w:r>
      <w:r>
        <w:rPr>
          <w:b/>
          <w:sz w:val="30"/>
          <w:szCs w:val="30"/>
        </w:rPr>
        <w:t xml:space="preserve"> </w:t>
      </w:r>
      <w:r>
        <w:rPr>
          <w:b/>
          <w:sz w:val="30"/>
          <w:szCs w:val="30"/>
        </w:rPr>
        <w:drawing>
          <wp:inline distT="0" distB="0" distL="0" distR="0">
            <wp:extent cx="4714875" cy="6581775"/>
            <wp:effectExtent l="19050" t="0" r="952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29"/>
                    <a:srcRect/>
                    <a:stretch>
                      <a:fillRect/>
                    </a:stretch>
                  </pic:blipFill>
                  <pic:spPr>
                    <a:xfrm>
                      <a:off x="0" y="0"/>
                      <a:ext cx="4714875" cy="6581775"/>
                    </a:xfrm>
                    <a:prstGeom prst="rect">
                      <a:avLst/>
                    </a:prstGeom>
                    <a:noFill/>
                    <a:ln w="9525">
                      <a:noFill/>
                      <a:miter lim="800000"/>
                      <a:headEnd/>
                      <a:tailEnd/>
                    </a:ln>
                  </pic:spPr>
                </pic:pic>
              </a:graphicData>
            </a:graphic>
          </wp:inline>
        </w:drawing>
      </w:r>
      <w:r>
        <w:rPr>
          <w:b/>
          <w:sz w:val="30"/>
          <w:szCs w:val="30"/>
        </w:rPr>
        <w:t xml:space="preserve"> </w:t>
      </w:r>
      <w:r>
        <w:rPr>
          <w:b/>
          <w:sz w:val="30"/>
          <w:szCs w:val="30"/>
        </w:rPr>
        <w:drawing>
          <wp:inline distT="0" distB="0" distL="0" distR="0">
            <wp:extent cx="4514850" cy="6610350"/>
            <wp:effectExtent l="1905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30"/>
                    <a:srcRect/>
                    <a:stretch>
                      <a:fillRect/>
                    </a:stretch>
                  </pic:blipFill>
                  <pic:spPr>
                    <a:xfrm>
                      <a:off x="0" y="0"/>
                      <a:ext cx="4514850" cy="6610350"/>
                    </a:xfrm>
                    <a:prstGeom prst="rect">
                      <a:avLst/>
                    </a:prstGeom>
                    <a:noFill/>
                    <a:ln w="9525">
                      <a:noFill/>
                      <a:miter lim="800000"/>
                      <a:headEnd/>
                      <a:tailEnd/>
                    </a:ln>
                  </pic:spPr>
                </pic:pic>
              </a:graphicData>
            </a:graphic>
          </wp:inline>
        </w:drawing>
      </w:r>
      <w:r>
        <w:rPr>
          <w:b/>
          <w:sz w:val="30"/>
          <w:szCs w:val="30"/>
        </w:rPr>
        <w:t xml:space="preserve"> </w:t>
      </w:r>
      <w:r>
        <w:rPr>
          <w:b/>
          <w:sz w:val="30"/>
          <w:szCs w:val="30"/>
        </w:rPr>
        <w:drawing>
          <wp:inline distT="0" distB="0" distL="0" distR="0">
            <wp:extent cx="4495800" cy="6419850"/>
            <wp:effectExtent l="1905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31"/>
                    <a:srcRect/>
                    <a:stretch>
                      <a:fillRect/>
                    </a:stretch>
                  </pic:blipFill>
                  <pic:spPr>
                    <a:xfrm>
                      <a:off x="0" y="0"/>
                      <a:ext cx="4495800" cy="6419850"/>
                    </a:xfrm>
                    <a:prstGeom prst="rect">
                      <a:avLst/>
                    </a:prstGeom>
                    <a:noFill/>
                    <a:ln w="9525">
                      <a:noFill/>
                      <a:miter lim="800000"/>
                      <a:headEnd/>
                      <a:tailEnd/>
                    </a:ln>
                  </pic:spPr>
                </pic:pic>
              </a:graphicData>
            </a:graphic>
          </wp:inline>
        </w:drawing>
      </w:r>
    </w:p>
    <w:p>
      <w:pPr>
        <w:sectPr>
          <w:pgSz w:w="11906" w:h="16838"/>
          <w:pgMar w:top="1440" w:right="1440" w:bottom="1440" w:left="1440" w:header="851" w:footer="851" w:gutter="0"/>
          <w:pgBorders>
            <w:top w:val="none" w:sz="0" w:space="0"/>
            <w:left w:val="none" w:sz="0" w:space="0"/>
            <w:bottom w:val="none" w:sz="0" w:space="0"/>
            <w:right w:val="none" w:sz="0" w:space="0"/>
          </w:pgBorders>
          <w:cols w:space="720" w:num="1"/>
          <w:docGrid w:linePitch="312" w:charSpace="0"/>
        </w:sectPr>
      </w:pPr>
    </w:p>
    <w:p>
      <w:pPr>
        <w:pStyle w:val="40"/>
        <w:outlineLvl w:val="0"/>
      </w:pPr>
      <w:r>
        <w:rPr>
          <w:rFonts w:hint="eastAsia"/>
        </w:rPr>
        <w:t>附件5：园区规划环评批复</w:t>
      </w:r>
    </w:p>
    <w:p>
      <w:pPr>
        <w:rPr>
          <w:b/>
          <w:bCs/>
        </w:rPr>
      </w:pPr>
      <w:r>
        <w:rPr>
          <w:b/>
          <w:bCs/>
        </w:rPr>
        <w:drawing>
          <wp:inline distT="0" distB="0" distL="114300" distR="114300">
            <wp:extent cx="5253990" cy="7005320"/>
            <wp:effectExtent l="0" t="0" r="3810" b="5080"/>
            <wp:docPr id="116" name="图片 38" descr="微信图片_2020081814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8" descr="微信图片_20200818141910"/>
                    <pic:cNvPicPr>
                      <a:picLocks noChangeAspect="1"/>
                    </pic:cNvPicPr>
                  </pic:nvPicPr>
                  <pic:blipFill>
                    <a:blip r:embed="rId32"/>
                    <a:stretch>
                      <a:fillRect/>
                    </a:stretch>
                  </pic:blipFill>
                  <pic:spPr>
                    <a:xfrm>
                      <a:off x="0" y="0"/>
                      <a:ext cx="5253990" cy="7005320"/>
                    </a:xfrm>
                    <a:prstGeom prst="rect">
                      <a:avLst/>
                    </a:prstGeom>
                    <a:noFill/>
                    <a:ln>
                      <a:noFill/>
                    </a:ln>
                  </pic:spPr>
                </pic:pic>
              </a:graphicData>
            </a:graphic>
          </wp:inline>
        </w:drawing>
      </w:r>
    </w:p>
    <w:p>
      <w:pPr>
        <w:rPr>
          <w:b/>
          <w:bCs/>
        </w:rPr>
        <w:sectPr>
          <w:pgSz w:w="11906" w:h="16838"/>
          <w:pgMar w:top="1440" w:right="1440" w:bottom="1440" w:left="1440" w:header="851" w:footer="992" w:gutter="0"/>
          <w:pgBorders>
            <w:top w:val="none" w:sz="0" w:space="0"/>
            <w:left w:val="none" w:sz="0" w:space="0"/>
            <w:bottom w:val="none" w:sz="0" w:space="0"/>
            <w:right w:val="none" w:sz="0" w:space="0"/>
          </w:pgBorders>
          <w:cols w:space="720" w:num="1"/>
          <w:docGrid w:type="lines" w:linePitch="312" w:charSpace="0"/>
        </w:sectPr>
      </w:pPr>
    </w:p>
    <w:p>
      <w:pPr>
        <w:rPr>
          <w:b/>
          <w:bCs/>
        </w:rPr>
      </w:pPr>
      <w:r>
        <w:rPr>
          <w:b/>
          <w:bCs/>
        </w:rPr>
        <w:drawing>
          <wp:inline distT="0" distB="0" distL="114300" distR="114300">
            <wp:extent cx="5253990" cy="7005320"/>
            <wp:effectExtent l="0" t="0" r="3810" b="5080"/>
            <wp:docPr id="101" name="图片 39" descr="微信图片_2020081814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9" descr="微信图片_20200818141904"/>
                    <pic:cNvPicPr>
                      <a:picLocks noChangeAspect="1"/>
                    </pic:cNvPicPr>
                  </pic:nvPicPr>
                  <pic:blipFill>
                    <a:blip r:embed="rId33"/>
                    <a:stretch>
                      <a:fillRect/>
                    </a:stretch>
                  </pic:blipFill>
                  <pic:spPr>
                    <a:xfrm>
                      <a:off x="0" y="0"/>
                      <a:ext cx="5253990" cy="7005320"/>
                    </a:xfrm>
                    <a:prstGeom prst="rect">
                      <a:avLst/>
                    </a:prstGeom>
                    <a:noFill/>
                    <a:ln>
                      <a:noFill/>
                    </a:ln>
                  </pic:spPr>
                </pic:pic>
              </a:graphicData>
            </a:graphic>
          </wp:inline>
        </w:drawing>
      </w:r>
    </w:p>
    <w:p>
      <w:r>
        <w:rPr>
          <w:b/>
          <w:bCs/>
          <w:sz w:val="24"/>
        </w:rPr>
        <w:drawing>
          <wp:inline distT="0" distB="0" distL="114300" distR="114300">
            <wp:extent cx="5253990" cy="7005320"/>
            <wp:effectExtent l="0" t="0" r="3810" b="5080"/>
            <wp:docPr id="108" name="图片 40" descr="微信图片_2020081814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0" descr="微信图片_20200818141914"/>
                    <pic:cNvPicPr>
                      <a:picLocks noChangeAspect="1"/>
                    </pic:cNvPicPr>
                  </pic:nvPicPr>
                  <pic:blipFill>
                    <a:blip r:embed="rId34"/>
                    <a:stretch>
                      <a:fillRect/>
                    </a:stretch>
                  </pic:blipFill>
                  <pic:spPr>
                    <a:xfrm>
                      <a:off x="0" y="0"/>
                      <a:ext cx="5253990" cy="7005320"/>
                    </a:xfrm>
                    <a:prstGeom prst="rect">
                      <a:avLst/>
                    </a:prstGeom>
                    <a:noFill/>
                    <a:ln>
                      <a:noFill/>
                    </a:ln>
                  </pic:spPr>
                </pic:pic>
              </a:graphicData>
            </a:graphic>
          </wp:inline>
        </w:drawing>
      </w:r>
      <w:r>
        <w:rPr>
          <w:b/>
          <w:bCs/>
          <w:sz w:val="24"/>
        </w:rPr>
        <w:drawing>
          <wp:inline distT="0" distB="0" distL="114300" distR="114300">
            <wp:extent cx="5253990" cy="7005320"/>
            <wp:effectExtent l="0" t="0" r="3810" b="5080"/>
            <wp:docPr id="105" name="图片 41" descr="微信图片_2020081814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1" descr="微信图片_20200818141919"/>
                    <pic:cNvPicPr>
                      <a:picLocks noChangeAspect="1"/>
                    </pic:cNvPicPr>
                  </pic:nvPicPr>
                  <pic:blipFill>
                    <a:blip r:embed="rId35"/>
                    <a:stretch>
                      <a:fillRect/>
                    </a:stretch>
                  </pic:blipFill>
                  <pic:spPr>
                    <a:xfrm>
                      <a:off x="0" y="0"/>
                      <a:ext cx="5253990" cy="7005320"/>
                    </a:xfrm>
                    <a:prstGeom prst="rect">
                      <a:avLst/>
                    </a:prstGeom>
                    <a:noFill/>
                    <a:ln>
                      <a:noFill/>
                    </a:ln>
                  </pic:spPr>
                </pic:pic>
              </a:graphicData>
            </a:graphic>
          </wp:inline>
        </w:drawing>
      </w:r>
      <w:r>
        <w:rPr>
          <w:b/>
          <w:bCs/>
          <w:sz w:val="24"/>
        </w:rPr>
        <w:drawing>
          <wp:inline distT="0" distB="0" distL="114300" distR="114300">
            <wp:extent cx="5253990" cy="7005320"/>
            <wp:effectExtent l="0" t="0" r="3810" b="5080"/>
            <wp:docPr id="102" name="图片 42" descr="微信图片_2020081814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2" descr="微信图片_20200818141923"/>
                    <pic:cNvPicPr>
                      <a:picLocks noChangeAspect="1"/>
                    </pic:cNvPicPr>
                  </pic:nvPicPr>
                  <pic:blipFill>
                    <a:blip r:embed="rId36"/>
                    <a:stretch>
                      <a:fillRect/>
                    </a:stretch>
                  </pic:blipFill>
                  <pic:spPr>
                    <a:xfrm>
                      <a:off x="0" y="0"/>
                      <a:ext cx="5253990" cy="7005320"/>
                    </a:xfrm>
                    <a:prstGeom prst="rect">
                      <a:avLst/>
                    </a:prstGeom>
                    <a:noFill/>
                    <a:ln>
                      <a:noFill/>
                    </a:ln>
                  </pic:spPr>
                </pic:pic>
              </a:graphicData>
            </a:graphic>
          </wp:inline>
        </w:drawing>
      </w:r>
    </w:p>
    <w:p>
      <w:pPr>
        <w:rPr>
          <w:b/>
          <w:sz w:val="24"/>
        </w:rPr>
      </w:pPr>
    </w:p>
    <w:p>
      <w:pPr>
        <w:rPr>
          <w:b/>
          <w:sz w:val="24"/>
        </w:rPr>
      </w:pPr>
    </w:p>
    <w:p>
      <w:pPr>
        <w:rPr>
          <w:b/>
          <w:sz w:val="24"/>
        </w:rPr>
      </w:pPr>
    </w:p>
    <w:p>
      <w:pPr>
        <w:rPr>
          <w:b/>
          <w:sz w:val="24"/>
        </w:rPr>
        <w:sectPr>
          <w:pgSz w:w="11906" w:h="16838"/>
          <w:pgMar w:top="1440" w:right="1440" w:bottom="1440" w:left="1440" w:header="851" w:footer="851" w:gutter="0"/>
          <w:pgBorders>
            <w:top w:val="none" w:sz="0" w:space="0"/>
            <w:left w:val="none" w:sz="0" w:space="0"/>
            <w:bottom w:val="none" w:sz="0" w:space="0"/>
            <w:right w:val="none" w:sz="0" w:space="0"/>
          </w:pgBorders>
          <w:cols w:space="720" w:num="1"/>
          <w:docGrid w:linePitch="312" w:charSpace="0"/>
        </w:sectPr>
      </w:pPr>
    </w:p>
    <w:p>
      <w:pPr>
        <w:pStyle w:val="40"/>
        <w:outlineLvl w:val="0"/>
      </w:pPr>
      <w:r>
        <w:t>附件</w:t>
      </w:r>
      <w:r>
        <w:rPr>
          <w:rFonts w:hint="eastAsia"/>
        </w:rPr>
        <w:t>6：全本公示</w:t>
      </w:r>
    </w:p>
    <w:p>
      <w:pPr>
        <w:rPr>
          <w:b/>
          <w:sz w:val="24"/>
        </w:rPr>
      </w:pPr>
    </w:p>
    <w:p/>
    <w:p/>
    <w:p/>
    <w:p/>
    <w:p>
      <w:pPr>
        <w:sectPr>
          <w:pgSz w:w="11906" w:h="16838"/>
          <w:pgMar w:top="1440" w:right="1440" w:bottom="1440" w:left="1440" w:header="851" w:footer="851" w:gutter="0"/>
          <w:pgBorders>
            <w:top w:val="none" w:sz="0" w:space="0"/>
            <w:left w:val="none" w:sz="0" w:space="0"/>
            <w:bottom w:val="none" w:sz="0" w:space="0"/>
            <w:right w:val="none" w:sz="0" w:space="0"/>
          </w:pgBorders>
          <w:cols w:space="720" w:num="1"/>
          <w:docGrid w:linePitch="312" w:charSpace="0"/>
        </w:sectPr>
      </w:pPr>
    </w:p>
    <w:p>
      <w:r>
        <mc:AlternateContent>
          <mc:Choice Requires="wps">
            <w:drawing>
              <wp:anchor distT="0" distB="0" distL="114300" distR="114300" simplePos="0" relativeHeight="251666432" behindDoc="0" locked="0" layoutInCell="1" allowOverlap="1">
                <wp:simplePos x="0" y="0"/>
                <wp:positionH relativeFrom="column">
                  <wp:posOffset>1774825</wp:posOffset>
                </wp:positionH>
                <wp:positionV relativeFrom="paragraph">
                  <wp:posOffset>3177540</wp:posOffset>
                </wp:positionV>
                <wp:extent cx="1143000" cy="360045"/>
                <wp:effectExtent l="4445" t="5080" r="738505" b="53975"/>
                <wp:wrapNone/>
                <wp:docPr id="109" name="圆角矩形标注 109"/>
                <wp:cNvGraphicFramePr/>
                <a:graphic xmlns:a="http://schemas.openxmlformats.org/drawingml/2006/main">
                  <a:graphicData uri="http://schemas.microsoft.com/office/word/2010/wordprocessingShape">
                    <wps:wsp>
                      <wps:cNvSpPr/>
                      <wps:spPr>
                        <a:xfrm>
                          <a:off x="0" y="0"/>
                          <a:ext cx="1143000" cy="360045"/>
                        </a:xfrm>
                        <a:prstGeom prst="wedgeRoundRectCallout">
                          <a:avLst>
                            <a:gd name="adj1" fmla="val 110500"/>
                            <a:gd name="adj2" fmla="val 58818"/>
                            <a:gd name="adj3" fmla="val 16667"/>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本项目位置</w:t>
                            </w:r>
                          </w:p>
                        </w:txbxContent>
                      </wps:txbx>
                      <wps:bodyPr upright="1"/>
                    </wps:wsp>
                  </a:graphicData>
                </a:graphic>
              </wp:anchor>
            </w:drawing>
          </mc:Choice>
          <mc:Fallback>
            <w:pict>
              <v:shape id="_x0000_s1026" o:spid="_x0000_s1026" o:spt="62" type="#_x0000_t62" style="position:absolute;left:0pt;margin-left:139.75pt;margin-top:250.2pt;height:28.35pt;width:90pt;z-index:251666432;mso-width-relative:page;mso-height-relative:page;" fillcolor="#FFFFFF" filled="t" stroked="t" coordsize="21600,21600" o:gfxdata="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Hz4SJ2wAAAAsBAAAPAAAAAAAAAAEAIAAAACIAAABkcnMvZG93bnJldi54bWxQSwECFAAUAAAA&#10;CACHTuJASxivoF0CAADOBAAADgAAAAAAAAABACAAAAAqAQAAZHJzL2Uyb0RvYy54bWxQSwUGAAAA&#10;AAYABgBZAQAA+QUAAAAA&#10;" adj="34668,23505,14400">
                <v:fill on="t" focussize="0,0"/>
                <v:stroke color="#000000" joinstyle="miter"/>
                <v:imagedata o:title=""/>
                <o:lock v:ext="edit" aspectratio="f"/>
                <v:textbox>
                  <w:txbxContent>
                    <w:p>
                      <w:r>
                        <w:rPr>
                          <w:rFonts w:hint="eastAsia"/>
                        </w:rPr>
                        <w:t>本项目位置</w:t>
                      </w:r>
                    </w:p>
                  </w:txbxContent>
                </v:textbox>
              </v:shape>
            </w:pict>
          </mc:Fallback>
        </mc:AlternateContent>
      </w:r>
      <w:r>
        <mc:AlternateContent>
          <mc:Choice Requires="wps">
            <w:drawing>
              <wp:anchor distT="0" distB="0" distL="114300" distR="114300" simplePos="0" relativeHeight="251667456" behindDoc="0" locked="0" layoutInCell="1" allowOverlap="1">
                <wp:simplePos x="0" y="0"/>
                <wp:positionH relativeFrom="column">
                  <wp:posOffset>3503295</wp:posOffset>
                </wp:positionH>
                <wp:positionV relativeFrom="paragraph">
                  <wp:posOffset>3503930</wp:posOffset>
                </wp:positionV>
                <wp:extent cx="190500" cy="200660"/>
                <wp:effectExtent l="13335" t="17145" r="24765" b="29845"/>
                <wp:wrapNone/>
                <wp:docPr id="117" name="五角星 117"/>
                <wp:cNvGraphicFramePr/>
                <a:graphic xmlns:a="http://schemas.openxmlformats.org/drawingml/2006/main">
                  <a:graphicData uri="http://schemas.microsoft.com/office/word/2010/wordprocessingShape">
                    <wps:wsp>
                      <wps:cNvSpPr/>
                      <wps:spPr>
                        <a:xfrm>
                          <a:off x="0" y="0"/>
                          <a:ext cx="190500" cy="200660"/>
                        </a:xfrm>
                        <a:prstGeom prst="star5">
                          <a:avLst/>
                        </a:prstGeom>
                        <a:solidFill>
                          <a:srgbClr val="FF0000"/>
                        </a:solidFill>
                        <a:ln w="9525" cap="flat" cmpd="sng">
                          <a:solidFill>
                            <a:srgbClr val="000000"/>
                          </a:solidFill>
                          <a:prstDash val="solid"/>
                          <a:miter/>
                          <a:headEnd type="none" w="med" len="med"/>
                          <a:tailEnd type="none" w="med" len="med"/>
                        </a:ln>
                        <a:effectLst/>
                      </wps:spPr>
                      <wps:bodyPr upright="1"/>
                    </wps:wsp>
                  </a:graphicData>
                </a:graphic>
              </wp:anchor>
            </w:drawing>
          </mc:Choice>
          <mc:Fallback>
            <w:pict>
              <v:shape id="_x0000_s1026" o:spid="_x0000_s1026" style="position:absolute;left:0pt;margin-left:275.85pt;margin-top:275.9pt;height:15.8pt;width:15pt;z-index:251667456;mso-width-relative:page;mso-height-relative:page;" fillcolor="#FF0000" filled="t" stroked="t" coordsize="190500,200660" o:gfxdata="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a6o6kNYAAAALAQAADwAAAAAAAAABACAAAAAiAAAA&#10;ZHJzL2Rvd25yZXYueG1sUEsBAhQAFAAAAAgAh07iQNtBtPMJAgAAMwQAAA4AAAAAAAAAAQAgAAAA&#10;JQEAAGRycy9lMm9Eb2MueG1sUEsFBgAAAAAGAAYAWQEAAKAFAAAAAA==&#10;" path="m0,76645l72764,76645,95250,0,117735,76645,190499,76645,131631,124014,154117,200659,95250,153289,36382,200659,58868,124014xe">
                <v:path o:connectlocs="95250,0;0,76645;36382,200659;154117,200659;190499,76645" o:connectangles="247,164,82,82,0"/>
                <v:fill on="t" focussize="0,0"/>
                <v:stroke color="#000000" joinstyle="miter"/>
                <v:imagedata o:title=""/>
                <o:lock v:ext="edit" aspectratio="f"/>
              </v:shape>
            </w:pict>
          </mc:Fallback>
        </mc:AlternateContent>
      </w:r>
      <w:r>
        <w:rPr>
          <w:rFonts w:hint="eastAsia"/>
          <w:snapToGrid w:val="0"/>
          <w:kern w:val="0"/>
        </w:rPr>
        <w:drawing>
          <wp:anchor distT="0" distB="0" distL="114300" distR="114300" simplePos="0" relativeHeight="251659264" behindDoc="0" locked="0" layoutInCell="1" allowOverlap="1">
            <wp:simplePos x="0" y="0"/>
            <wp:positionH relativeFrom="column">
              <wp:posOffset>4445</wp:posOffset>
            </wp:positionH>
            <wp:positionV relativeFrom="paragraph">
              <wp:posOffset>5080</wp:posOffset>
            </wp:positionV>
            <wp:extent cx="753110" cy="852170"/>
            <wp:effectExtent l="0" t="0" r="8890" b="5080"/>
            <wp:wrapNone/>
            <wp:docPr id="111" name="图片 47" descr="360截图2021051016091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7" descr="360截图20210510160912399"/>
                    <pic:cNvPicPr>
                      <a:picLocks noChangeAspect="1"/>
                    </pic:cNvPicPr>
                  </pic:nvPicPr>
                  <pic:blipFill>
                    <a:blip r:embed="rId16"/>
                    <a:stretch>
                      <a:fillRect/>
                    </a:stretch>
                  </pic:blipFill>
                  <pic:spPr>
                    <a:xfrm>
                      <a:off x="0" y="0"/>
                      <a:ext cx="753110" cy="852170"/>
                    </a:xfrm>
                    <a:prstGeom prst="rect">
                      <a:avLst/>
                    </a:prstGeom>
                    <a:noFill/>
                    <a:ln>
                      <a:noFill/>
                    </a:ln>
                  </pic:spPr>
                </pic:pic>
              </a:graphicData>
            </a:graphic>
          </wp:anchor>
        </w:drawing>
      </w:r>
      <w:r>
        <w:drawing>
          <wp:inline distT="0" distB="0" distL="114300" distR="114300">
            <wp:extent cx="8529955" cy="4399915"/>
            <wp:effectExtent l="0" t="0" r="4445" b="635"/>
            <wp:docPr id="10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53"/>
                    <pic:cNvPicPr>
                      <a:picLocks noChangeAspect="1"/>
                    </pic:cNvPicPr>
                  </pic:nvPicPr>
                  <pic:blipFill>
                    <a:blip r:embed="rId37"/>
                    <a:stretch>
                      <a:fillRect/>
                    </a:stretch>
                  </pic:blipFill>
                  <pic:spPr>
                    <a:xfrm>
                      <a:off x="0" y="0"/>
                      <a:ext cx="8529955" cy="4399915"/>
                    </a:xfrm>
                    <a:prstGeom prst="rect">
                      <a:avLst/>
                    </a:prstGeom>
                    <a:noFill/>
                    <a:ln>
                      <a:noFill/>
                    </a:ln>
                  </pic:spPr>
                </pic:pic>
              </a:graphicData>
            </a:graphic>
          </wp:inline>
        </w:drawing>
      </w:r>
    </w:p>
    <w:p/>
    <w:p>
      <w:pPr>
        <w:pStyle w:val="41"/>
        <w:outlineLvl w:val="0"/>
      </w:pPr>
      <w:r>
        <w:rPr>
          <w:rFonts w:hint="eastAsia"/>
        </w:rPr>
        <w:t>附图1：</w:t>
      </w:r>
      <w:r>
        <w:t>地理位置图</w:t>
      </w:r>
    </w:p>
    <w:p>
      <w:pPr>
        <w:pStyle w:val="41"/>
        <w:sectPr>
          <w:pgSz w:w="16838" w:h="11906" w:orient="landscape"/>
          <w:pgMar w:top="1440" w:right="1440" w:bottom="1440" w:left="1440" w:header="851" w:footer="851" w:gutter="0"/>
          <w:pgBorders>
            <w:top w:val="none" w:sz="0" w:space="0"/>
            <w:left w:val="none" w:sz="0" w:space="0"/>
            <w:bottom w:val="none" w:sz="0" w:space="0"/>
            <w:right w:val="none" w:sz="0" w:space="0"/>
          </w:pgBorders>
          <w:cols w:space="720" w:num="1"/>
          <w:docGrid w:linePitch="312" w:charSpace="0"/>
        </w:sectPr>
      </w:pPr>
    </w:p>
    <w:p>
      <w:pPr>
        <w:jc w:val="center"/>
      </w:pPr>
      <w:r>
        <w:rPr>
          <w:rFonts w:hint="eastAsia" w:ascii="Times New Roman" w:hAnsi="Times New Roman" w:eastAsia="方正小标宋_GBK" w:cs="Times New Roman"/>
          <w:kern w:val="2"/>
          <w:sz w:val="38"/>
          <w:szCs w:val="24"/>
          <w:lang w:val="en-US" w:eastAsia="zh-CN" w:bidi="ar-SA"/>
        </w:rPr>
        <w:drawing>
          <wp:anchor distT="0" distB="0" distL="114300" distR="114300" simplePos="0" relativeHeight="251661312" behindDoc="0" locked="0" layoutInCell="1" allowOverlap="1">
            <wp:simplePos x="0" y="0"/>
            <wp:positionH relativeFrom="column">
              <wp:posOffset>2051050</wp:posOffset>
            </wp:positionH>
            <wp:positionV relativeFrom="paragraph">
              <wp:posOffset>-873125</wp:posOffset>
            </wp:positionV>
            <wp:extent cx="4885690" cy="6779260"/>
            <wp:effectExtent l="0" t="0" r="2540" b="10160"/>
            <wp:wrapTopAndBottom/>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38"/>
                    <a:stretch>
                      <a:fillRect/>
                    </a:stretch>
                  </pic:blipFill>
                  <pic:spPr>
                    <a:xfrm rot="16200000">
                      <a:off x="0" y="0"/>
                      <a:ext cx="4885690" cy="6779260"/>
                    </a:xfrm>
                    <a:prstGeom prst="rect">
                      <a:avLst/>
                    </a:prstGeom>
                    <a:noFill/>
                    <a:ln>
                      <a:noFill/>
                    </a:ln>
                  </pic:spPr>
                </pic:pic>
              </a:graphicData>
            </a:graphic>
          </wp:anchor>
        </w:drawing>
      </w:r>
      <w:r>
        <w:rPr>
          <w:rFonts w:hint="eastAsia" w:ascii="Times New Roman" w:hAnsi="Times New Roman" w:eastAsia="方正小标宋_GBK" w:cs="Times New Roman"/>
          <w:kern w:val="2"/>
          <w:sz w:val="38"/>
          <w:szCs w:val="24"/>
          <w:lang w:val="en-US" w:eastAsia="zh-CN" w:bidi="ar-SA"/>
        </w:rPr>
        <w:t>附图2：本工程平面布置图</w:t>
      </w:r>
    </w:p>
    <w:p>
      <w:pPr>
        <w:adjustRightInd w:val="0"/>
        <w:snapToGrid w:val="0"/>
        <w:spacing w:line="360" w:lineRule="auto"/>
        <w:jc w:val="center"/>
      </w:pPr>
      <w:r>
        <mc:AlternateContent>
          <mc:Choice Requires="wps">
            <w:drawing>
              <wp:anchor distT="0" distB="0" distL="114300" distR="114300" simplePos="0" relativeHeight="251665408" behindDoc="0" locked="0" layoutInCell="1" allowOverlap="1">
                <wp:simplePos x="0" y="0"/>
                <wp:positionH relativeFrom="column">
                  <wp:posOffset>1979930</wp:posOffset>
                </wp:positionH>
                <wp:positionV relativeFrom="paragraph">
                  <wp:posOffset>1848485</wp:posOffset>
                </wp:positionV>
                <wp:extent cx="111125" cy="111125"/>
                <wp:effectExtent l="13970" t="15875" r="27305" b="25400"/>
                <wp:wrapNone/>
                <wp:docPr id="136" name="五角星 136"/>
                <wp:cNvGraphicFramePr/>
                <a:graphic xmlns:a="http://schemas.openxmlformats.org/drawingml/2006/main">
                  <a:graphicData uri="http://schemas.microsoft.com/office/word/2010/wordprocessingShape">
                    <wps:wsp>
                      <wps:cNvSpPr/>
                      <wps:spPr>
                        <a:xfrm>
                          <a:off x="0" y="0"/>
                          <a:ext cx="111125" cy="111125"/>
                        </a:xfrm>
                        <a:prstGeom prst="star5">
                          <a:avLst/>
                        </a:prstGeom>
                        <a:solidFill>
                          <a:srgbClr val="FF0000"/>
                        </a:solidFill>
                        <a:ln w="9525" cap="flat" cmpd="sng">
                          <a:solidFill>
                            <a:srgbClr val="FF0000"/>
                          </a:solidFill>
                          <a:prstDash val="solid"/>
                          <a:miter/>
                          <a:headEnd type="none" w="med" len="med"/>
                          <a:tailEnd type="none" w="med" len="med"/>
                        </a:ln>
                        <a:effectLst/>
                      </wps:spPr>
                      <wps:bodyPr upright="1"/>
                    </wps:wsp>
                  </a:graphicData>
                </a:graphic>
              </wp:anchor>
            </w:drawing>
          </mc:Choice>
          <mc:Fallback>
            <w:pict>
              <v:shape id="_x0000_s1026" o:spid="_x0000_s1026" style="position:absolute;left:0pt;margin-left:155.9pt;margin-top:145.55pt;height:8.75pt;width:8.75pt;z-index:251665408;mso-width-relative:page;mso-height-relative:page;" fillcolor="#FF0000" filled="t" stroked="t" coordsize="111125,111125" o:gfxdata="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AdokRHbAAAACwEAAA8AAAAAAAAAAQAgAAAAIgAAAGRycy9k&#10;b3ducmV2LnhtbFBLAQIUABQAAAAIAIdO4kBmrvF6/wEAADMEAAAOAAAAAAAAAAEAIAAAACoBAABk&#10;cnMvZTJvRG9jLnhtbFBLBQYAAAAABgAGAFkBAACbBQAAAAA=&#10;" path="m0,42445l42446,42446,55562,0,68678,42446,111124,42445,76785,68678,89901,111124,55562,84891,21223,111124,34339,68678xe">
                <v:path o:connectlocs="55562,0;0,42445;21223,111124;89901,111124;111124,42445" o:connectangles="247,164,82,82,0"/>
                <v:fill on="t" focussize="0,0"/>
                <v:stroke color="#FF0000" joinstyle="miter"/>
                <v:imagedata o:title=""/>
                <o:lock v:ext="edit" aspectratio="f"/>
              </v:shape>
            </w:pict>
          </mc:Fallback>
        </mc:AlternateContent>
      </w:r>
      <w:r>
        <mc:AlternateContent>
          <mc:Choice Requires="wps">
            <w:drawing>
              <wp:anchor distT="0" distB="0" distL="114300" distR="114300" simplePos="0" relativeHeight="251663360" behindDoc="0" locked="0" layoutInCell="1" allowOverlap="1">
                <wp:simplePos x="0" y="0"/>
                <wp:positionH relativeFrom="column">
                  <wp:posOffset>2235835</wp:posOffset>
                </wp:positionH>
                <wp:positionV relativeFrom="paragraph">
                  <wp:posOffset>3263265</wp:posOffset>
                </wp:positionV>
                <wp:extent cx="746125" cy="357505"/>
                <wp:effectExtent l="198120" t="4445" r="8255" b="323850"/>
                <wp:wrapNone/>
                <wp:docPr id="133" name="圆角矩形标注 133"/>
                <wp:cNvGraphicFramePr/>
                <a:graphic xmlns:a="http://schemas.openxmlformats.org/drawingml/2006/main">
                  <a:graphicData uri="http://schemas.microsoft.com/office/word/2010/wordprocessingShape">
                    <wps:wsp>
                      <wps:cNvSpPr/>
                      <wps:spPr>
                        <a:xfrm>
                          <a:off x="0" y="0"/>
                          <a:ext cx="746125" cy="357505"/>
                        </a:xfrm>
                        <a:prstGeom prst="wedgeRoundRectCallout">
                          <a:avLst>
                            <a:gd name="adj1" fmla="val -72463"/>
                            <a:gd name="adj2" fmla="val 129931"/>
                            <a:gd name="adj3" fmla="val 16667"/>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项目位置</w:t>
                            </w:r>
                          </w:p>
                        </w:txbxContent>
                      </wps:txbx>
                      <wps:bodyPr lIns="0" tIns="0" rIns="0" bIns="0" upright="1"/>
                    </wps:wsp>
                  </a:graphicData>
                </a:graphic>
              </wp:anchor>
            </w:drawing>
          </mc:Choice>
          <mc:Fallback>
            <w:pict>
              <v:shape id="_x0000_s1026" o:spid="_x0000_s1026" o:spt="62" type="#_x0000_t62" style="position:absolute;left:0pt;margin-left:176.05pt;margin-top:256.95pt;height:28.15pt;width:58.75pt;z-index:251663360;mso-width-relative:page;mso-height-relative:page;" fillcolor="#FFFFFF" filled="t" stroked="t" coordsize="21600,21600" o:gfxdata="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KCBm5jbAAAACwEAAA8AAAAAAAAAAQAgAAAAIgAAAGRycy9kb3ducmV2&#10;LnhtbFBLAQIUABQAAAAIAIdO4kAkEouhawIAAPIEAAAOAAAAAAAAAAEAIAAAACoBAABkcnMvZTJv&#10;RG9jLnhtbFBLBQYAAAAABgAGAFkBAAAHBgAAAAA=&#10;" adj="-4852,38865,14400">
                <v:fill on="t" focussize="0,0"/>
                <v:stroke color="#000000" joinstyle="miter"/>
                <v:imagedata o:title=""/>
                <o:lock v:ext="edit" aspectratio="f"/>
                <v:textbox inset="0mm,0mm,0mm,0mm">
                  <w:txbxContent>
                    <w:p>
                      <w:r>
                        <w:rPr>
                          <w:rFonts w:hint="eastAsia"/>
                        </w:rPr>
                        <w:t>项目位置</w:t>
                      </w:r>
                    </w:p>
                  </w:txbxContent>
                </v:textbox>
              </v:shape>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1985010</wp:posOffset>
                </wp:positionH>
                <wp:positionV relativeFrom="paragraph">
                  <wp:posOffset>3842385</wp:posOffset>
                </wp:positionV>
                <wp:extent cx="111125" cy="111125"/>
                <wp:effectExtent l="13970" t="15875" r="27305" b="25400"/>
                <wp:wrapNone/>
                <wp:docPr id="139" name="五角星 139"/>
                <wp:cNvGraphicFramePr/>
                <a:graphic xmlns:a="http://schemas.openxmlformats.org/drawingml/2006/main">
                  <a:graphicData uri="http://schemas.microsoft.com/office/word/2010/wordprocessingShape">
                    <wps:wsp>
                      <wps:cNvSpPr/>
                      <wps:spPr>
                        <a:xfrm>
                          <a:off x="0" y="0"/>
                          <a:ext cx="111125" cy="111125"/>
                        </a:xfrm>
                        <a:prstGeom prst="star5">
                          <a:avLst/>
                        </a:prstGeom>
                        <a:solidFill>
                          <a:srgbClr val="FF0000"/>
                        </a:solidFill>
                        <a:ln w="9525" cap="flat" cmpd="sng">
                          <a:solidFill>
                            <a:srgbClr val="FF0000"/>
                          </a:solidFill>
                          <a:prstDash val="solid"/>
                          <a:miter/>
                          <a:headEnd type="none" w="med" len="med"/>
                          <a:tailEnd type="none" w="med" len="med"/>
                        </a:ln>
                        <a:effectLst/>
                      </wps:spPr>
                      <wps:bodyPr upright="1"/>
                    </wps:wsp>
                  </a:graphicData>
                </a:graphic>
              </wp:anchor>
            </w:drawing>
          </mc:Choice>
          <mc:Fallback>
            <w:pict>
              <v:shape id="_x0000_s1026" o:spid="_x0000_s1026" style="position:absolute;left:0pt;margin-left:156.3pt;margin-top:302.55pt;height:8.75pt;width:8.75pt;z-index:251664384;mso-width-relative:page;mso-height-relative:page;" fillcolor="#FF0000" filled="t" stroked="t" coordsize="111125,111125" o:gfxdata="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YS5vv2QAAAAsBAAAPAAAAAAAAAAEAIAAAACIAAABkcnMvZG93&#10;bnJldi54bWxQSwECFAAUAAAACACHTuJAJRDhuP8BAAAzBAAADgAAAAAAAAABACAAAAAoAQAAZHJz&#10;L2Uyb0RvYy54bWxQSwUGAAAAAAYABgBZAQAAmQUAAAAA&#10;" path="m0,42445l42446,42446,55562,0,68678,42446,111124,42445,76785,68678,89901,111124,55562,84891,21223,111124,34339,68678xe">
                <v:path o:connectlocs="55562,0;0,42445;21223,111124;89901,111124;111124,42445" o:connectangles="247,164,82,82,0"/>
                <v:fill on="t" focussize="0,0"/>
                <v:stroke color="#FF0000" joinstyle="miter"/>
                <v:imagedata o:title=""/>
                <o:lock v:ext="edit" aspectratio="f"/>
              </v:shap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492125</wp:posOffset>
                </wp:positionH>
                <wp:positionV relativeFrom="paragraph">
                  <wp:posOffset>3302635</wp:posOffset>
                </wp:positionV>
                <wp:extent cx="3263265" cy="2045970"/>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3263265" cy="2045970"/>
                        </a:xfrm>
                        <a:prstGeom prst="rect">
                          <a:avLst/>
                        </a:prstGeom>
                        <a:noFill/>
                        <a:ln>
                          <a:noFill/>
                        </a:ln>
                        <a:effectLst/>
                      </wps:spPr>
                      <wps:txbx>
                        <w:txbxContent>
                          <w:p>
                            <w:r>
                              <w:drawing>
                                <wp:inline distT="0" distB="0" distL="114300" distR="114300">
                                  <wp:extent cx="3079750" cy="1746250"/>
                                  <wp:effectExtent l="0" t="0" r="6350" b="6350"/>
                                  <wp:docPr id="13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62"/>
                                          <pic:cNvPicPr>
                                            <a:picLocks noChangeAspect="1"/>
                                          </pic:cNvPicPr>
                                        </pic:nvPicPr>
                                        <pic:blipFill>
                                          <a:blip r:embed="rId39"/>
                                          <a:stretch>
                                            <a:fillRect/>
                                          </a:stretch>
                                        </pic:blipFill>
                                        <pic:spPr>
                                          <a:xfrm>
                                            <a:off x="0" y="0"/>
                                            <a:ext cx="3079750" cy="1746250"/>
                                          </a:xfrm>
                                          <a:prstGeom prst="rect">
                                            <a:avLst/>
                                          </a:prstGeom>
                                          <a:noFill/>
                                          <a:ln>
                                            <a:noFill/>
                                          </a:ln>
                                        </pic:spPr>
                                      </pic:pic>
                                    </a:graphicData>
                                  </a:graphic>
                                </wp:inline>
                              </w:drawing>
                            </w:r>
                          </w:p>
                        </w:txbxContent>
                      </wps:txbx>
                      <wps:bodyPr upright="1"/>
                    </wps:wsp>
                  </a:graphicData>
                </a:graphic>
              </wp:anchor>
            </w:drawing>
          </mc:Choice>
          <mc:Fallback>
            <w:pict>
              <v:shape id="_x0000_s1026" o:spid="_x0000_s1026" o:spt="202" type="#_x0000_t202" style="position:absolute;left:0pt;margin-left:38.75pt;margin-top:260.05pt;height:161.1pt;width:256.95pt;z-index:251662336;mso-width-relative:page;mso-height-relative:page;" filled="f" stroked="f" coordsize="21600,21600" o:gfxdata="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DVZgfS2AAAAAoBAAAPAAAAAAAAAAEAIAAAACIAAABkcnMvZG93bnJldi54bWxQSwECFAAUAAAA&#10;CACHTuJA62e7x7UBAABhAwAADgAAAAAAAAABACAAAAAnAQAAZHJzL2Uyb0RvYy54bWxQSwUGAAAA&#10;AAYABgBZAQAATgUAAAAA&#10;">
                <v:fill on="f" focussize="0,0"/>
                <v:stroke on="f"/>
                <v:imagedata o:title=""/>
                <o:lock v:ext="edit" aspectratio="f"/>
                <v:textbox>
                  <w:txbxContent>
                    <w:p>
                      <w:r>
                        <w:drawing>
                          <wp:inline distT="0" distB="0" distL="114300" distR="114300">
                            <wp:extent cx="3079750" cy="1746250"/>
                            <wp:effectExtent l="0" t="0" r="6350" b="6350"/>
                            <wp:docPr id="13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62"/>
                                    <pic:cNvPicPr>
                                      <a:picLocks noChangeAspect="1"/>
                                    </pic:cNvPicPr>
                                  </pic:nvPicPr>
                                  <pic:blipFill>
                                    <a:blip r:embed="rId39"/>
                                    <a:stretch>
                                      <a:fillRect/>
                                    </a:stretch>
                                  </pic:blipFill>
                                  <pic:spPr>
                                    <a:xfrm>
                                      <a:off x="0" y="0"/>
                                      <a:ext cx="3079750" cy="1746250"/>
                                    </a:xfrm>
                                    <a:prstGeom prst="rect">
                                      <a:avLst/>
                                    </a:prstGeom>
                                    <a:noFill/>
                                    <a:ln>
                                      <a:noFill/>
                                    </a:ln>
                                  </pic:spPr>
                                </pic:pic>
                              </a:graphicData>
                            </a:graphic>
                          </wp:inline>
                        </w:drawing>
                      </w:r>
                    </w:p>
                  </w:txbxContent>
                </v:textbox>
              </v:shape>
            </w:pict>
          </mc:Fallback>
        </mc:AlternateContent>
      </w:r>
      <w:r>
        <w:drawing>
          <wp:inline distT="0" distB="0" distL="114300" distR="114300">
            <wp:extent cx="7332980" cy="5132705"/>
            <wp:effectExtent l="0" t="0" r="1270" b="10795"/>
            <wp:docPr id="14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63"/>
                    <pic:cNvPicPr>
                      <a:picLocks noChangeAspect="1"/>
                    </pic:cNvPicPr>
                  </pic:nvPicPr>
                  <pic:blipFill>
                    <a:blip r:embed="rId40"/>
                    <a:stretch>
                      <a:fillRect/>
                    </a:stretch>
                  </pic:blipFill>
                  <pic:spPr>
                    <a:xfrm>
                      <a:off x="0" y="0"/>
                      <a:ext cx="7332980" cy="5132705"/>
                    </a:xfrm>
                    <a:prstGeom prst="rect">
                      <a:avLst/>
                    </a:prstGeom>
                    <a:noFill/>
                    <a:ln>
                      <a:noFill/>
                    </a:ln>
                  </pic:spPr>
                </pic:pic>
              </a:graphicData>
            </a:graphic>
          </wp:inline>
        </w:drawing>
      </w:r>
    </w:p>
    <w:p>
      <w:pPr>
        <w:pStyle w:val="41"/>
        <w:outlineLvl w:val="0"/>
        <w:rPr>
          <w:rFonts w:hint="eastAsia" w:ascii="Times New Roman" w:hAnsi="Times New Roman" w:eastAsia="方正小标宋_GBK" w:cs="Times New Roman"/>
          <w:kern w:val="2"/>
          <w:sz w:val="38"/>
          <w:szCs w:val="24"/>
          <w:lang w:val="en-US" w:eastAsia="zh-CN" w:bidi="ar-SA"/>
        </w:rPr>
        <w:sectPr>
          <w:footerReference r:id="rId8" w:type="default"/>
          <w:pgSz w:w="16838" w:h="11906" w:orient="landscape"/>
          <w:pgMar w:top="1440" w:right="1440" w:bottom="1440" w:left="1440" w:header="851" w:footer="851" w:gutter="0"/>
          <w:pgBorders>
            <w:top w:val="none" w:sz="0" w:space="0"/>
            <w:left w:val="none" w:sz="0" w:space="0"/>
            <w:bottom w:val="none" w:sz="0" w:space="0"/>
            <w:right w:val="none" w:sz="0" w:space="0"/>
          </w:pgBorders>
          <w:cols w:space="720" w:num="1"/>
          <w:docGrid w:linePitch="312" w:charSpace="0"/>
        </w:sectPr>
      </w:pPr>
      <w:r>
        <w:rPr>
          <w:rFonts w:hint="eastAsia" w:ascii="Times New Roman" w:hAnsi="Times New Roman" w:eastAsia="方正小标宋_GBK" w:cs="Times New Roman"/>
          <w:kern w:val="2"/>
          <w:sz w:val="38"/>
          <w:szCs w:val="24"/>
          <w:lang w:val="en-US" w:eastAsia="zh-CN" w:bidi="ar-SA"/>
        </w:rPr>
        <w:t>附图3：哈尔滨市综合管控单元图</w:t>
      </w:r>
    </w:p>
    <w:p>
      <w:pPr>
        <w:rPr>
          <w:spacing w:val="12"/>
        </w:rPr>
      </w:pPr>
      <w:r>
        <mc:AlternateContent>
          <mc:Choice Requires="wps">
            <w:drawing>
              <wp:anchor distT="0" distB="0" distL="114300" distR="114300" simplePos="0" relativeHeight="251668480" behindDoc="0" locked="0" layoutInCell="1" allowOverlap="1">
                <wp:simplePos x="0" y="0"/>
                <wp:positionH relativeFrom="column">
                  <wp:posOffset>3289935</wp:posOffset>
                </wp:positionH>
                <wp:positionV relativeFrom="paragraph">
                  <wp:posOffset>3831590</wp:posOffset>
                </wp:positionV>
                <wp:extent cx="201295" cy="180340"/>
                <wp:effectExtent l="15240" t="14605" r="31115" b="14605"/>
                <wp:wrapNone/>
                <wp:docPr id="89" name="五角星 89"/>
                <wp:cNvGraphicFramePr/>
                <a:graphic xmlns:a="http://schemas.openxmlformats.org/drawingml/2006/main">
                  <a:graphicData uri="http://schemas.microsoft.com/office/word/2010/wordprocessingShape">
                    <wps:wsp>
                      <wps:cNvSpPr/>
                      <wps:spPr>
                        <a:xfrm>
                          <a:off x="0" y="0"/>
                          <a:ext cx="201295" cy="180340"/>
                        </a:xfrm>
                        <a:prstGeom prst="star5">
                          <a:avLst/>
                        </a:prstGeom>
                        <a:solidFill>
                          <a:srgbClr val="000000"/>
                        </a:solidFill>
                        <a:ln w="9525" cap="flat" cmpd="sng">
                          <a:solidFill>
                            <a:srgbClr val="000000"/>
                          </a:solidFill>
                          <a:prstDash val="solid"/>
                          <a:miter/>
                          <a:headEnd type="none" w="med" len="med"/>
                          <a:tailEnd type="none" w="med" len="med"/>
                        </a:ln>
                        <a:effectLst/>
                      </wps:spPr>
                      <wps:txbx>
                        <w:txbxContent>
                          <w:p/>
                        </w:txbxContent>
                      </wps:txbx>
                      <wps:bodyPr upright="1"/>
                    </wps:wsp>
                  </a:graphicData>
                </a:graphic>
              </wp:anchor>
            </w:drawing>
          </mc:Choice>
          <mc:Fallback>
            <w:pict>
              <v:shape id="_x0000_s1026" o:spid="_x0000_s1026" style="position:absolute;left:0pt;margin-left:259.05pt;margin-top:301.7pt;height:14.2pt;width:15.85pt;z-index:251668480;mso-width-relative:page;mso-height-relative:page;" fillcolor="#000000" filled="t" stroked="t" coordsize="201295,180340" o:gfxdata="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5FdjFdoAAAALAQAADwAAAAAAAAABACAAAAAi&#10;AAAAZHJzL2Rvd25yZXYueG1sUEsBAhQAFAAAAAgAh07iQKcqHZAIAgAAPAQAAA4AAAAAAAAAAQAg&#10;AAAAKQEAAGRycy9lMm9Eb2MueG1sUEsFBgAAAAAGAAYAWQEAAKMFAAAAAA==&#10;" path="m0,68883l76888,68884,100647,0,124406,68884,201294,68883,139090,111455,162850,180339,100647,137766,38444,180339,62204,111455xe">
                <v:path textboxrect="0,0,201295,180340" o:connectlocs="100647,0;0,68883;38444,180339;162850,180339;201294,68883" o:connectangles="247,164,82,82,0"/>
                <v:fill on="t" focussize="0,0"/>
                <v:stroke color="#000000" joinstyle="miter"/>
                <v:imagedata o:title=""/>
                <o:lock v:ext="edit" aspectratio="f"/>
                <v:textbox>
                  <w:txbxContent>
                    <w:p/>
                  </w:txbxContent>
                </v:textbox>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3854450</wp:posOffset>
                </wp:positionH>
                <wp:positionV relativeFrom="paragraph">
                  <wp:posOffset>3216910</wp:posOffset>
                </wp:positionV>
                <wp:extent cx="698500" cy="495935"/>
                <wp:effectExtent l="398145" t="5080" r="8255" b="222885"/>
                <wp:wrapNone/>
                <wp:docPr id="88" name="圆角矩形标注 88"/>
                <wp:cNvGraphicFramePr/>
                <a:graphic xmlns:a="http://schemas.openxmlformats.org/drawingml/2006/main">
                  <a:graphicData uri="http://schemas.microsoft.com/office/word/2010/wordprocessingShape">
                    <wps:wsp>
                      <wps:cNvSpPr/>
                      <wps:spPr>
                        <a:xfrm>
                          <a:off x="0" y="0"/>
                          <a:ext cx="698500" cy="495935"/>
                        </a:xfrm>
                        <a:prstGeom prst="wedgeRoundRectCallout">
                          <a:avLst>
                            <a:gd name="adj1" fmla="val -102815"/>
                            <a:gd name="adj2" fmla="val 89444"/>
                            <a:gd name="adj3" fmla="val 16667"/>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本项目位置</w:t>
                            </w:r>
                          </w:p>
                        </w:txbxContent>
                      </wps:txbx>
                      <wps:bodyPr upright="1"/>
                    </wps:wsp>
                  </a:graphicData>
                </a:graphic>
              </wp:anchor>
            </w:drawing>
          </mc:Choice>
          <mc:Fallback>
            <w:pict>
              <v:shape id="_x0000_s1026" o:spid="_x0000_s1026" o:spt="62" type="#_x0000_t62" style="position:absolute;left:0pt;margin-left:303.5pt;margin-top:253.3pt;height:39.05pt;width:55pt;z-index:251669504;mso-width-relative:page;mso-height-relative:page;" fillcolor="#FFFFFF" filled="t" stroked="t" coordsize="21600,21600" o:gfxdata="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uKaU7aAAAACwEAAA8AAAAAAAAAAQAgAAAAIgAAAGRycy9kb3ducmV2LnhtbFBLAQIUABQAAAAI&#10;AIdO4kBmFH6dXQIAAMwEAAAOAAAAAAAAAAEAIAAAACkBAABkcnMvZTJvRG9jLnhtbFBLBQYAAAAA&#10;BgAGAFkBAAD4BQAAAAA=&#10;" adj="-11408,30120,14400">
                <v:fill on="t" focussize="0,0"/>
                <v:stroke color="#000000" joinstyle="miter"/>
                <v:imagedata o:title=""/>
                <o:lock v:ext="edit" aspectratio="f"/>
                <v:textbox>
                  <w:txbxContent>
                    <w:p>
                      <w:r>
                        <w:rPr>
                          <w:rFonts w:hint="eastAsia"/>
                        </w:rPr>
                        <w:t>本项目位置</w:t>
                      </w:r>
                    </w:p>
                  </w:txbxContent>
                </v:textbox>
              </v:shape>
            </w:pict>
          </mc:Fallback>
        </mc:AlternateContent>
      </w:r>
      <w:r>
        <w:rPr>
          <w:rFonts w:hint="eastAsia"/>
          <w:b/>
          <w:bCs/>
        </w:rPr>
        <w:drawing>
          <wp:inline distT="0" distB="0" distL="114300" distR="114300">
            <wp:extent cx="5610225" cy="6858000"/>
            <wp:effectExtent l="0" t="0" r="9525" b="0"/>
            <wp:docPr id="1" name="图片 1" descr="f0d6d63ec8b259ddec1c5090cfde9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0d6d63ec8b259ddec1c5090cfde9e5"/>
                    <pic:cNvPicPr>
                      <a:picLocks noChangeAspect="1"/>
                    </pic:cNvPicPr>
                  </pic:nvPicPr>
                  <pic:blipFill>
                    <a:blip r:embed="rId41"/>
                    <a:stretch>
                      <a:fillRect/>
                    </a:stretch>
                  </pic:blipFill>
                  <pic:spPr>
                    <a:xfrm>
                      <a:off x="0" y="0"/>
                      <a:ext cx="5610225" cy="6858000"/>
                    </a:xfrm>
                    <a:prstGeom prst="rect">
                      <a:avLst/>
                    </a:prstGeom>
                  </pic:spPr>
                </pic:pic>
              </a:graphicData>
            </a:graphic>
          </wp:inline>
        </w:drawing>
      </w:r>
    </w:p>
    <w:p>
      <w:pPr>
        <w:rPr>
          <w:spacing w:val="12"/>
        </w:rPr>
      </w:pPr>
    </w:p>
    <w:p>
      <w:pPr>
        <w:pStyle w:val="41"/>
        <w:outlineLvl w:val="0"/>
      </w:pPr>
      <w:r>
        <w:rPr>
          <w:rFonts w:hint="eastAsia"/>
        </w:rPr>
        <w:t>附图</w:t>
      </w:r>
      <w:r>
        <w:rPr>
          <w:rFonts w:hint="eastAsia"/>
          <w:lang w:val="en-US" w:eastAsia="zh-CN"/>
        </w:rPr>
        <w:t>4</w:t>
      </w:r>
      <w:r>
        <w:rPr>
          <w:rFonts w:hint="eastAsia"/>
        </w:rPr>
        <w:t>：园区土地利用规划图</w:t>
      </w:r>
    </w:p>
    <w:p>
      <w:pPr>
        <w:rPr>
          <w:b/>
          <w:bCs/>
        </w:rPr>
        <w:sectPr>
          <w:pgSz w:w="11906" w:h="16838"/>
          <w:pgMar w:top="1440" w:right="1440" w:bottom="1440" w:left="1440" w:header="851" w:footer="851" w:gutter="0"/>
          <w:pgBorders>
            <w:top w:val="none" w:sz="0" w:space="0"/>
            <w:left w:val="none" w:sz="0" w:space="0"/>
            <w:bottom w:val="none" w:sz="0" w:space="0"/>
            <w:right w:val="none" w:sz="0" w:space="0"/>
          </w:pgBorders>
          <w:cols w:space="720" w:num="1"/>
          <w:docGrid w:linePitch="312" w:charSpace="0"/>
        </w:sectPr>
      </w:pPr>
    </w:p>
    <w:p>
      <w:pPr>
        <w:jc w:val="center"/>
      </w:pPr>
      <w:r>
        <w:rPr>
          <w:sz w:val="24"/>
        </w:rPr>
        <mc:AlternateContent>
          <mc:Choice Requires="wps">
            <w:drawing>
              <wp:anchor distT="0" distB="0" distL="114300" distR="114300" simplePos="0" relativeHeight="251672576" behindDoc="0" locked="0" layoutInCell="1" allowOverlap="1">
                <wp:simplePos x="0" y="0"/>
                <wp:positionH relativeFrom="column">
                  <wp:posOffset>2625090</wp:posOffset>
                </wp:positionH>
                <wp:positionV relativeFrom="paragraph">
                  <wp:posOffset>3465830</wp:posOffset>
                </wp:positionV>
                <wp:extent cx="823595" cy="231140"/>
                <wp:effectExtent l="4445" t="5080" r="448310" b="11430"/>
                <wp:wrapNone/>
                <wp:docPr id="90" name="圆角矩形标注 90"/>
                <wp:cNvGraphicFramePr/>
                <a:graphic xmlns:a="http://schemas.openxmlformats.org/drawingml/2006/main">
                  <a:graphicData uri="http://schemas.microsoft.com/office/word/2010/wordprocessingShape">
                    <wps:wsp>
                      <wps:cNvSpPr/>
                      <wps:spPr>
                        <a:xfrm>
                          <a:off x="0" y="0"/>
                          <a:ext cx="823595" cy="231140"/>
                        </a:xfrm>
                        <a:prstGeom prst="wedgeRoundRectCallout">
                          <a:avLst>
                            <a:gd name="adj1" fmla="val 99730"/>
                            <a:gd name="adj2" fmla="val 45054"/>
                            <a:gd name="adj3" fmla="val 16667"/>
                          </a:avLst>
                        </a:prstGeom>
                        <a:solidFill>
                          <a:srgbClr val="FFFFFF"/>
                        </a:solidFill>
                        <a:ln w="9525" cap="flat" cmpd="sng">
                          <a:solidFill>
                            <a:srgbClr val="000000"/>
                          </a:solidFill>
                          <a:prstDash val="solid"/>
                          <a:miter/>
                          <a:headEnd type="none" w="med" len="med"/>
                          <a:tailEnd type="none" w="med" len="med"/>
                        </a:ln>
                        <a:effectLst/>
                      </wps:spPr>
                      <wps:txbx>
                        <w:txbxContent>
                          <w:p>
                            <w:r>
                              <w:rPr>
                                <w:rFonts w:hint="eastAsia"/>
                              </w:rPr>
                              <w:t>本项目位置</w:t>
                            </w:r>
                          </w:p>
                        </w:txbxContent>
                      </wps:txbx>
                      <wps:bodyPr lIns="0" tIns="0" rIns="0" bIns="0" upright="1"/>
                    </wps:wsp>
                  </a:graphicData>
                </a:graphic>
              </wp:anchor>
            </w:drawing>
          </mc:Choice>
          <mc:Fallback>
            <w:pict>
              <v:shape id="_x0000_s1026" o:spid="_x0000_s1026" o:spt="62" type="#_x0000_t62" style="position:absolute;left:0pt;margin-left:206.7pt;margin-top:272.9pt;height:18.2pt;width:64.85pt;z-index:251672576;mso-width-relative:page;mso-height-relative:page;" fillcolor="#FFFFFF" filled="t" stroked="t" coordsize="21600,21600" o:gfxdata="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AZbdW2gAAAAsBAAAPAAAAAAAAAAEAIAAAACIAAABkcnMvZG93bnJldi54bWxQ&#10;SwECFAAUAAAACACHTuJABHX1ImcCAADuBAAADgAAAAAAAAABACAAAAApAQAAZHJzL2Uyb0RvYy54&#10;bWxQSwUGAAAAAAYABgBZAQAAAgYAAAAA&#10;" adj="32342,20532,14400">
                <v:fill on="t" focussize="0,0"/>
                <v:stroke color="#000000" joinstyle="miter"/>
                <v:imagedata o:title=""/>
                <o:lock v:ext="edit" aspectratio="f"/>
                <v:textbox inset="0mm,0mm,0mm,0mm">
                  <w:txbxContent>
                    <w:p>
                      <w:r>
                        <w:rPr>
                          <w:rFonts w:hint="eastAsia"/>
                        </w:rPr>
                        <w:t>本项目位置</w:t>
                      </w:r>
                    </w:p>
                  </w:txbxContent>
                </v:textbox>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3870960</wp:posOffset>
                </wp:positionH>
                <wp:positionV relativeFrom="paragraph">
                  <wp:posOffset>3660775</wp:posOffset>
                </wp:positionV>
                <wp:extent cx="108585" cy="75565"/>
                <wp:effectExtent l="13335" t="15875" r="49530" b="22860"/>
                <wp:wrapNone/>
                <wp:docPr id="77" name="十字星 77"/>
                <wp:cNvGraphicFramePr/>
                <a:graphic xmlns:a="http://schemas.openxmlformats.org/drawingml/2006/main">
                  <a:graphicData uri="http://schemas.microsoft.com/office/word/2010/wordprocessingShape">
                    <wps:wsp>
                      <wps:cNvSpPr/>
                      <wps:spPr>
                        <a:xfrm>
                          <a:off x="0" y="0"/>
                          <a:ext cx="108585" cy="75565"/>
                        </a:xfrm>
                        <a:prstGeom prst="star4">
                          <a:avLst>
                            <a:gd name="adj" fmla="val 12500"/>
                          </a:avLst>
                        </a:prstGeom>
                        <a:solidFill>
                          <a:srgbClr val="FFFFFF"/>
                        </a:solidFill>
                        <a:ln w="9525" cap="flat" cmpd="sng">
                          <a:solidFill>
                            <a:srgbClr val="FFFF00"/>
                          </a:solidFill>
                          <a:prstDash val="solid"/>
                          <a:miter/>
                          <a:headEnd type="none" w="med" len="med"/>
                          <a:tailEnd type="none" w="med" len="med"/>
                        </a:ln>
                        <a:effectLst/>
                      </wps:spPr>
                      <wps:bodyPr upright="1"/>
                    </wps:wsp>
                  </a:graphicData>
                </a:graphic>
              </wp:anchor>
            </w:drawing>
          </mc:Choice>
          <mc:Fallback>
            <w:pict>
              <v:shape id="_x0000_s1026" o:spid="_x0000_s1026" o:spt="187" type="#_x0000_t187" style="position:absolute;left:0pt;margin-left:304.8pt;margin-top:288.25pt;height:5.95pt;width:8.55pt;z-index:251671552;mso-width-relative:page;mso-height-relative:page;" fillcolor="#FFFFFF" filled="t" stroked="t" coordsize="21600,21600" o:gfxdata="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DdfkRra&#10;AAAACwEAAA8AAAAAAAAAAQAgAAAAIgAAAGRycy9kb3ducmV2LnhtbFBLAQIUABQAAAAIAIdO4kDG&#10;MinzHgIAAFwEAAAOAAAAAAAAAAEAIAAAACkBAABkcnMvZTJvRG9jLnhtbFBLBQYAAAAABgAGAFkB&#10;AAC5BQAAAAA=&#10;" adj="8100">
                <v:fill on="t" focussize="0,0"/>
                <v:stroke color="#FFFF00" joinstyle="miter"/>
                <v:imagedata o:title=""/>
                <o:lock v:ext="edit" aspectratio="f"/>
              </v:shape>
            </w:pict>
          </mc:Fallback>
        </mc:AlternateContent>
      </w:r>
      <w:r>
        <w:drawing>
          <wp:inline distT="0" distB="0" distL="114300" distR="114300">
            <wp:extent cx="8204835" cy="5088890"/>
            <wp:effectExtent l="0" t="0" r="5715" b="16510"/>
            <wp:docPr id="94"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71"/>
                    <pic:cNvPicPr>
                      <a:picLocks noChangeAspect="1"/>
                    </pic:cNvPicPr>
                  </pic:nvPicPr>
                  <pic:blipFill>
                    <a:blip r:embed="rId42"/>
                    <a:stretch>
                      <a:fillRect/>
                    </a:stretch>
                  </pic:blipFill>
                  <pic:spPr>
                    <a:xfrm>
                      <a:off x="0" y="0"/>
                      <a:ext cx="8204835" cy="5088890"/>
                    </a:xfrm>
                    <a:prstGeom prst="rect">
                      <a:avLst/>
                    </a:prstGeom>
                    <a:noFill/>
                    <a:ln>
                      <a:noFill/>
                    </a:ln>
                  </pic:spPr>
                </pic:pic>
              </a:graphicData>
            </a:graphic>
          </wp:inline>
        </w:drawing>
      </w:r>
    </w:p>
    <w:p>
      <w:pPr>
        <w:pStyle w:val="41"/>
        <w:outlineLvl w:val="0"/>
        <w:rPr>
          <w:rFonts w:hint="eastAsia"/>
        </w:rPr>
      </w:pPr>
      <w:r>
        <w:rPr>
          <w:rFonts w:hint="eastAsia"/>
        </w:rPr>
        <w:t>附图</w:t>
      </w:r>
      <w:r>
        <w:rPr>
          <w:rFonts w:hint="eastAsia"/>
          <w:lang w:val="en-US" w:eastAsia="zh-CN"/>
        </w:rPr>
        <w:t>5</w:t>
      </w:r>
      <w:r>
        <w:rPr>
          <w:rFonts w:hint="eastAsia"/>
        </w:rPr>
        <w:t>：松北区声环境功能区划</w:t>
      </w:r>
    </w:p>
    <w:p>
      <w:pPr>
        <w:pStyle w:val="41"/>
        <w:outlineLvl w:val="0"/>
      </w:pPr>
      <w:r>
        <w:rPr>
          <w:rFonts w:hint="eastAsia"/>
          <w:snapToGrid w:val="0"/>
          <w:kern w:val="0"/>
        </w:rPr>
        <w:drawing>
          <wp:anchor distT="0" distB="0" distL="114300" distR="114300" simplePos="0" relativeHeight="251701248" behindDoc="0" locked="0" layoutInCell="1" allowOverlap="1">
            <wp:simplePos x="0" y="0"/>
            <wp:positionH relativeFrom="column">
              <wp:posOffset>1671320</wp:posOffset>
            </wp:positionH>
            <wp:positionV relativeFrom="paragraph">
              <wp:posOffset>5080</wp:posOffset>
            </wp:positionV>
            <wp:extent cx="753110" cy="852170"/>
            <wp:effectExtent l="0" t="0" r="8890" b="5080"/>
            <wp:wrapNone/>
            <wp:docPr id="49" name="图片 47" descr="360截图2021051016091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7" descr="360截图20210510160912399"/>
                    <pic:cNvPicPr>
                      <a:picLocks noChangeAspect="1"/>
                    </pic:cNvPicPr>
                  </pic:nvPicPr>
                  <pic:blipFill>
                    <a:blip r:embed="rId16"/>
                    <a:stretch>
                      <a:fillRect/>
                    </a:stretch>
                  </pic:blipFill>
                  <pic:spPr>
                    <a:xfrm>
                      <a:off x="0" y="0"/>
                      <a:ext cx="753110" cy="852170"/>
                    </a:xfrm>
                    <a:prstGeom prst="rect">
                      <a:avLst/>
                    </a:prstGeom>
                    <a:noFill/>
                    <a:ln>
                      <a:noFill/>
                    </a:ln>
                  </pic:spPr>
                </pic:pic>
              </a:graphicData>
            </a:graphic>
          </wp:anchor>
        </w:drawing>
      </w:r>
      <w:r>
        <w:rPr>
          <w:sz w:val="38"/>
        </w:rPr>
        <mc:AlternateContent>
          <mc:Choice Requires="wps">
            <w:drawing>
              <wp:anchor distT="0" distB="0" distL="114300" distR="114300" simplePos="0" relativeHeight="251700224" behindDoc="0" locked="0" layoutInCell="1" allowOverlap="1">
                <wp:simplePos x="0" y="0"/>
                <wp:positionH relativeFrom="column">
                  <wp:posOffset>5087620</wp:posOffset>
                </wp:positionH>
                <wp:positionV relativeFrom="paragraph">
                  <wp:posOffset>1412240</wp:posOffset>
                </wp:positionV>
                <wp:extent cx="833120" cy="254000"/>
                <wp:effectExtent l="658495" t="12700" r="13335" b="742950"/>
                <wp:wrapNone/>
                <wp:docPr id="47" name="矩形标注 47"/>
                <wp:cNvGraphicFramePr/>
                <a:graphic xmlns:a="http://schemas.openxmlformats.org/drawingml/2006/main">
                  <a:graphicData uri="http://schemas.microsoft.com/office/word/2010/wordprocessingShape">
                    <wps:wsp>
                      <wps:cNvSpPr/>
                      <wps:spPr>
                        <a:xfrm>
                          <a:off x="6002020" y="2326640"/>
                          <a:ext cx="833120" cy="254000"/>
                        </a:xfrm>
                        <a:prstGeom prst="wedgeRectCallout">
                          <a:avLst>
                            <a:gd name="adj1" fmla="val -127515"/>
                            <a:gd name="adj2" fmla="val 334250"/>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lang w:val="en-US" w:eastAsia="zh-CN"/>
                              </w:rPr>
                            </w:pPr>
                            <w:r>
                              <w:rPr>
                                <w:rFonts w:hint="eastAsia"/>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00.6pt;margin-top:111.2pt;height:20pt;width:65.6pt;z-index:251700224;v-text-anchor:middle;mso-width-relative:page;mso-height-relative:page;" fillcolor="#4F81BD [3204]" filled="t" stroked="t" coordsize="21600,21600" o:gfxdata="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CpOiJ9gAAAALAQAADwAAAAAA&#10;AAABACAAAAAiAAAAZHJzL2Rvd25yZXYueG1sUEsBAhQAFAAAAAgAh07iQMdBIte+AgAAfAUAAA4A&#10;AAAAAAAAAQAgAAAAJwEAAGRycy9lMm9Eb2MueG1sUEsFBgAAAAAGAAYAWQEAAFcGAAAAAA==&#10;" adj="-16743,82998">
                <v:fill on="t" focussize="0,0"/>
                <v:stroke weight="2pt" color="#385D8A [3204]" joinstyle="round"/>
                <v:imagedata o:title=""/>
                <o:lock v:ext="edit" aspectratio="f"/>
                <v:textbox>
                  <w:txbxContent>
                    <w:p>
                      <w:pPr>
                        <w:jc w:val="center"/>
                        <w:rPr>
                          <w:rFonts w:hint="default" w:eastAsia="宋体"/>
                          <w:lang w:val="en-US" w:eastAsia="zh-CN"/>
                        </w:rPr>
                      </w:pPr>
                      <w:r>
                        <w:rPr>
                          <w:rFonts w:hint="eastAsia"/>
                          <w:lang w:val="en-US" w:eastAsia="zh-CN"/>
                        </w:rPr>
                        <w:t>项目位置</w:t>
                      </w:r>
                    </w:p>
                  </w:txbxContent>
                </v:textbox>
              </v:shape>
            </w:pict>
          </mc:Fallback>
        </mc:AlternateContent>
      </w:r>
      <w:r>
        <w:drawing>
          <wp:inline distT="0" distB="0" distL="114300" distR="114300">
            <wp:extent cx="5505450" cy="4859020"/>
            <wp:effectExtent l="0" t="0" r="0" b="1778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43"/>
                    <a:stretch>
                      <a:fillRect/>
                    </a:stretch>
                  </pic:blipFill>
                  <pic:spPr>
                    <a:xfrm>
                      <a:off x="0" y="0"/>
                      <a:ext cx="5505450" cy="4859020"/>
                    </a:xfrm>
                    <a:prstGeom prst="rect">
                      <a:avLst/>
                    </a:prstGeom>
                    <a:noFill/>
                    <a:ln>
                      <a:noFill/>
                    </a:ln>
                  </pic:spPr>
                </pic:pic>
              </a:graphicData>
            </a:graphic>
          </wp:inline>
        </w:drawing>
      </w:r>
    </w:p>
    <w:p>
      <w:pPr>
        <w:pStyle w:val="41"/>
        <w:outlineLvl w:val="0"/>
        <w:rPr>
          <w:rFonts w:hint="default" w:ascii="Times New Roman" w:hAnsi="Times New Roman" w:cs="Times New Roman"/>
          <w:lang w:val="en-US" w:eastAsia="zh-CN"/>
        </w:rPr>
      </w:pPr>
      <w:r>
        <w:rPr>
          <w:rFonts w:hint="eastAsia" w:ascii="Times New Roman" w:hAnsi="Times New Roman" w:cs="Times New Roman"/>
          <w:lang w:val="en-US" w:eastAsia="zh-CN"/>
        </w:rPr>
        <w:t>附图6 大气环境保护目标图</w:t>
      </w:r>
    </w:p>
    <w:sectPr>
      <w:pgSz w:w="16838" w:h="11906" w:orient="landscape"/>
      <w:pgMar w:top="1440" w:right="1440" w:bottom="1440" w:left="1440"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等线 Light">
    <w:panose1 w:val="02010600030101010101"/>
    <w:charset w:val="86"/>
    <w:family w:val="auto"/>
    <w:pitch w:val="default"/>
    <w:sig w:usb0="A00002BF" w:usb1="38CF7CFA" w:usb2="00000016" w:usb3="00000000" w:csb0="0004000F" w:csb1="00000000"/>
  </w:font>
  <w:font w:name="方正小标宋_GBK">
    <w:altName w:val="微软雅黑"/>
    <w:panose1 w:val="03000509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Arial Unicode MS">
    <w:altName w:val="宋体"/>
    <w:panose1 w:val="020B0604020202020204"/>
    <w:charset w:val="86"/>
    <w:family w:val="swiss"/>
    <w:pitch w:val="default"/>
    <w:sig w:usb0="00000000" w:usb1="00000000" w:usb2="0000003F" w:usb3="00000000" w:csb0="603F01FF" w:csb1="FFFF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Segoe UI Symbol">
    <w:panose1 w:val="020B0502040204020203"/>
    <w:charset w:val="00"/>
    <w:family w:val="swiss"/>
    <w:pitch w:val="default"/>
    <w:sig w:usb0="800001E3" w:usb1="1200FFEF" w:usb2="00040000" w:usb3="04000000" w:csb0="00000001" w:csb1="40000000"/>
  </w:font>
  <w:font w:name="MS Gothic">
    <w:panose1 w:val="020B0609070205080204"/>
    <w:charset w:val="80"/>
    <w:family w:val="modern"/>
    <w:pitch w:val="default"/>
    <w:sig w:usb0="E00002FF" w:usb1="6AC7FDFB" w:usb2="08000012" w:usb3="00000000" w:csb0="4002009F" w:csb1="DFD70000"/>
  </w:font>
  <w:font w:name="Tahoma">
    <w:panose1 w:val="020B0604030504040204"/>
    <w:charset w:val="00"/>
    <w:family w:val="auto"/>
    <w:pitch w:val="default"/>
    <w:sig w:usb0="E1002EFF" w:usb1="C000605B" w:usb2="00000029" w:usb3="00000000" w:csb0="200101FF" w:csb1="20280000"/>
  </w:font>
  <w:font w:name="Arial Black">
    <w:panose1 w:val="020B0A04020102020204"/>
    <w:charset w:val="00"/>
    <w:family w:val="swiss"/>
    <w:pitch w:val="default"/>
    <w:sig w:usb0="A00002AF" w:usb1="400078FB" w:usb2="00000000" w:usb3="00000000" w:csb0="6000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framePr w:wrap="around" w:vAnchor="text" w:hAnchor="margin" w:xAlign="center" w:y="1"/>
      <w:tabs>
        <w:tab w:val="center" w:pos="4153"/>
        <w:tab w:val="right" w:pos="8306"/>
      </w:tabs>
    </w:pPr>
    <w:r>
      <w:fldChar w:fldCharType="begin"/>
    </w:r>
    <w:r>
      <w:instrText xml:space="preserve">PAGE  </w:instrText>
    </w:r>
    <w:r>
      <w:fldChar w:fldCharType="end"/>
    </w:r>
  </w:p>
  <w:p>
    <w:pPr>
      <w:tabs>
        <w:tab w:val="center" w:pos="4153"/>
        <w:tab w:val="right" w:pos="8306"/>
      </w:tabs>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w:rPr>
        <w:sz w:val="18"/>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1828800" cy="1828800"/>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pPr>
                            <w:tabs>
                              <w:tab w:val="center" w:pos="4153"/>
                              <w:tab w:val="right" w:pos="8306"/>
                            </w:tabs>
                            <w:rPr>
                              <w:rFonts w:ascii="宋体" w:hAnsi="宋体"/>
                              <w:sz w:val="28"/>
                              <w:szCs w:val="28"/>
                            </w:rPr>
                          </w:pPr>
                          <w:r>
                            <w:rPr>
                              <w:rFonts w:hint="eastAsia" w:ascii="宋体" w:hAnsi="宋体"/>
                              <w:sz w:val="28"/>
                              <w:szCs w:val="28"/>
                            </w:rPr>
                            <w:t>—</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Fonts w:ascii="宋体" w:hAnsi="宋体"/>
                              <w:sz w:val="26"/>
                              <w:szCs w:val="26"/>
                            </w:rPr>
                            <w:t>26</w:t>
                          </w:r>
                          <w:r>
                            <w:rPr>
                              <w:rFonts w:ascii="宋体" w:hAnsi="宋体"/>
                              <w:sz w:val="26"/>
                              <w:szCs w:val="26"/>
                            </w:rPr>
                            <w:fldChar w:fldCharType="end"/>
                          </w:r>
                          <w:r>
                            <w:rPr>
                              <w:rFonts w:hint="eastAsia" w:ascii="宋体" w:hAnsi="宋体"/>
                              <w:sz w:val="28"/>
                              <w:szCs w:val="28"/>
                            </w:rPr>
                            <w:t>—</w:t>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974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ERh9wjIAQAAnQMAAA4AAAAAAAAAAQAgAAAAHgEAAGRycy9lMm9Eb2Mu&#10;eG1sUEsFBgAAAAAGAAYAWQEAAFgFAAAAAA==&#10;">
              <v:fill on="f" focussize="0,0"/>
              <v:stroke on="f"/>
              <v:imagedata o:title=""/>
              <o:lock v:ext="edit" aspectratio="f"/>
              <v:textbox inset="0mm,0mm,0mm,0mm" style="mso-fit-shape-to-text:t;">
                <w:txbxContent>
                  <w:p>
                    <w:pPr>
                      <w:tabs>
                        <w:tab w:val="center" w:pos="4153"/>
                        <w:tab w:val="right" w:pos="8306"/>
                      </w:tabs>
                      <w:rPr>
                        <w:rFonts w:ascii="宋体" w:hAnsi="宋体"/>
                        <w:sz w:val="28"/>
                        <w:szCs w:val="28"/>
                      </w:rPr>
                    </w:pPr>
                    <w:r>
                      <w:rPr>
                        <w:rFonts w:hint="eastAsia" w:ascii="宋体" w:hAnsi="宋体"/>
                        <w:sz w:val="28"/>
                        <w:szCs w:val="28"/>
                      </w:rPr>
                      <w:t>—</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Fonts w:ascii="宋体" w:hAnsi="宋体"/>
                        <w:sz w:val="26"/>
                        <w:szCs w:val="26"/>
                      </w:rPr>
                      <w:t>26</w:t>
                    </w:r>
                    <w:r>
                      <w:rPr>
                        <w:rFonts w:ascii="宋体" w:hAnsi="宋体"/>
                        <w:sz w:val="26"/>
                        <w:szCs w:val="26"/>
                      </w:rPr>
                      <w:fldChar w:fldCharType="end"/>
                    </w:r>
                    <w:r>
                      <w:rPr>
                        <w:rFonts w:hint="eastAsia" w:ascii="宋体" w:hAnsi="宋体"/>
                        <w:sz w:val="28"/>
                        <w:szCs w:val="2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w:rPr>
        <w:sz w:val="18"/>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1828800" cy="182880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pPr>
                            <w:tabs>
                              <w:tab w:val="center" w:pos="4153"/>
                              <w:tab w:val="right" w:pos="8306"/>
                            </w:tabs>
                            <w:rPr>
                              <w:rFonts w:ascii="宋体" w:hAnsi="宋体"/>
                              <w:sz w:val="28"/>
                              <w:szCs w:val="28"/>
                            </w:rPr>
                          </w:pPr>
                          <w:r>
                            <w:rPr>
                              <w:rFonts w:hint="eastAsia" w:ascii="宋体" w:hAnsi="宋体"/>
                              <w:sz w:val="28"/>
                              <w:szCs w:val="28"/>
                            </w:rPr>
                            <w:t>—</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Fonts w:ascii="宋体" w:hAnsi="宋体"/>
                              <w:sz w:val="26"/>
                              <w:szCs w:val="26"/>
                            </w:rPr>
                            <w:t>47</w:t>
                          </w:r>
                          <w:r>
                            <w:rPr>
                              <w:rFonts w:ascii="宋体" w:hAnsi="宋体"/>
                              <w:sz w:val="26"/>
                              <w:szCs w:val="26"/>
                            </w:rPr>
                            <w:fldChar w:fldCharType="end"/>
                          </w:r>
                          <w:r>
                            <w:rPr>
                              <w:rFonts w:hint="eastAsia" w:ascii="宋体" w:hAnsi="宋体"/>
                              <w:sz w:val="28"/>
                              <w:szCs w:val="28"/>
                            </w:rPr>
                            <w:t>—</w:t>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076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OqXm5zwAAAAUBAAAPAAAAAAAAAAEAIAAAACIAAABkcnMvZG93bnJldi54bWxQ&#10;SwECFAAUAAAACACHTuJApJuWhMcBAACdAwAADgAAAAAAAAABACAAAAAeAQAAZHJzL2Uyb0RvYy54&#10;bWxQSwUGAAAAAAYABgBZAQAAVwUAAAAA&#10;">
              <v:fill on="f" focussize="0,0"/>
              <v:stroke on="f"/>
              <v:imagedata o:title=""/>
              <o:lock v:ext="edit" aspectratio="f"/>
              <v:textbox inset="0mm,0mm,0mm,0mm" style="mso-fit-shape-to-text:t;">
                <w:txbxContent>
                  <w:p>
                    <w:pPr>
                      <w:tabs>
                        <w:tab w:val="center" w:pos="4153"/>
                        <w:tab w:val="right" w:pos="8306"/>
                      </w:tabs>
                      <w:rPr>
                        <w:rFonts w:ascii="宋体" w:hAnsi="宋体"/>
                        <w:sz w:val="28"/>
                        <w:szCs w:val="28"/>
                      </w:rPr>
                    </w:pPr>
                    <w:r>
                      <w:rPr>
                        <w:rFonts w:hint="eastAsia" w:ascii="宋体" w:hAnsi="宋体"/>
                        <w:sz w:val="28"/>
                        <w:szCs w:val="28"/>
                      </w:rPr>
                      <w:t>—</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Fonts w:ascii="宋体" w:hAnsi="宋体"/>
                        <w:sz w:val="26"/>
                        <w:szCs w:val="26"/>
                      </w:rPr>
                      <w:t>47</w:t>
                    </w:r>
                    <w:r>
                      <w:rPr>
                        <w:rFonts w:ascii="宋体" w:hAnsi="宋体"/>
                        <w:sz w:val="26"/>
                        <w:szCs w:val="26"/>
                      </w:rPr>
                      <w:fldChar w:fldCharType="end"/>
                    </w:r>
                    <w:r>
                      <w:rPr>
                        <w:rFonts w:hint="eastAsia" w:ascii="宋体" w:hAnsi="宋体"/>
                        <w:sz w:val="28"/>
                        <w:szCs w:val="28"/>
                      </w:rPr>
                      <w:t>—</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pPr>
                            <w:tabs>
                              <w:tab w:val="center" w:pos="4153"/>
                              <w:tab w:val="right" w:pos="8306"/>
                            </w:tabs>
                            <w:rPr>
                              <w:rFonts w:ascii="宋体" w:hAnsi="宋体"/>
                              <w:sz w:val="28"/>
                              <w:szCs w:val="28"/>
                            </w:rPr>
                          </w:pPr>
                          <w:r>
                            <w:rPr>
                              <w:rFonts w:hint="eastAsia" w:ascii="宋体" w:hAnsi="宋体"/>
                              <w:sz w:val="28"/>
                              <w:szCs w:val="28"/>
                            </w:rPr>
                            <w:t>—</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Fonts w:ascii="宋体" w:hAnsi="宋体"/>
                              <w:sz w:val="26"/>
                              <w:szCs w:val="26"/>
                            </w:rPr>
                            <w:t>74</w:t>
                          </w:r>
                          <w:r>
                            <w:rPr>
                              <w:rFonts w:ascii="宋体" w:hAnsi="宋体"/>
                              <w:sz w:val="26"/>
                              <w:szCs w:val="26"/>
                            </w:rPr>
                            <w:fldChar w:fldCharType="end"/>
                          </w:r>
                          <w:r>
                            <w:rPr>
                              <w:rFonts w:hint="eastAsia" w:ascii="宋体" w:hAnsi="宋体"/>
                              <w:sz w:val="28"/>
                              <w:szCs w:val="28"/>
                            </w:rPr>
                            <w:t>—</w:t>
                          </w:r>
                        </w:p>
                      </w:txbxContent>
                    </wps:txbx>
                    <wps:bodyPr wrap="none" lIns="0" tIns="0" rIns="0" bIns="0" upright="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zql5uc8AAAAFAQAADwAAAAAAAAABACAAAAAiAAAAZHJzL2Rvd25y&#10;ZXYueG1sUEsBAhQAFAAAAAgAh07iQE+BKPjOAQAAqQMAAA4AAAAAAAAAAQAgAAAAHgEAAGRycy9l&#10;Mm9Eb2MueG1sUEsFBgAAAAAGAAYAWQEAAF4FAAAAAA==&#10;">
              <v:fill on="f" focussize="0,0"/>
              <v:stroke on="f"/>
              <v:imagedata o:title=""/>
              <o:lock v:ext="edit" aspectratio="f"/>
              <v:textbox inset="0mm,0mm,0mm,0mm" style="mso-fit-shape-to-text:t;">
                <w:txbxContent>
                  <w:p>
                    <w:pPr>
                      <w:tabs>
                        <w:tab w:val="center" w:pos="4153"/>
                        <w:tab w:val="right" w:pos="8306"/>
                      </w:tabs>
                      <w:rPr>
                        <w:rFonts w:ascii="宋体" w:hAnsi="宋体"/>
                        <w:sz w:val="28"/>
                        <w:szCs w:val="28"/>
                      </w:rPr>
                    </w:pPr>
                    <w:r>
                      <w:rPr>
                        <w:rFonts w:hint="eastAsia" w:ascii="宋体" w:hAnsi="宋体"/>
                        <w:sz w:val="28"/>
                        <w:szCs w:val="28"/>
                      </w:rPr>
                      <w:t>—</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Fonts w:ascii="宋体" w:hAnsi="宋体"/>
                        <w:sz w:val="26"/>
                        <w:szCs w:val="26"/>
                      </w:rPr>
                      <w:t>74</w:t>
                    </w:r>
                    <w:r>
                      <w:rPr>
                        <w:rFonts w:ascii="宋体" w:hAnsi="宋体"/>
                        <w:sz w:val="26"/>
                        <w:szCs w:val="26"/>
                      </w:rPr>
                      <w:fldChar w:fldCharType="end"/>
                    </w:r>
                    <w:r>
                      <w:rPr>
                        <w:rFonts w:hint="eastAsia" w:ascii="宋体" w:hAnsi="宋体"/>
                        <w:sz w:val="28"/>
                        <w:szCs w:val="28"/>
                      </w:rPr>
                      <w:t>—</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mc:AlternateContent>
        <mc:Choice Requires="wps">
          <w:drawing>
            <wp:anchor distT="0" distB="0" distL="114300" distR="114300" simplePos="0" relativeHeight="251681792" behindDoc="0" locked="0" layoutInCell="1" allowOverlap="1">
              <wp:simplePos x="0" y="0"/>
              <wp:positionH relativeFrom="margin">
                <wp:align>outside</wp:align>
              </wp:positionH>
              <wp:positionV relativeFrom="paragraph">
                <wp:posOffset>-198120</wp:posOffset>
              </wp:positionV>
              <wp:extent cx="1828800" cy="1828800"/>
              <wp:effectExtent l="0" t="0" r="0" b="0"/>
              <wp:wrapNone/>
              <wp:docPr id="4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tabs>
                              <w:tab w:val="center" w:pos="4153"/>
                              <w:tab w:val="right" w:pos="8306"/>
                            </w:tabs>
                            <w:rPr>
                              <w:rFonts w:ascii="宋体" w:hAnsi="宋体"/>
                              <w:sz w:val="28"/>
                              <w:szCs w:val="28"/>
                            </w:rPr>
                          </w:pPr>
                          <w:r>
                            <w:rPr>
                              <w:rFonts w:hint="eastAsia" w:ascii="宋体" w:hAnsi="宋体"/>
                              <w:sz w:val="28"/>
                              <w:szCs w:val="28"/>
                            </w:rPr>
                            <w:t>—</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Fonts w:ascii="宋体" w:hAnsi="宋体"/>
                              <w:sz w:val="26"/>
                              <w:szCs w:val="26"/>
                            </w:rPr>
                            <w:t>76</w:t>
                          </w:r>
                          <w:r>
                            <w:rPr>
                              <w:rFonts w:ascii="宋体" w:hAnsi="宋体"/>
                              <w:sz w:val="26"/>
                              <w:szCs w:val="26"/>
                            </w:rPr>
                            <w:fldChar w:fldCharType="end"/>
                          </w:r>
                          <w:r>
                            <w:rPr>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26" o:spid="_x0000_s1026" o:spt="202" type="#_x0000_t202" style="position:absolute;left:0pt;margin-top:-15.6pt;height:144pt;width:144pt;mso-position-horizontal:outside;mso-position-horizontal-relative:margin;mso-wrap-style:none;z-index:251681792;mso-width-relative:page;mso-height-relative:page;" filled="f" stroked="f" coordsize="21600,21600" o:gfxdata="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KRtT89YAAAAIAQAADwAAAAAAAAABACAAAAAiAAAAZHJzL2Rvd25yZXYueG1s&#10;UEsBAhQAFAAAAAgAh07iQM27CjczAgAAZQQAAA4AAAAAAAAAAQAgAAAAJQEAAGRycy9lMm9Eb2Mu&#10;eG1sUEsFBgAAAAAGAAYAWQEAAMoFAAAAAA==&#10;">
              <v:fill on="f" focussize="0,0"/>
              <v:stroke on="f" weight="0.5pt"/>
              <v:imagedata o:title=""/>
              <o:lock v:ext="edit" aspectratio="f"/>
              <v:textbox inset="0mm,0mm,0mm,0mm" style="mso-fit-shape-to-text:t;">
                <w:txbxContent>
                  <w:p>
                    <w:pPr>
                      <w:tabs>
                        <w:tab w:val="center" w:pos="4153"/>
                        <w:tab w:val="right" w:pos="8306"/>
                      </w:tabs>
                      <w:rPr>
                        <w:rFonts w:ascii="宋体" w:hAnsi="宋体"/>
                        <w:sz w:val="28"/>
                        <w:szCs w:val="28"/>
                      </w:rPr>
                    </w:pPr>
                    <w:r>
                      <w:rPr>
                        <w:rFonts w:hint="eastAsia" w:ascii="宋体" w:hAnsi="宋体"/>
                        <w:sz w:val="28"/>
                        <w:szCs w:val="28"/>
                      </w:rPr>
                      <w:t>—</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Fonts w:ascii="宋体" w:hAnsi="宋体"/>
                        <w:sz w:val="26"/>
                        <w:szCs w:val="26"/>
                      </w:rPr>
                      <w:t>76</w:t>
                    </w:r>
                    <w:r>
                      <w:rPr>
                        <w:rFonts w:ascii="宋体" w:hAnsi="宋体"/>
                        <w:sz w:val="26"/>
                        <w:szCs w:val="26"/>
                      </w:rPr>
                      <w:fldChar w:fldCharType="end"/>
                    </w:r>
                    <w:r>
                      <w:rPr>
                        <w:rFonts w:hint="eastAsia" w:ascii="宋体" w:hAnsi="宋体"/>
                        <w:sz w:val="28"/>
                        <w:szCs w:val="28"/>
                      </w:rPr>
                      <w:t>—</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99375B"/>
    <w:multiLevelType w:val="singleLevel"/>
    <w:tmpl w:val="8A99375B"/>
    <w:lvl w:ilvl="0" w:tentative="0">
      <w:start w:val="1"/>
      <w:numFmt w:val="decimal"/>
      <w:pStyle w:val="32"/>
      <w:suff w:val="nothing"/>
      <w:lvlText w:val="表%1 "/>
      <w:lvlJc w:val="left"/>
      <w:pPr>
        <w:tabs>
          <w:tab w:val="left" w:pos="0"/>
        </w:tabs>
        <w:ind w:left="1470" w:firstLine="0"/>
      </w:pPr>
      <w:rPr>
        <w:rFonts w:hint="default" w:ascii="宋体" w:hAnsi="宋体" w:eastAsia="宋体" w:cs="宋体"/>
      </w:rPr>
    </w:lvl>
  </w:abstractNum>
  <w:abstractNum w:abstractNumId="1">
    <w:nsid w:val="AA93E183"/>
    <w:multiLevelType w:val="singleLevel"/>
    <w:tmpl w:val="AA93E183"/>
    <w:lvl w:ilvl="0" w:tentative="0">
      <w:start w:val="1"/>
      <w:numFmt w:val="decimal"/>
      <w:pStyle w:val="31"/>
      <w:suff w:val="nothing"/>
      <w:lvlText w:val="图%1 "/>
      <w:lvlJc w:val="left"/>
      <w:pPr>
        <w:tabs>
          <w:tab w:val="left" w:pos="0"/>
        </w:tabs>
        <w:ind w:left="0" w:firstLine="0"/>
      </w:pPr>
      <w:rPr>
        <w:rFonts w:hint="default" w:ascii="宋体" w:hAnsi="宋体" w:eastAsia="宋体" w:cs="宋体"/>
      </w:rPr>
    </w:lvl>
  </w:abstractNum>
  <w:abstractNum w:abstractNumId="2">
    <w:nsid w:val="B0FB75C5"/>
    <w:multiLevelType w:val="singleLevel"/>
    <w:tmpl w:val="B0FB75C5"/>
    <w:lvl w:ilvl="0" w:tentative="0">
      <w:start w:val="2"/>
      <w:numFmt w:val="decimal"/>
      <w:suff w:val="nothing"/>
      <w:lvlText w:val="（%1）"/>
      <w:lvlJc w:val="left"/>
    </w:lvl>
  </w:abstractNum>
  <w:abstractNum w:abstractNumId="3">
    <w:nsid w:val="6CB3B159"/>
    <w:multiLevelType w:val="singleLevel"/>
    <w:tmpl w:val="6CB3B159"/>
    <w:lvl w:ilvl="0" w:tentative="0">
      <w:start w:val="1"/>
      <w:numFmt w:val="decimal"/>
      <w:suff w:val="nothing"/>
      <w:lvlText w:val="（%1）"/>
      <w:lvlJc w:val="left"/>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1,3"/>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M1MDk1ZDc5NWEyMTFjZTQ5ZWM2Nzc0YTkzOTAxMWYifQ=="/>
  </w:docVars>
  <w:rsids>
    <w:rsidRoot w:val="00A14947"/>
    <w:rsid w:val="0000058E"/>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23326"/>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0419"/>
    <w:rsid w:val="001B72B8"/>
    <w:rsid w:val="001C69B3"/>
    <w:rsid w:val="001D5595"/>
    <w:rsid w:val="001D7874"/>
    <w:rsid w:val="001D7F22"/>
    <w:rsid w:val="001F0F17"/>
    <w:rsid w:val="001F2099"/>
    <w:rsid w:val="001F3347"/>
    <w:rsid w:val="001F69E4"/>
    <w:rsid w:val="002125B4"/>
    <w:rsid w:val="002155B8"/>
    <w:rsid w:val="00224839"/>
    <w:rsid w:val="002249B2"/>
    <w:rsid w:val="00226574"/>
    <w:rsid w:val="002278EC"/>
    <w:rsid w:val="0023280E"/>
    <w:rsid w:val="0023530C"/>
    <w:rsid w:val="002377D1"/>
    <w:rsid w:val="002506BC"/>
    <w:rsid w:val="00254345"/>
    <w:rsid w:val="00257303"/>
    <w:rsid w:val="00264557"/>
    <w:rsid w:val="002805AB"/>
    <w:rsid w:val="00284204"/>
    <w:rsid w:val="00291773"/>
    <w:rsid w:val="00295C29"/>
    <w:rsid w:val="002A168C"/>
    <w:rsid w:val="002A3DC7"/>
    <w:rsid w:val="002A4C50"/>
    <w:rsid w:val="002B49E2"/>
    <w:rsid w:val="002B7B00"/>
    <w:rsid w:val="002B7C44"/>
    <w:rsid w:val="002C2B17"/>
    <w:rsid w:val="002D3DD0"/>
    <w:rsid w:val="002E1F3A"/>
    <w:rsid w:val="002E298A"/>
    <w:rsid w:val="00301978"/>
    <w:rsid w:val="0030332C"/>
    <w:rsid w:val="003051C2"/>
    <w:rsid w:val="00312296"/>
    <w:rsid w:val="00314F0E"/>
    <w:rsid w:val="00316BDA"/>
    <w:rsid w:val="00321D8E"/>
    <w:rsid w:val="00325928"/>
    <w:rsid w:val="00332863"/>
    <w:rsid w:val="00332CBE"/>
    <w:rsid w:val="0033684D"/>
    <w:rsid w:val="003375BB"/>
    <w:rsid w:val="00337B42"/>
    <w:rsid w:val="00341B42"/>
    <w:rsid w:val="0034348F"/>
    <w:rsid w:val="00356653"/>
    <w:rsid w:val="0035743F"/>
    <w:rsid w:val="00357BE2"/>
    <w:rsid w:val="0036170C"/>
    <w:rsid w:val="00366E0F"/>
    <w:rsid w:val="00377C29"/>
    <w:rsid w:val="00381A72"/>
    <w:rsid w:val="00384676"/>
    <w:rsid w:val="00390857"/>
    <w:rsid w:val="00394C13"/>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B3796"/>
    <w:rsid w:val="005D36AB"/>
    <w:rsid w:val="00617CC3"/>
    <w:rsid w:val="006377A6"/>
    <w:rsid w:val="00637A3D"/>
    <w:rsid w:val="006411EF"/>
    <w:rsid w:val="006748B8"/>
    <w:rsid w:val="006775C3"/>
    <w:rsid w:val="00683E76"/>
    <w:rsid w:val="006910F4"/>
    <w:rsid w:val="0069290A"/>
    <w:rsid w:val="0069775A"/>
    <w:rsid w:val="00697813"/>
    <w:rsid w:val="006A3EE8"/>
    <w:rsid w:val="006A72BF"/>
    <w:rsid w:val="006B03F2"/>
    <w:rsid w:val="006B26A0"/>
    <w:rsid w:val="006B37DC"/>
    <w:rsid w:val="006B4F68"/>
    <w:rsid w:val="006C0592"/>
    <w:rsid w:val="006C272E"/>
    <w:rsid w:val="006C5479"/>
    <w:rsid w:val="006D13B5"/>
    <w:rsid w:val="006E12FF"/>
    <w:rsid w:val="006E607E"/>
    <w:rsid w:val="00706C5D"/>
    <w:rsid w:val="00732922"/>
    <w:rsid w:val="00741188"/>
    <w:rsid w:val="0075162E"/>
    <w:rsid w:val="00754034"/>
    <w:rsid w:val="00756556"/>
    <w:rsid w:val="007618C4"/>
    <w:rsid w:val="00767980"/>
    <w:rsid w:val="00770B19"/>
    <w:rsid w:val="0077463F"/>
    <w:rsid w:val="00776F39"/>
    <w:rsid w:val="007836EA"/>
    <w:rsid w:val="00784CDA"/>
    <w:rsid w:val="007906C4"/>
    <w:rsid w:val="007940EA"/>
    <w:rsid w:val="007967E8"/>
    <w:rsid w:val="007A2170"/>
    <w:rsid w:val="007A22BF"/>
    <w:rsid w:val="007A3323"/>
    <w:rsid w:val="007A4355"/>
    <w:rsid w:val="007B72B8"/>
    <w:rsid w:val="007B7A58"/>
    <w:rsid w:val="007C21B5"/>
    <w:rsid w:val="007E4BD2"/>
    <w:rsid w:val="00801393"/>
    <w:rsid w:val="00802F88"/>
    <w:rsid w:val="0081293E"/>
    <w:rsid w:val="0081463B"/>
    <w:rsid w:val="00815465"/>
    <w:rsid w:val="00817E9A"/>
    <w:rsid w:val="008306BD"/>
    <w:rsid w:val="00831A80"/>
    <w:rsid w:val="00833743"/>
    <w:rsid w:val="008340A4"/>
    <w:rsid w:val="0087135F"/>
    <w:rsid w:val="00872D94"/>
    <w:rsid w:val="00880364"/>
    <w:rsid w:val="00891592"/>
    <w:rsid w:val="00891E9E"/>
    <w:rsid w:val="0089347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0703"/>
    <w:rsid w:val="0091736D"/>
    <w:rsid w:val="0093037A"/>
    <w:rsid w:val="0094154D"/>
    <w:rsid w:val="0095155F"/>
    <w:rsid w:val="00951A2E"/>
    <w:rsid w:val="00954429"/>
    <w:rsid w:val="009563CE"/>
    <w:rsid w:val="00976328"/>
    <w:rsid w:val="0097680D"/>
    <w:rsid w:val="00982438"/>
    <w:rsid w:val="0098404C"/>
    <w:rsid w:val="00985283"/>
    <w:rsid w:val="00990B3E"/>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C3050"/>
    <w:rsid w:val="00AD055E"/>
    <w:rsid w:val="00AD47A7"/>
    <w:rsid w:val="00AD7C03"/>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0CED"/>
    <w:rsid w:val="00B8433C"/>
    <w:rsid w:val="00B87491"/>
    <w:rsid w:val="00BA29E9"/>
    <w:rsid w:val="00BA67F9"/>
    <w:rsid w:val="00BA6C1C"/>
    <w:rsid w:val="00BA7142"/>
    <w:rsid w:val="00BB237C"/>
    <w:rsid w:val="00BB41A3"/>
    <w:rsid w:val="00BC32DC"/>
    <w:rsid w:val="00BC35B6"/>
    <w:rsid w:val="00BD0ACD"/>
    <w:rsid w:val="00BD1B51"/>
    <w:rsid w:val="00BD4596"/>
    <w:rsid w:val="00BE1405"/>
    <w:rsid w:val="00BE312D"/>
    <w:rsid w:val="00BF1C20"/>
    <w:rsid w:val="00BF7980"/>
    <w:rsid w:val="00C10578"/>
    <w:rsid w:val="00C135BC"/>
    <w:rsid w:val="00C15C95"/>
    <w:rsid w:val="00C169CF"/>
    <w:rsid w:val="00C2596A"/>
    <w:rsid w:val="00C27537"/>
    <w:rsid w:val="00C30D3B"/>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6214"/>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A17A8"/>
    <w:rsid w:val="00DB2983"/>
    <w:rsid w:val="00DC1257"/>
    <w:rsid w:val="00DC3DC0"/>
    <w:rsid w:val="00DC5B2B"/>
    <w:rsid w:val="00DD318D"/>
    <w:rsid w:val="00DE5F94"/>
    <w:rsid w:val="00DF2E12"/>
    <w:rsid w:val="00DF514A"/>
    <w:rsid w:val="00DF6690"/>
    <w:rsid w:val="00DF6804"/>
    <w:rsid w:val="00E0358D"/>
    <w:rsid w:val="00E04323"/>
    <w:rsid w:val="00E070A2"/>
    <w:rsid w:val="00E11034"/>
    <w:rsid w:val="00E2656A"/>
    <w:rsid w:val="00E412D0"/>
    <w:rsid w:val="00E56322"/>
    <w:rsid w:val="00E60982"/>
    <w:rsid w:val="00E62C62"/>
    <w:rsid w:val="00E654C1"/>
    <w:rsid w:val="00E65D97"/>
    <w:rsid w:val="00E72A5A"/>
    <w:rsid w:val="00E73354"/>
    <w:rsid w:val="00E73BB5"/>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C0DE9"/>
    <w:rsid w:val="00FC272E"/>
    <w:rsid w:val="00FD0236"/>
    <w:rsid w:val="00FD18F4"/>
    <w:rsid w:val="00FD54DB"/>
    <w:rsid w:val="00FD619F"/>
    <w:rsid w:val="00FE142F"/>
    <w:rsid w:val="01290F7E"/>
    <w:rsid w:val="012C113E"/>
    <w:rsid w:val="015D1E09"/>
    <w:rsid w:val="01703D60"/>
    <w:rsid w:val="01A74C03"/>
    <w:rsid w:val="01F5274C"/>
    <w:rsid w:val="02007EE1"/>
    <w:rsid w:val="02311479"/>
    <w:rsid w:val="02485EEE"/>
    <w:rsid w:val="02611289"/>
    <w:rsid w:val="02697903"/>
    <w:rsid w:val="02BD5A7C"/>
    <w:rsid w:val="02F96569"/>
    <w:rsid w:val="0351565C"/>
    <w:rsid w:val="03DE3CA3"/>
    <w:rsid w:val="03EA7B21"/>
    <w:rsid w:val="040048F1"/>
    <w:rsid w:val="042C0699"/>
    <w:rsid w:val="047C3D36"/>
    <w:rsid w:val="04C513D3"/>
    <w:rsid w:val="04CD55C6"/>
    <w:rsid w:val="05252F33"/>
    <w:rsid w:val="05826F46"/>
    <w:rsid w:val="058F5FD1"/>
    <w:rsid w:val="05AE7A35"/>
    <w:rsid w:val="05F83EAE"/>
    <w:rsid w:val="05FA73E3"/>
    <w:rsid w:val="063E7D85"/>
    <w:rsid w:val="0696216D"/>
    <w:rsid w:val="06C10DF1"/>
    <w:rsid w:val="06C911CC"/>
    <w:rsid w:val="06CB36E8"/>
    <w:rsid w:val="06D749BE"/>
    <w:rsid w:val="06E868B5"/>
    <w:rsid w:val="070A191C"/>
    <w:rsid w:val="07293586"/>
    <w:rsid w:val="07295285"/>
    <w:rsid w:val="074E2C57"/>
    <w:rsid w:val="075D6D26"/>
    <w:rsid w:val="07636392"/>
    <w:rsid w:val="07770C56"/>
    <w:rsid w:val="08363809"/>
    <w:rsid w:val="083B0C0F"/>
    <w:rsid w:val="084E3D85"/>
    <w:rsid w:val="08692F63"/>
    <w:rsid w:val="08A0178B"/>
    <w:rsid w:val="08A46727"/>
    <w:rsid w:val="08AF6699"/>
    <w:rsid w:val="08C673D8"/>
    <w:rsid w:val="092217DD"/>
    <w:rsid w:val="09393DEC"/>
    <w:rsid w:val="093A7294"/>
    <w:rsid w:val="0983569A"/>
    <w:rsid w:val="09A109D7"/>
    <w:rsid w:val="09F16E6A"/>
    <w:rsid w:val="09FA35FF"/>
    <w:rsid w:val="0A2038E2"/>
    <w:rsid w:val="0A263993"/>
    <w:rsid w:val="0A2D3AC2"/>
    <w:rsid w:val="0A5B1001"/>
    <w:rsid w:val="0A5B4C94"/>
    <w:rsid w:val="0A833B6E"/>
    <w:rsid w:val="0AA755DF"/>
    <w:rsid w:val="0AEF3CE5"/>
    <w:rsid w:val="0B120D44"/>
    <w:rsid w:val="0B1D7366"/>
    <w:rsid w:val="0B4552F0"/>
    <w:rsid w:val="0B464575"/>
    <w:rsid w:val="0BA55CF6"/>
    <w:rsid w:val="0BB47A19"/>
    <w:rsid w:val="0BB81DDE"/>
    <w:rsid w:val="0BD27BF6"/>
    <w:rsid w:val="0BE1088F"/>
    <w:rsid w:val="0BE13AF8"/>
    <w:rsid w:val="0C3B3C7D"/>
    <w:rsid w:val="0CAB2EAE"/>
    <w:rsid w:val="0CC71FB6"/>
    <w:rsid w:val="0D0E18A6"/>
    <w:rsid w:val="0D5B5878"/>
    <w:rsid w:val="0D621C7D"/>
    <w:rsid w:val="0D6C4F72"/>
    <w:rsid w:val="0DC10E61"/>
    <w:rsid w:val="0DF51901"/>
    <w:rsid w:val="0E73034D"/>
    <w:rsid w:val="0E871FF8"/>
    <w:rsid w:val="0E8E34CC"/>
    <w:rsid w:val="0EAE7072"/>
    <w:rsid w:val="0EF068B7"/>
    <w:rsid w:val="0EF335D7"/>
    <w:rsid w:val="0F13775A"/>
    <w:rsid w:val="0F3A372D"/>
    <w:rsid w:val="0F5F45FE"/>
    <w:rsid w:val="0F6F4F92"/>
    <w:rsid w:val="0F90741E"/>
    <w:rsid w:val="0F9A112B"/>
    <w:rsid w:val="0FEA68DE"/>
    <w:rsid w:val="1019366A"/>
    <w:rsid w:val="10297FE0"/>
    <w:rsid w:val="104A60C6"/>
    <w:rsid w:val="105422A6"/>
    <w:rsid w:val="10664D9C"/>
    <w:rsid w:val="106D2F64"/>
    <w:rsid w:val="106F4839"/>
    <w:rsid w:val="107A1A11"/>
    <w:rsid w:val="10987F40"/>
    <w:rsid w:val="10B63710"/>
    <w:rsid w:val="10C956D3"/>
    <w:rsid w:val="10F10820"/>
    <w:rsid w:val="111C2F7A"/>
    <w:rsid w:val="111F066B"/>
    <w:rsid w:val="11377D18"/>
    <w:rsid w:val="11446C54"/>
    <w:rsid w:val="11665CA1"/>
    <w:rsid w:val="119A5DCB"/>
    <w:rsid w:val="11EC6613"/>
    <w:rsid w:val="12002A8F"/>
    <w:rsid w:val="125F1250"/>
    <w:rsid w:val="12AE4204"/>
    <w:rsid w:val="12C83D3D"/>
    <w:rsid w:val="12D57294"/>
    <w:rsid w:val="12E77661"/>
    <w:rsid w:val="138B6108"/>
    <w:rsid w:val="138D7054"/>
    <w:rsid w:val="13951726"/>
    <w:rsid w:val="13A70A60"/>
    <w:rsid w:val="13CE0EAF"/>
    <w:rsid w:val="13EA45F3"/>
    <w:rsid w:val="14396509"/>
    <w:rsid w:val="14594867"/>
    <w:rsid w:val="145D1E7F"/>
    <w:rsid w:val="14624D40"/>
    <w:rsid w:val="14643CEA"/>
    <w:rsid w:val="1469234D"/>
    <w:rsid w:val="146A3971"/>
    <w:rsid w:val="14DD2C3C"/>
    <w:rsid w:val="1517584B"/>
    <w:rsid w:val="153F3E48"/>
    <w:rsid w:val="157925BC"/>
    <w:rsid w:val="16087E1D"/>
    <w:rsid w:val="16266A2C"/>
    <w:rsid w:val="16502F10"/>
    <w:rsid w:val="16505D30"/>
    <w:rsid w:val="168D5BF3"/>
    <w:rsid w:val="168E35F4"/>
    <w:rsid w:val="16F4640D"/>
    <w:rsid w:val="171B4DDA"/>
    <w:rsid w:val="172E50F6"/>
    <w:rsid w:val="175429E7"/>
    <w:rsid w:val="175D16B0"/>
    <w:rsid w:val="176F4A11"/>
    <w:rsid w:val="17701D14"/>
    <w:rsid w:val="17735226"/>
    <w:rsid w:val="18793CD2"/>
    <w:rsid w:val="189F624C"/>
    <w:rsid w:val="18BB4A7C"/>
    <w:rsid w:val="18EE467A"/>
    <w:rsid w:val="18FD5C42"/>
    <w:rsid w:val="19710C26"/>
    <w:rsid w:val="197C04DA"/>
    <w:rsid w:val="19FC44D0"/>
    <w:rsid w:val="1A1C66C0"/>
    <w:rsid w:val="1A42393B"/>
    <w:rsid w:val="1A917697"/>
    <w:rsid w:val="1AAC61D1"/>
    <w:rsid w:val="1AAD45DE"/>
    <w:rsid w:val="1AB45113"/>
    <w:rsid w:val="1B040E6C"/>
    <w:rsid w:val="1B046F80"/>
    <w:rsid w:val="1B3267B5"/>
    <w:rsid w:val="1B40161D"/>
    <w:rsid w:val="1B441859"/>
    <w:rsid w:val="1B44495F"/>
    <w:rsid w:val="1B592C84"/>
    <w:rsid w:val="1B6606B1"/>
    <w:rsid w:val="1BB55EAA"/>
    <w:rsid w:val="1BB758A3"/>
    <w:rsid w:val="1BCB254E"/>
    <w:rsid w:val="1BCF2F44"/>
    <w:rsid w:val="1C2148B8"/>
    <w:rsid w:val="1C5E7925"/>
    <w:rsid w:val="1C9D61C4"/>
    <w:rsid w:val="1CE7703F"/>
    <w:rsid w:val="1CFD070F"/>
    <w:rsid w:val="1D087E9A"/>
    <w:rsid w:val="1D26478A"/>
    <w:rsid w:val="1D5F6196"/>
    <w:rsid w:val="1D6132A5"/>
    <w:rsid w:val="1D8E56D5"/>
    <w:rsid w:val="1E0638CB"/>
    <w:rsid w:val="1E0675E5"/>
    <w:rsid w:val="1E2D299F"/>
    <w:rsid w:val="1E336AEA"/>
    <w:rsid w:val="1E3B0399"/>
    <w:rsid w:val="1E7A43DA"/>
    <w:rsid w:val="1E85554C"/>
    <w:rsid w:val="1EC619D2"/>
    <w:rsid w:val="1EE4393B"/>
    <w:rsid w:val="1FBC34BC"/>
    <w:rsid w:val="1FCE7A75"/>
    <w:rsid w:val="1FE7539E"/>
    <w:rsid w:val="201C6D14"/>
    <w:rsid w:val="20671BE0"/>
    <w:rsid w:val="20940B06"/>
    <w:rsid w:val="20963CB8"/>
    <w:rsid w:val="20A81A1B"/>
    <w:rsid w:val="20B07FB6"/>
    <w:rsid w:val="20B646FB"/>
    <w:rsid w:val="20BE4E69"/>
    <w:rsid w:val="20D47804"/>
    <w:rsid w:val="20D639A2"/>
    <w:rsid w:val="20EA1C46"/>
    <w:rsid w:val="21121BA9"/>
    <w:rsid w:val="213B74B1"/>
    <w:rsid w:val="215A2310"/>
    <w:rsid w:val="21C83D9D"/>
    <w:rsid w:val="21DE318A"/>
    <w:rsid w:val="21EF5B80"/>
    <w:rsid w:val="21F7768A"/>
    <w:rsid w:val="2251079E"/>
    <w:rsid w:val="22576990"/>
    <w:rsid w:val="22853F1B"/>
    <w:rsid w:val="22950459"/>
    <w:rsid w:val="22AF40B0"/>
    <w:rsid w:val="22CE1F68"/>
    <w:rsid w:val="22D97BA1"/>
    <w:rsid w:val="22EB6E27"/>
    <w:rsid w:val="22F15F59"/>
    <w:rsid w:val="22F47480"/>
    <w:rsid w:val="235343B7"/>
    <w:rsid w:val="23C633D2"/>
    <w:rsid w:val="23DE1C48"/>
    <w:rsid w:val="240210CD"/>
    <w:rsid w:val="24044D57"/>
    <w:rsid w:val="24466AB6"/>
    <w:rsid w:val="247E67A2"/>
    <w:rsid w:val="24987F6C"/>
    <w:rsid w:val="24BF09F7"/>
    <w:rsid w:val="24E375FE"/>
    <w:rsid w:val="24FB7DC2"/>
    <w:rsid w:val="25275C69"/>
    <w:rsid w:val="252D53FE"/>
    <w:rsid w:val="25340B48"/>
    <w:rsid w:val="256C66EA"/>
    <w:rsid w:val="25EC2D81"/>
    <w:rsid w:val="26435CBB"/>
    <w:rsid w:val="2655349D"/>
    <w:rsid w:val="26B90F30"/>
    <w:rsid w:val="26DB7360"/>
    <w:rsid w:val="26F738B2"/>
    <w:rsid w:val="27462076"/>
    <w:rsid w:val="27600DE5"/>
    <w:rsid w:val="277057A2"/>
    <w:rsid w:val="27EE4715"/>
    <w:rsid w:val="280619A7"/>
    <w:rsid w:val="281E6A7D"/>
    <w:rsid w:val="28477B4A"/>
    <w:rsid w:val="2857175C"/>
    <w:rsid w:val="28F55027"/>
    <w:rsid w:val="29065FB3"/>
    <w:rsid w:val="29206EB8"/>
    <w:rsid w:val="29595666"/>
    <w:rsid w:val="296E2281"/>
    <w:rsid w:val="297A498E"/>
    <w:rsid w:val="29874881"/>
    <w:rsid w:val="29E325E0"/>
    <w:rsid w:val="29E57A0F"/>
    <w:rsid w:val="2A310315"/>
    <w:rsid w:val="2A452503"/>
    <w:rsid w:val="2A822D3F"/>
    <w:rsid w:val="2A8500BD"/>
    <w:rsid w:val="2A957110"/>
    <w:rsid w:val="2A9C13BA"/>
    <w:rsid w:val="2AC755DF"/>
    <w:rsid w:val="2ACB3355"/>
    <w:rsid w:val="2B192478"/>
    <w:rsid w:val="2B30582A"/>
    <w:rsid w:val="2B4D4073"/>
    <w:rsid w:val="2B4D674C"/>
    <w:rsid w:val="2BA936A8"/>
    <w:rsid w:val="2BC774DF"/>
    <w:rsid w:val="2C1C12DE"/>
    <w:rsid w:val="2C315A5A"/>
    <w:rsid w:val="2C486283"/>
    <w:rsid w:val="2C4B1C25"/>
    <w:rsid w:val="2CB10FAA"/>
    <w:rsid w:val="2CB26D81"/>
    <w:rsid w:val="2CDC567E"/>
    <w:rsid w:val="2CFB0B8B"/>
    <w:rsid w:val="2D057E02"/>
    <w:rsid w:val="2D0B0493"/>
    <w:rsid w:val="2D1527EB"/>
    <w:rsid w:val="2D261317"/>
    <w:rsid w:val="2D79428B"/>
    <w:rsid w:val="2D8B3EE0"/>
    <w:rsid w:val="2D9E56F5"/>
    <w:rsid w:val="2DBF4529"/>
    <w:rsid w:val="2E074669"/>
    <w:rsid w:val="2E453F2E"/>
    <w:rsid w:val="2E4D4AF9"/>
    <w:rsid w:val="2E667F96"/>
    <w:rsid w:val="2E8226AB"/>
    <w:rsid w:val="2E921039"/>
    <w:rsid w:val="2E967B1B"/>
    <w:rsid w:val="2E9D53E3"/>
    <w:rsid w:val="2EAD6E1E"/>
    <w:rsid w:val="2ECA4964"/>
    <w:rsid w:val="2F05123D"/>
    <w:rsid w:val="2FA02E6E"/>
    <w:rsid w:val="2FAB2A5B"/>
    <w:rsid w:val="2FC9652E"/>
    <w:rsid w:val="2FD065E6"/>
    <w:rsid w:val="2FD96870"/>
    <w:rsid w:val="303D078A"/>
    <w:rsid w:val="30580BC9"/>
    <w:rsid w:val="3077182D"/>
    <w:rsid w:val="307D26B8"/>
    <w:rsid w:val="30CF5343"/>
    <w:rsid w:val="311D0FDD"/>
    <w:rsid w:val="311E2ED7"/>
    <w:rsid w:val="315619EE"/>
    <w:rsid w:val="315C449C"/>
    <w:rsid w:val="31745C30"/>
    <w:rsid w:val="31B82709"/>
    <w:rsid w:val="31D05482"/>
    <w:rsid w:val="322D50A2"/>
    <w:rsid w:val="32400B34"/>
    <w:rsid w:val="326368D2"/>
    <w:rsid w:val="326D57A7"/>
    <w:rsid w:val="328519A7"/>
    <w:rsid w:val="329E6876"/>
    <w:rsid w:val="32EA7B71"/>
    <w:rsid w:val="333015F2"/>
    <w:rsid w:val="334B6320"/>
    <w:rsid w:val="337D4FFF"/>
    <w:rsid w:val="33970C92"/>
    <w:rsid w:val="33CA02C7"/>
    <w:rsid w:val="33D934D4"/>
    <w:rsid w:val="33FE2F6A"/>
    <w:rsid w:val="340E07E5"/>
    <w:rsid w:val="341E7E86"/>
    <w:rsid w:val="34235BF7"/>
    <w:rsid w:val="34CA29AF"/>
    <w:rsid w:val="35775FC5"/>
    <w:rsid w:val="358C5FA8"/>
    <w:rsid w:val="35B6794A"/>
    <w:rsid w:val="35BB0F8F"/>
    <w:rsid w:val="35C15DF1"/>
    <w:rsid w:val="35C57D19"/>
    <w:rsid w:val="36032EFC"/>
    <w:rsid w:val="36074A7F"/>
    <w:rsid w:val="361E6007"/>
    <w:rsid w:val="36593019"/>
    <w:rsid w:val="3678169C"/>
    <w:rsid w:val="36864A95"/>
    <w:rsid w:val="36923549"/>
    <w:rsid w:val="36B75FBF"/>
    <w:rsid w:val="36BD0C45"/>
    <w:rsid w:val="36D93A3B"/>
    <w:rsid w:val="36F74D54"/>
    <w:rsid w:val="36FB5360"/>
    <w:rsid w:val="374A2D11"/>
    <w:rsid w:val="375C4584"/>
    <w:rsid w:val="376C7F19"/>
    <w:rsid w:val="377A0CF0"/>
    <w:rsid w:val="37C02027"/>
    <w:rsid w:val="37E00298"/>
    <w:rsid w:val="380F0430"/>
    <w:rsid w:val="3877234F"/>
    <w:rsid w:val="38A93344"/>
    <w:rsid w:val="38B302F9"/>
    <w:rsid w:val="38D72E6A"/>
    <w:rsid w:val="38DE0A30"/>
    <w:rsid w:val="38F12CD3"/>
    <w:rsid w:val="38F37352"/>
    <w:rsid w:val="38F94775"/>
    <w:rsid w:val="392971ED"/>
    <w:rsid w:val="39325651"/>
    <w:rsid w:val="396F3DE0"/>
    <w:rsid w:val="39FB6250"/>
    <w:rsid w:val="3A2826C1"/>
    <w:rsid w:val="3A351CF7"/>
    <w:rsid w:val="3A3D53ED"/>
    <w:rsid w:val="3A86669E"/>
    <w:rsid w:val="3A872856"/>
    <w:rsid w:val="3AA155C7"/>
    <w:rsid w:val="3B2667A7"/>
    <w:rsid w:val="3B3763D1"/>
    <w:rsid w:val="3B4718D7"/>
    <w:rsid w:val="3B8945A0"/>
    <w:rsid w:val="3BA176FC"/>
    <w:rsid w:val="3BC16433"/>
    <w:rsid w:val="3BCC7FF7"/>
    <w:rsid w:val="3BE73CA2"/>
    <w:rsid w:val="3BFD4E30"/>
    <w:rsid w:val="3C023A5E"/>
    <w:rsid w:val="3C0474ED"/>
    <w:rsid w:val="3C2F6E1E"/>
    <w:rsid w:val="3C3279BC"/>
    <w:rsid w:val="3C4A22B4"/>
    <w:rsid w:val="3C4F64BA"/>
    <w:rsid w:val="3C674140"/>
    <w:rsid w:val="3C875635"/>
    <w:rsid w:val="3CCC7FAF"/>
    <w:rsid w:val="3CD6212A"/>
    <w:rsid w:val="3CDA245A"/>
    <w:rsid w:val="3CF9194F"/>
    <w:rsid w:val="3CFD6E91"/>
    <w:rsid w:val="3D1E06B7"/>
    <w:rsid w:val="3D441B25"/>
    <w:rsid w:val="3D4A6667"/>
    <w:rsid w:val="3D5B544A"/>
    <w:rsid w:val="3D9D2AF7"/>
    <w:rsid w:val="3E5641F9"/>
    <w:rsid w:val="3E93017D"/>
    <w:rsid w:val="3EC935D2"/>
    <w:rsid w:val="3EDA0523"/>
    <w:rsid w:val="3EEB45E2"/>
    <w:rsid w:val="3F24583B"/>
    <w:rsid w:val="3F557621"/>
    <w:rsid w:val="3FF25115"/>
    <w:rsid w:val="3FF51C3E"/>
    <w:rsid w:val="400B7DDA"/>
    <w:rsid w:val="400C14E0"/>
    <w:rsid w:val="40173972"/>
    <w:rsid w:val="401B291B"/>
    <w:rsid w:val="402A1309"/>
    <w:rsid w:val="407A6407"/>
    <w:rsid w:val="4091661F"/>
    <w:rsid w:val="40D021BD"/>
    <w:rsid w:val="41710D4A"/>
    <w:rsid w:val="41A34435"/>
    <w:rsid w:val="4200449D"/>
    <w:rsid w:val="422C3755"/>
    <w:rsid w:val="423A3BCC"/>
    <w:rsid w:val="424E57D2"/>
    <w:rsid w:val="427B61CC"/>
    <w:rsid w:val="42A33779"/>
    <w:rsid w:val="42B26C49"/>
    <w:rsid w:val="42B95AF8"/>
    <w:rsid w:val="433A6FE6"/>
    <w:rsid w:val="43480868"/>
    <w:rsid w:val="4350713C"/>
    <w:rsid w:val="436653E0"/>
    <w:rsid w:val="436921ED"/>
    <w:rsid w:val="43762B12"/>
    <w:rsid w:val="43BC35DF"/>
    <w:rsid w:val="43C4431A"/>
    <w:rsid w:val="43E869AB"/>
    <w:rsid w:val="43F12DE2"/>
    <w:rsid w:val="43F64E54"/>
    <w:rsid w:val="441B5D1A"/>
    <w:rsid w:val="447B46D1"/>
    <w:rsid w:val="44835CDE"/>
    <w:rsid w:val="44900C74"/>
    <w:rsid w:val="44A478BC"/>
    <w:rsid w:val="44B951CC"/>
    <w:rsid w:val="44CD14E0"/>
    <w:rsid w:val="44E1501D"/>
    <w:rsid w:val="44F20B0B"/>
    <w:rsid w:val="44F35A59"/>
    <w:rsid w:val="45185DAE"/>
    <w:rsid w:val="452E5F4C"/>
    <w:rsid w:val="452F1AC4"/>
    <w:rsid w:val="454824B4"/>
    <w:rsid w:val="45612018"/>
    <w:rsid w:val="45630666"/>
    <w:rsid w:val="45635048"/>
    <w:rsid w:val="456B6D5A"/>
    <w:rsid w:val="458946E9"/>
    <w:rsid w:val="45A47C0E"/>
    <w:rsid w:val="45DD57AE"/>
    <w:rsid w:val="463976A8"/>
    <w:rsid w:val="46577FD6"/>
    <w:rsid w:val="46763BCE"/>
    <w:rsid w:val="467F5BC2"/>
    <w:rsid w:val="46D955A7"/>
    <w:rsid w:val="46E545E9"/>
    <w:rsid w:val="46E64748"/>
    <w:rsid w:val="46F85978"/>
    <w:rsid w:val="47133957"/>
    <w:rsid w:val="47193480"/>
    <w:rsid w:val="472878F4"/>
    <w:rsid w:val="47562ABD"/>
    <w:rsid w:val="4756753C"/>
    <w:rsid w:val="4759543A"/>
    <w:rsid w:val="477146CB"/>
    <w:rsid w:val="47A07E0C"/>
    <w:rsid w:val="481B1AB1"/>
    <w:rsid w:val="483051D2"/>
    <w:rsid w:val="48315726"/>
    <w:rsid w:val="485D477B"/>
    <w:rsid w:val="4870272E"/>
    <w:rsid w:val="48865E9C"/>
    <w:rsid w:val="4891101C"/>
    <w:rsid w:val="48D8175D"/>
    <w:rsid w:val="49180FD0"/>
    <w:rsid w:val="493F5272"/>
    <w:rsid w:val="4986243A"/>
    <w:rsid w:val="49AF5553"/>
    <w:rsid w:val="49C1043A"/>
    <w:rsid w:val="49C13C86"/>
    <w:rsid w:val="49DC7715"/>
    <w:rsid w:val="49FE7431"/>
    <w:rsid w:val="4A023139"/>
    <w:rsid w:val="4A5E3381"/>
    <w:rsid w:val="4A6B5F4E"/>
    <w:rsid w:val="4A7B576F"/>
    <w:rsid w:val="4AAC3F7F"/>
    <w:rsid w:val="4AB4547F"/>
    <w:rsid w:val="4ABA14EC"/>
    <w:rsid w:val="4AEC2B2E"/>
    <w:rsid w:val="4AF561A9"/>
    <w:rsid w:val="4B567A7B"/>
    <w:rsid w:val="4BD006A6"/>
    <w:rsid w:val="4BFE426C"/>
    <w:rsid w:val="4C2072CA"/>
    <w:rsid w:val="4C243695"/>
    <w:rsid w:val="4C4A0649"/>
    <w:rsid w:val="4C7E5ECA"/>
    <w:rsid w:val="4C876AA5"/>
    <w:rsid w:val="4CBE1134"/>
    <w:rsid w:val="4CC56604"/>
    <w:rsid w:val="4D0E00FB"/>
    <w:rsid w:val="4D176606"/>
    <w:rsid w:val="4D536AF2"/>
    <w:rsid w:val="4D876C09"/>
    <w:rsid w:val="4DEC4FB0"/>
    <w:rsid w:val="4E075D8A"/>
    <w:rsid w:val="4E7C134E"/>
    <w:rsid w:val="4E895474"/>
    <w:rsid w:val="4EC00FAD"/>
    <w:rsid w:val="4EC1005D"/>
    <w:rsid w:val="4EC64EC5"/>
    <w:rsid w:val="4ECD5D1D"/>
    <w:rsid w:val="4EE11ABE"/>
    <w:rsid w:val="4EE43966"/>
    <w:rsid w:val="4F2D03CB"/>
    <w:rsid w:val="4F3002D2"/>
    <w:rsid w:val="4F9843DC"/>
    <w:rsid w:val="4FC62A8C"/>
    <w:rsid w:val="4FD4056A"/>
    <w:rsid w:val="4FE20F0D"/>
    <w:rsid w:val="4FE51552"/>
    <w:rsid w:val="50272FCF"/>
    <w:rsid w:val="502F0419"/>
    <w:rsid w:val="503435CE"/>
    <w:rsid w:val="50504C4B"/>
    <w:rsid w:val="506F4F7E"/>
    <w:rsid w:val="507A7A32"/>
    <w:rsid w:val="509C6E7C"/>
    <w:rsid w:val="50B45D05"/>
    <w:rsid w:val="50CB38AF"/>
    <w:rsid w:val="50FD7CC1"/>
    <w:rsid w:val="51043761"/>
    <w:rsid w:val="5162104E"/>
    <w:rsid w:val="51660195"/>
    <w:rsid w:val="51B9231C"/>
    <w:rsid w:val="52106BEA"/>
    <w:rsid w:val="522504F9"/>
    <w:rsid w:val="52337A62"/>
    <w:rsid w:val="5250243A"/>
    <w:rsid w:val="52D5207E"/>
    <w:rsid w:val="52DA3F2F"/>
    <w:rsid w:val="53050F0E"/>
    <w:rsid w:val="53236374"/>
    <w:rsid w:val="53941E2C"/>
    <w:rsid w:val="53A039CC"/>
    <w:rsid w:val="53A1505A"/>
    <w:rsid w:val="53B057EF"/>
    <w:rsid w:val="53F80785"/>
    <w:rsid w:val="53FA6EB5"/>
    <w:rsid w:val="53FB1A9C"/>
    <w:rsid w:val="54063E08"/>
    <w:rsid w:val="540E4332"/>
    <w:rsid w:val="54171498"/>
    <w:rsid w:val="54192731"/>
    <w:rsid w:val="543437E8"/>
    <w:rsid w:val="54372C2C"/>
    <w:rsid w:val="547A0087"/>
    <w:rsid w:val="547A350C"/>
    <w:rsid w:val="54C429E1"/>
    <w:rsid w:val="54F73313"/>
    <w:rsid w:val="54F80955"/>
    <w:rsid w:val="555170A7"/>
    <w:rsid w:val="55577C52"/>
    <w:rsid w:val="5587536D"/>
    <w:rsid w:val="559B174B"/>
    <w:rsid w:val="55BF0E13"/>
    <w:rsid w:val="55CB305C"/>
    <w:rsid w:val="55CE0CF4"/>
    <w:rsid w:val="55D1666D"/>
    <w:rsid w:val="55D907F5"/>
    <w:rsid w:val="55DD7A01"/>
    <w:rsid w:val="56241356"/>
    <w:rsid w:val="56810A39"/>
    <w:rsid w:val="56B22A9C"/>
    <w:rsid w:val="56D413FF"/>
    <w:rsid w:val="56E72FAC"/>
    <w:rsid w:val="57620156"/>
    <w:rsid w:val="577A0F5E"/>
    <w:rsid w:val="57B72A76"/>
    <w:rsid w:val="57C3426C"/>
    <w:rsid w:val="57CE1F93"/>
    <w:rsid w:val="588743D1"/>
    <w:rsid w:val="5887701A"/>
    <w:rsid w:val="589F3437"/>
    <w:rsid w:val="58C176BE"/>
    <w:rsid w:val="58C31424"/>
    <w:rsid w:val="58FB10ED"/>
    <w:rsid w:val="59095197"/>
    <w:rsid w:val="59533F4B"/>
    <w:rsid w:val="595F1A97"/>
    <w:rsid w:val="599E26E6"/>
    <w:rsid w:val="59C0439F"/>
    <w:rsid w:val="5A132A8A"/>
    <w:rsid w:val="5A584D94"/>
    <w:rsid w:val="5A6250D2"/>
    <w:rsid w:val="5A8D4516"/>
    <w:rsid w:val="5A9B2A1C"/>
    <w:rsid w:val="5AA3751D"/>
    <w:rsid w:val="5ABE2233"/>
    <w:rsid w:val="5AC003CF"/>
    <w:rsid w:val="5AC31904"/>
    <w:rsid w:val="5ACA484A"/>
    <w:rsid w:val="5AD22634"/>
    <w:rsid w:val="5AEE3603"/>
    <w:rsid w:val="5AFE68E5"/>
    <w:rsid w:val="5B535F6C"/>
    <w:rsid w:val="5B6D2D2E"/>
    <w:rsid w:val="5B955176"/>
    <w:rsid w:val="5BAA2200"/>
    <w:rsid w:val="5BB57C56"/>
    <w:rsid w:val="5BC9374D"/>
    <w:rsid w:val="5BCD2B02"/>
    <w:rsid w:val="5BDF5D95"/>
    <w:rsid w:val="5BFE7528"/>
    <w:rsid w:val="5C113205"/>
    <w:rsid w:val="5C3D37A0"/>
    <w:rsid w:val="5C9D4F21"/>
    <w:rsid w:val="5CAA2D11"/>
    <w:rsid w:val="5CFC44CE"/>
    <w:rsid w:val="5D35465C"/>
    <w:rsid w:val="5D4509D9"/>
    <w:rsid w:val="5DAE6298"/>
    <w:rsid w:val="5DE92C48"/>
    <w:rsid w:val="5E2467F1"/>
    <w:rsid w:val="5E5A466D"/>
    <w:rsid w:val="5EDA5F4D"/>
    <w:rsid w:val="5EE3439F"/>
    <w:rsid w:val="5EE957CB"/>
    <w:rsid w:val="5EF7758F"/>
    <w:rsid w:val="5F1A2B43"/>
    <w:rsid w:val="5F426B73"/>
    <w:rsid w:val="5F4E202C"/>
    <w:rsid w:val="5F992452"/>
    <w:rsid w:val="5FAE4DB8"/>
    <w:rsid w:val="5FB837BB"/>
    <w:rsid w:val="5FE62319"/>
    <w:rsid w:val="601D13CA"/>
    <w:rsid w:val="605816AD"/>
    <w:rsid w:val="606B2A7A"/>
    <w:rsid w:val="60847787"/>
    <w:rsid w:val="60AA7B21"/>
    <w:rsid w:val="60C41346"/>
    <w:rsid w:val="60C60005"/>
    <w:rsid w:val="60CC405A"/>
    <w:rsid w:val="60DA62B1"/>
    <w:rsid w:val="61002699"/>
    <w:rsid w:val="615608B8"/>
    <w:rsid w:val="619811C4"/>
    <w:rsid w:val="61C97B4D"/>
    <w:rsid w:val="61E215D8"/>
    <w:rsid w:val="61F141D6"/>
    <w:rsid w:val="621B3775"/>
    <w:rsid w:val="62364782"/>
    <w:rsid w:val="628711E5"/>
    <w:rsid w:val="62975372"/>
    <w:rsid w:val="629A129B"/>
    <w:rsid w:val="62D96620"/>
    <w:rsid w:val="6394356A"/>
    <w:rsid w:val="63A25EBC"/>
    <w:rsid w:val="63C61B2C"/>
    <w:rsid w:val="63D40BE9"/>
    <w:rsid w:val="63FE6114"/>
    <w:rsid w:val="64022C93"/>
    <w:rsid w:val="64102431"/>
    <w:rsid w:val="64311CF6"/>
    <w:rsid w:val="64A5243A"/>
    <w:rsid w:val="64A960F4"/>
    <w:rsid w:val="64B00FEB"/>
    <w:rsid w:val="64F531DE"/>
    <w:rsid w:val="65373578"/>
    <w:rsid w:val="65DF483A"/>
    <w:rsid w:val="65F027BE"/>
    <w:rsid w:val="662A756A"/>
    <w:rsid w:val="66547E06"/>
    <w:rsid w:val="6679794B"/>
    <w:rsid w:val="66C721EF"/>
    <w:rsid w:val="671F124A"/>
    <w:rsid w:val="677A33C6"/>
    <w:rsid w:val="67954C6C"/>
    <w:rsid w:val="67AE15A6"/>
    <w:rsid w:val="68022BE4"/>
    <w:rsid w:val="681F6961"/>
    <w:rsid w:val="68610A2F"/>
    <w:rsid w:val="68791B90"/>
    <w:rsid w:val="68805514"/>
    <w:rsid w:val="68A140CD"/>
    <w:rsid w:val="69316E2F"/>
    <w:rsid w:val="69413169"/>
    <w:rsid w:val="694E2071"/>
    <w:rsid w:val="69766163"/>
    <w:rsid w:val="697A3B33"/>
    <w:rsid w:val="69D44760"/>
    <w:rsid w:val="69DE7202"/>
    <w:rsid w:val="69F73FF1"/>
    <w:rsid w:val="69FC06E0"/>
    <w:rsid w:val="6A043727"/>
    <w:rsid w:val="6A114CA0"/>
    <w:rsid w:val="6A4D3585"/>
    <w:rsid w:val="6A520EC7"/>
    <w:rsid w:val="6AA11526"/>
    <w:rsid w:val="6AA163A2"/>
    <w:rsid w:val="6AF87E20"/>
    <w:rsid w:val="6B322639"/>
    <w:rsid w:val="6B7B51E0"/>
    <w:rsid w:val="6BE8712E"/>
    <w:rsid w:val="6C636C38"/>
    <w:rsid w:val="6C8C193E"/>
    <w:rsid w:val="6CCD4C57"/>
    <w:rsid w:val="6D24590F"/>
    <w:rsid w:val="6D3C5D97"/>
    <w:rsid w:val="6D767E93"/>
    <w:rsid w:val="6D8670B1"/>
    <w:rsid w:val="6DB34098"/>
    <w:rsid w:val="6DB545B6"/>
    <w:rsid w:val="6DDC6F6C"/>
    <w:rsid w:val="6DE02FB4"/>
    <w:rsid w:val="6DEA436F"/>
    <w:rsid w:val="6E012CDE"/>
    <w:rsid w:val="6E115BF5"/>
    <w:rsid w:val="6E514CED"/>
    <w:rsid w:val="6E562C72"/>
    <w:rsid w:val="6E867BEC"/>
    <w:rsid w:val="6EA626FA"/>
    <w:rsid w:val="6EB563D5"/>
    <w:rsid w:val="6ED92677"/>
    <w:rsid w:val="6F225983"/>
    <w:rsid w:val="6F2413AA"/>
    <w:rsid w:val="6F5860B5"/>
    <w:rsid w:val="6F687AA3"/>
    <w:rsid w:val="6FB676DD"/>
    <w:rsid w:val="6FDD6D2C"/>
    <w:rsid w:val="6FFC5590"/>
    <w:rsid w:val="701132C8"/>
    <w:rsid w:val="703A4CE5"/>
    <w:rsid w:val="706D1DD0"/>
    <w:rsid w:val="70856B87"/>
    <w:rsid w:val="70B30947"/>
    <w:rsid w:val="70D527EE"/>
    <w:rsid w:val="70EC157F"/>
    <w:rsid w:val="70F77912"/>
    <w:rsid w:val="715B5300"/>
    <w:rsid w:val="716A0327"/>
    <w:rsid w:val="71D27F8A"/>
    <w:rsid w:val="72553024"/>
    <w:rsid w:val="72AE38D0"/>
    <w:rsid w:val="73122968"/>
    <w:rsid w:val="73152E8B"/>
    <w:rsid w:val="73166C63"/>
    <w:rsid w:val="731F5D5E"/>
    <w:rsid w:val="732865D6"/>
    <w:rsid w:val="73A271BF"/>
    <w:rsid w:val="73C51AD5"/>
    <w:rsid w:val="74152E16"/>
    <w:rsid w:val="74164664"/>
    <w:rsid w:val="741E793C"/>
    <w:rsid w:val="74312825"/>
    <w:rsid w:val="7439126F"/>
    <w:rsid w:val="743F3A0B"/>
    <w:rsid w:val="745E3944"/>
    <w:rsid w:val="74806428"/>
    <w:rsid w:val="74970CFF"/>
    <w:rsid w:val="74F03A1E"/>
    <w:rsid w:val="751707E9"/>
    <w:rsid w:val="75431876"/>
    <w:rsid w:val="756E7261"/>
    <w:rsid w:val="75AA54FC"/>
    <w:rsid w:val="75CF3D6B"/>
    <w:rsid w:val="75EB0729"/>
    <w:rsid w:val="760A1195"/>
    <w:rsid w:val="760B3B2A"/>
    <w:rsid w:val="761F4D4B"/>
    <w:rsid w:val="7635099D"/>
    <w:rsid w:val="76421814"/>
    <w:rsid w:val="76442F04"/>
    <w:rsid w:val="76782B44"/>
    <w:rsid w:val="76783BC3"/>
    <w:rsid w:val="77097E22"/>
    <w:rsid w:val="770D719D"/>
    <w:rsid w:val="772216B2"/>
    <w:rsid w:val="77496CD0"/>
    <w:rsid w:val="77762421"/>
    <w:rsid w:val="77B56B1F"/>
    <w:rsid w:val="77DB62D7"/>
    <w:rsid w:val="780F09F4"/>
    <w:rsid w:val="78346AE4"/>
    <w:rsid w:val="784E253A"/>
    <w:rsid w:val="78A90480"/>
    <w:rsid w:val="78C9715E"/>
    <w:rsid w:val="79024AA4"/>
    <w:rsid w:val="79C57524"/>
    <w:rsid w:val="7A364017"/>
    <w:rsid w:val="7A57642A"/>
    <w:rsid w:val="7A637111"/>
    <w:rsid w:val="7A711F74"/>
    <w:rsid w:val="7A8265E1"/>
    <w:rsid w:val="7A8716F6"/>
    <w:rsid w:val="7AA149DA"/>
    <w:rsid w:val="7B2371C0"/>
    <w:rsid w:val="7B686D42"/>
    <w:rsid w:val="7B6A1BEB"/>
    <w:rsid w:val="7B841746"/>
    <w:rsid w:val="7B8D55F1"/>
    <w:rsid w:val="7BF03BCE"/>
    <w:rsid w:val="7BF073D2"/>
    <w:rsid w:val="7C2A135C"/>
    <w:rsid w:val="7C647345"/>
    <w:rsid w:val="7C653FEA"/>
    <w:rsid w:val="7C6A2135"/>
    <w:rsid w:val="7C6C5AC7"/>
    <w:rsid w:val="7C9C1700"/>
    <w:rsid w:val="7CA54D01"/>
    <w:rsid w:val="7CC6544B"/>
    <w:rsid w:val="7CD475F8"/>
    <w:rsid w:val="7D0239FF"/>
    <w:rsid w:val="7D2C6B2C"/>
    <w:rsid w:val="7D5E40CD"/>
    <w:rsid w:val="7D6C3583"/>
    <w:rsid w:val="7D72148B"/>
    <w:rsid w:val="7D7B6A91"/>
    <w:rsid w:val="7DB03835"/>
    <w:rsid w:val="7DB370B4"/>
    <w:rsid w:val="7DB835CE"/>
    <w:rsid w:val="7DBB597B"/>
    <w:rsid w:val="7DCC21D5"/>
    <w:rsid w:val="7DCD56F2"/>
    <w:rsid w:val="7E415F20"/>
    <w:rsid w:val="7E6051B1"/>
    <w:rsid w:val="7ECD1027"/>
    <w:rsid w:val="7F001CE7"/>
    <w:rsid w:val="7F076C05"/>
    <w:rsid w:val="7F585733"/>
    <w:rsid w:val="7F612AB2"/>
    <w:rsid w:val="7F8367A5"/>
    <w:rsid w:val="7FE447C2"/>
    <w:rsid w:val="7FE47E50"/>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nhideWhenUsed="0" w:uiPriority="0" w:semiHidden="0" w:name="heading 3" w:locked="1"/>
    <w:lsdException w:qFormat="1"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qFormat="1" w:uiPriority="39" w:semiHidden="0" w:name="toc 2"/>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ocked="1"/>
    <w:lsdException w:qFormat="1" w:uiPriority="0" w:name="caption"/>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unhideWhenUsed="0" w:uiPriority="0" w:semiHidden="0" w:name="annotation reference"/>
    <w:lsdException w:unhideWhenUsed="0" w:uiPriority="0" w:semiHidden="0" w:name="line number" w:locked="1"/>
    <w:lsdException w:unhideWhenUsed="0" w:uiPriority="0" w:semiHidden="0" w:name="page number"/>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unhideWhenUsed="0" w:uiPriority="0" w:semiHidden="0" w:name="Date"/>
    <w:lsdException w:qFormat="1" w:unhideWhenUsed="0" w:uiPriority="0" w:semiHidden="0" w:name="Body Text First Indent"/>
    <w:lsdException w:qFormat="1" w:uiPriority="99"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sdException w:unhideWhenUsed="0" w:uiPriority="0" w:semiHidden="0" w:name="Body Text Indent 3" w:locked="1"/>
    <w:lsdException w:unhideWhenUsed="0" w:uiPriority="0" w:semiHidden="0" w:name="Block Text" w:locked="1"/>
    <w:lsdException w:qFormat="1" w:unhideWhenUsed="0" w:uiPriority="0" w:semiHidden="0" w:name="Hyperlink"/>
    <w:lsdException w:qFormat="1" w:unhideWhenUsed="0" w:uiPriority="0" w:semiHidden="0" w:name="FollowedHyperlink" w:locked="1"/>
    <w:lsdException w:qFormat="1" w:unhideWhenUsed="0" w:uiPriority="0" w:semiHidden="0" w:name="Strong"/>
    <w:lsdException w:qFormat="1" w:unhideWhenUsed="0" w:uiPriority="0" w:semiHidden="0" w:name="Emphasis" w:locked="1"/>
    <w:lsdException w:qFormat="1" w:unhideWhenUsed="0" w:uiPriority="0" w:semiHidden="0" w:name="Document Map" w:locked="1"/>
    <w:lsdException w:qFormat="1" w:unhideWhenUsed="0" w:uiPriority="0" w:semiHidden="0" w:name="Plain Text"/>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unhideWhenUsed="0" w:uiPriority="0"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semiHidden="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3"/>
    <w:basedOn w:val="1"/>
    <w:next w:val="1"/>
    <w:qFormat/>
    <w:locked/>
    <w:uiPriority w:val="0"/>
    <w:pPr>
      <w:keepNext/>
      <w:keepLines/>
      <w:adjustRightInd w:val="0"/>
      <w:snapToGrid w:val="0"/>
      <w:spacing w:beforeLines="25" w:afterLines="25" w:line="312" w:lineRule="auto"/>
      <w:outlineLvl w:val="2"/>
    </w:pPr>
    <w:rPr>
      <w:rFonts w:ascii="宋体"/>
      <w:b/>
      <w:bCs/>
      <w:spacing w:val="16"/>
      <w:sz w:val="24"/>
      <w:szCs w:val="32"/>
    </w:rPr>
  </w:style>
  <w:style w:type="paragraph" w:styleId="6">
    <w:name w:val="heading 4"/>
    <w:basedOn w:val="1"/>
    <w:next w:val="1"/>
    <w:unhideWhenUsed/>
    <w:qFormat/>
    <w:locked/>
    <w:uiPriority w:val="0"/>
    <w:pPr>
      <w:keepNext/>
      <w:keepLines/>
      <w:spacing w:before="280" w:after="290" w:line="372" w:lineRule="auto"/>
      <w:outlineLvl w:val="3"/>
    </w:pPr>
    <w:rPr>
      <w:rFonts w:ascii="Arial" w:hAnsi="Arial" w:eastAsia="黑体"/>
      <w:b/>
      <w:sz w:val="28"/>
    </w:rPr>
  </w:style>
  <w:style w:type="character" w:default="1" w:styleId="28">
    <w:name w:val="Default Paragraph Font"/>
    <w:semiHidden/>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customStyle="1" w:styleId="2">
    <w:name w:val="Default"/>
    <w:basedOn w:val="3"/>
    <w:next w:val="1"/>
    <w:qFormat/>
    <w:uiPriority w:val="0"/>
    <w:pPr>
      <w:widowControl/>
      <w:autoSpaceDE w:val="0"/>
      <w:autoSpaceDN w:val="0"/>
      <w:spacing w:line="360" w:lineRule="exact"/>
      <w:jc w:val="left"/>
    </w:pPr>
    <w:rPr>
      <w:rFonts w:ascii="Arial Black" w:hAnsi="Arial Black" w:cs="Times New Roman"/>
      <w:color w:val="000000"/>
      <w:sz w:val="24"/>
      <w:szCs w:val="20"/>
    </w:rPr>
  </w:style>
  <w:style w:type="paragraph" w:customStyle="1" w:styleId="3">
    <w:name w:val="纯文本1"/>
    <w:unhideWhenUsed/>
    <w:qFormat/>
    <w:uiPriority w:val="0"/>
    <w:pPr>
      <w:adjustRightInd w:val="0"/>
      <w:jc w:val="center"/>
      <w:textAlignment w:val="baseline"/>
    </w:pPr>
    <w:rPr>
      <w:rFonts w:hint="eastAsia" w:ascii="宋体" w:hAnsi="Courier New" w:eastAsia="宋体" w:cs="Times New Roman"/>
      <w:sz w:val="24"/>
      <w:szCs w:val="24"/>
      <w:lang w:val="en-US" w:eastAsia="zh-CN" w:bidi="ar-SA"/>
    </w:rPr>
  </w:style>
  <w:style w:type="paragraph" w:styleId="7">
    <w:name w:val="Normal Indent"/>
    <w:basedOn w:val="1"/>
    <w:qFormat/>
    <w:uiPriority w:val="0"/>
    <w:pPr>
      <w:spacing w:line="460" w:lineRule="atLeast"/>
      <w:ind w:firstLine="420"/>
    </w:pPr>
    <w:rPr>
      <w:szCs w:val="20"/>
    </w:rPr>
  </w:style>
  <w:style w:type="paragraph" w:styleId="8">
    <w:name w:val="Document Map"/>
    <w:basedOn w:val="1"/>
    <w:link w:val="61"/>
    <w:qFormat/>
    <w:locked/>
    <w:uiPriority w:val="0"/>
    <w:rPr>
      <w:rFonts w:ascii="宋体"/>
      <w:sz w:val="18"/>
      <w:szCs w:val="18"/>
    </w:rPr>
  </w:style>
  <w:style w:type="paragraph" w:styleId="9">
    <w:name w:val="annotation text"/>
    <w:basedOn w:val="1"/>
    <w:qFormat/>
    <w:uiPriority w:val="0"/>
    <w:pPr>
      <w:jc w:val="left"/>
    </w:pPr>
  </w:style>
  <w:style w:type="paragraph" w:styleId="10">
    <w:name w:val="Body Text"/>
    <w:basedOn w:val="1"/>
    <w:next w:val="11"/>
    <w:qFormat/>
    <w:uiPriority w:val="0"/>
    <w:pPr>
      <w:widowControl/>
      <w:snapToGrid w:val="0"/>
      <w:spacing w:before="60" w:after="160" w:line="259" w:lineRule="auto"/>
      <w:ind w:right="113"/>
    </w:pPr>
    <w:rPr>
      <w:kern w:val="0"/>
      <w:sz w:val="18"/>
      <w:szCs w:val="20"/>
    </w:rPr>
  </w:style>
  <w:style w:type="paragraph" w:customStyle="1" w:styleId="11">
    <w:name w:val="Normal (Web)1"/>
    <w:basedOn w:val="1"/>
    <w:next w:val="12"/>
    <w:qFormat/>
    <w:uiPriority w:val="0"/>
    <w:pPr>
      <w:widowControl/>
      <w:jc w:val="left"/>
    </w:pPr>
    <w:rPr>
      <w:rFonts w:ascii="宋体"/>
      <w:kern w:val="0"/>
      <w:sz w:val="24"/>
      <w:szCs w:val="21"/>
    </w:rPr>
  </w:style>
  <w:style w:type="paragraph" w:customStyle="1" w:styleId="12">
    <w:name w:val="Date1"/>
    <w:basedOn w:val="1"/>
    <w:next w:val="1"/>
    <w:qFormat/>
    <w:uiPriority w:val="0"/>
    <w:pPr>
      <w:ind w:left="2500" w:leftChars="2500"/>
    </w:pPr>
  </w:style>
  <w:style w:type="paragraph" w:styleId="13">
    <w:name w:val="Body Text Indent"/>
    <w:basedOn w:val="1"/>
    <w:next w:val="14"/>
    <w:qFormat/>
    <w:uiPriority w:val="0"/>
    <w:pPr>
      <w:spacing w:after="120"/>
      <w:ind w:left="420" w:leftChars="200"/>
    </w:pPr>
    <w:rPr>
      <w:kern w:val="0"/>
      <w:sz w:val="24"/>
      <w:szCs w:val="20"/>
    </w:rPr>
  </w:style>
  <w:style w:type="paragraph" w:customStyle="1" w:styleId="14">
    <w:name w:val="样式 正文文本缩进 + 行距: 1.5 倍行距"/>
    <w:basedOn w:val="13"/>
    <w:qFormat/>
    <w:uiPriority w:val="0"/>
    <w:pPr>
      <w:ind w:left="90" w:leftChars="32" w:firstLine="560"/>
    </w:pPr>
  </w:style>
  <w:style w:type="paragraph" w:styleId="15">
    <w:name w:val="Plain Text"/>
    <w:basedOn w:val="1"/>
    <w:qFormat/>
    <w:uiPriority w:val="0"/>
    <w:rPr>
      <w:rFonts w:ascii="宋体" w:hAnsi="Courier New"/>
      <w:szCs w:val="20"/>
    </w:rPr>
  </w:style>
  <w:style w:type="paragraph" w:styleId="16">
    <w:name w:val="Body Text Indent 2"/>
    <w:basedOn w:val="1"/>
    <w:next w:val="1"/>
    <w:qFormat/>
    <w:uiPriority w:val="0"/>
    <w:pPr>
      <w:spacing w:after="120" w:line="480" w:lineRule="auto"/>
      <w:ind w:left="420" w:leftChars="200"/>
    </w:pPr>
  </w:style>
  <w:style w:type="paragraph" w:styleId="17">
    <w:name w:val="Balloon Text"/>
    <w:basedOn w:val="1"/>
    <w:link w:val="62"/>
    <w:qFormat/>
    <w:uiPriority w:val="0"/>
    <w:rPr>
      <w:sz w:val="18"/>
      <w:szCs w:val="18"/>
    </w:rPr>
  </w:style>
  <w:style w:type="paragraph" w:styleId="18">
    <w:name w:val="footer"/>
    <w:basedOn w:val="1"/>
    <w:link w:val="51"/>
    <w:qFormat/>
    <w:uiPriority w:val="0"/>
    <w:pPr>
      <w:tabs>
        <w:tab w:val="center" w:pos="4153"/>
        <w:tab w:val="right" w:pos="8306"/>
      </w:tabs>
      <w:snapToGrid w:val="0"/>
      <w:jc w:val="left"/>
    </w:pPr>
    <w:rPr>
      <w:sz w:val="18"/>
    </w:rPr>
  </w:style>
  <w:style w:type="paragraph" w:styleId="19">
    <w:name w:val="header"/>
    <w:basedOn w:val="1"/>
    <w:link w:val="52"/>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0">
    <w:name w:val="List"/>
    <w:basedOn w:val="1"/>
    <w:next w:val="10"/>
    <w:qFormat/>
    <w:uiPriority w:val="0"/>
    <w:pPr>
      <w:spacing w:line="300" w:lineRule="exact"/>
      <w:outlineLvl w:val="4"/>
    </w:pPr>
    <w:rPr>
      <w:rFonts w:eastAsia="仿宋_GB2312"/>
      <w:bCs/>
      <w:color w:val="000000"/>
    </w:rPr>
  </w:style>
  <w:style w:type="paragraph" w:styleId="21">
    <w:name w:val="toc 2"/>
    <w:basedOn w:val="1"/>
    <w:next w:val="1"/>
    <w:unhideWhenUsed/>
    <w:qFormat/>
    <w:uiPriority w:val="39"/>
    <w:pPr>
      <w:ind w:left="420" w:leftChars="200"/>
    </w:pPr>
    <w:rPr>
      <w:rFonts w:ascii="Calibri" w:hAnsi="Calibri"/>
    </w:rPr>
  </w:style>
  <w:style w:type="paragraph" w:styleId="22">
    <w:name w:val="Normal (Web)"/>
    <w:basedOn w:val="1"/>
    <w:qFormat/>
    <w:uiPriority w:val="0"/>
    <w:rPr>
      <w:sz w:val="24"/>
    </w:rPr>
  </w:style>
  <w:style w:type="paragraph" w:styleId="23">
    <w:name w:val="Title"/>
    <w:basedOn w:val="1"/>
    <w:next w:val="1"/>
    <w:qFormat/>
    <w:locked/>
    <w:uiPriority w:val="0"/>
    <w:pPr>
      <w:spacing w:before="240" w:after="60"/>
      <w:jc w:val="center"/>
      <w:outlineLvl w:val="0"/>
    </w:pPr>
    <w:rPr>
      <w:rFonts w:ascii="等线 Light" w:hAnsi="等线 Light"/>
      <w:b/>
      <w:bCs/>
      <w:sz w:val="32"/>
      <w:szCs w:val="32"/>
    </w:rPr>
  </w:style>
  <w:style w:type="paragraph" w:styleId="24">
    <w:name w:val="Body Text First Indent"/>
    <w:basedOn w:val="10"/>
    <w:next w:val="1"/>
    <w:qFormat/>
    <w:uiPriority w:val="0"/>
    <w:pPr>
      <w:adjustRightInd w:val="0"/>
      <w:spacing w:line="312" w:lineRule="auto"/>
      <w:ind w:firstLine="567"/>
      <w:textAlignment w:val="baseline"/>
    </w:pPr>
    <w:rPr>
      <w:sz w:val="28"/>
    </w:rPr>
  </w:style>
  <w:style w:type="paragraph" w:styleId="25">
    <w:name w:val="Body Text First Indent 2"/>
    <w:basedOn w:val="13"/>
    <w:next w:val="24"/>
    <w:unhideWhenUsed/>
    <w:qFormat/>
    <w:locked/>
    <w:uiPriority w:val="99"/>
    <w:pPr>
      <w:ind w:firstLine="420" w:firstLineChars="200"/>
    </w:pPr>
  </w:style>
  <w:style w:type="table" w:styleId="27">
    <w:name w:val="Table Grid"/>
    <w:basedOn w:val="26"/>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FollowedHyperlink"/>
    <w:basedOn w:val="28"/>
    <w:qFormat/>
    <w:locked/>
    <w:uiPriority w:val="0"/>
    <w:rPr>
      <w:color w:val="954F72"/>
      <w:u w:val="single"/>
    </w:rPr>
  </w:style>
  <w:style w:type="character" w:styleId="30">
    <w:name w:val="Hyperlink"/>
    <w:basedOn w:val="28"/>
    <w:qFormat/>
    <w:uiPriority w:val="0"/>
    <w:rPr>
      <w:color w:val="0000FF"/>
      <w:u w:val="single"/>
    </w:rPr>
  </w:style>
  <w:style w:type="paragraph" w:customStyle="1" w:styleId="31">
    <w:name w:val="报告表图标题"/>
    <w:basedOn w:val="1"/>
    <w:link w:val="48"/>
    <w:qFormat/>
    <w:uiPriority w:val="0"/>
    <w:pPr>
      <w:numPr>
        <w:ilvl w:val="0"/>
        <w:numId w:val="1"/>
      </w:numPr>
      <w:spacing w:line="360" w:lineRule="auto"/>
      <w:jc w:val="center"/>
    </w:pPr>
    <w:rPr>
      <w:b/>
      <w:kern w:val="0"/>
      <w:szCs w:val="22"/>
    </w:rPr>
  </w:style>
  <w:style w:type="paragraph" w:customStyle="1" w:styleId="32">
    <w:name w:val="表格标题"/>
    <w:next w:val="1"/>
    <w:qFormat/>
    <w:uiPriority w:val="0"/>
    <w:pPr>
      <w:numPr>
        <w:ilvl w:val="0"/>
        <w:numId w:val="2"/>
      </w:numPr>
      <w:jc w:val="center"/>
    </w:pPr>
    <w:rPr>
      <w:rFonts w:ascii="Times New Roman" w:hAnsi="Times New Roman" w:eastAsia="宋体" w:cs="Times New Roman"/>
      <w:b/>
      <w:sz w:val="21"/>
      <w:lang w:val="en-US" w:eastAsia="zh-CN" w:bidi="ar-SA"/>
    </w:rPr>
  </w:style>
  <w:style w:type="paragraph" w:customStyle="1" w:styleId="33">
    <w:name w:val="表格内容"/>
    <w:basedOn w:val="34"/>
    <w:next w:val="1"/>
    <w:qFormat/>
    <w:uiPriority w:val="0"/>
    <w:pPr>
      <w:overflowPunct w:val="0"/>
      <w:adjustRightInd w:val="0"/>
      <w:textAlignment w:val="baseline"/>
    </w:pPr>
    <w:rPr>
      <w:rFonts w:ascii="Arial" w:hAnsi="Arial" w:eastAsia="宋体"/>
      <w:sz w:val="21"/>
      <w:szCs w:val="22"/>
    </w:rPr>
  </w:style>
  <w:style w:type="paragraph" w:customStyle="1" w:styleId="34">
    <w:name w:val="封皮-证书编号"/>
    <w:basedOn w:val="1"/>
    <w:qFormat/>
    <w:uiPriority w:val="0"/>
    <w:pPr>
      <w:jc w:val="center"/>
    </w:pPr>
    <w:rPr>
      <w:rFonts w:eastAsia="黑体"/>
      <w:sz w:val="28"/>
    </w:rPr>
  </w:style>
  <w:style w:type="paragraph" w:customStyle="1" w:styleId="35">
    <w:name w:val="封面大标题"/>
    <w:basedOn w:val="1"/>
    <w:qFormat/>
    <w:uiPriority w:val="0"/>
    <w:pPr>
      <w:jc w:val="center"/>
    </w:pPr>
    <w:rPr>
      <w:rFonts w:eastAsia="方正小标宋_GBK"/>
      <w:sz w:val="72"/>
    </w:rPr>
  </w:style>
  <w:style w:type="paragraph" w:customStyle="1" w:styleId="36">
    <w:name w:val="封面生态环境部制"/>
    <w:basedOn w:val="1"/>
    <w:qFormat/>
    <w:uiPriority w:val="0"/>
    <w:pPr>
      <w:spacing w:line="288" w:lineRule="auto"/>
      <w:jc w:val="center"/>
    </w:pPr>
    <w:rPr>
      <w:rFonts w:eastAsia="楷体_GB2312"/>
      <w:sz w:val="36"/>
    </w:rPr>
  </w:style>
  <w:style w:type="paragraph" w:customStyle="1" w:styleId="37">
    <w:name w:val="封面污染影响类"/>
    <w:basedOn w:val="1"/>
    <w:qFormat/>
    <w:uiPriority w:val="0"/>
    <w:pPr>
      <w:spacing w:beforeLines="80"/>
      <w:jc w:val="center"/>
    </w:pPr>
    <w:rPr>
      <w:rFonts w:eastAsia="楷体_GB2312"/>
      <w:sz w:val="48"/>
    </w:rPr>
  </w:style>
  <w:style w:type="paragraph" w:customStyle="1" w:styleId="38">
    <w:name w:val="封面项目名称"/>
    <w:basedOn w:val="1"/>
    <w:link w:val="39"/>
    <w:qFormat/>
    <w:uiPriority w:val="0"/>
    <w:pPr>
      <w:jc w:val="center"/>
    </w:pPr>
    <w:rPr>
      <w:rFonts w:eastAsia="仿宋_GB2312"/>
      <w:sz w:val="36"/>
    </w:rPr>
  </w:style>
  <w:style w:type="character" w:customStyle="1" w:styleId="39">
    <w:name w:val="封面项目名称 Char"/>
    <w:link w:val="38"/>
    <w:qFormat/>
    <w:uiPriority w:val="0"/>
    <w:rPr>
      <w:rFonts w:ascii="Times New Roman" w:hAnsi="Times New Roman" w:eastAsia="仿宋_GB2312"/>
      <w:sz w:val="36"/>
    </w:rPr>
  </w:style>
  <w:style w:type="paragraph" w:customStyle="1" w:styleId="40">
    <w:name w:val="附表"/>
    <w:basedOn w:val="1"/>
    <w:qFormat/>
    <w:uiPriority w:val="0"/>
    <w:pPr>
      <w:spacing w:beforeAutospacing="1" w:line="648" w:lineRule="auto"/>
    </w:pPr>
    <w:rPr>
      <w:rFonts w:eastAsia="黑体"/>
      <w:sz w:val="32"/>
    </w:rPr>
  </w:style>
  <w:style w:type="paragraph" w:customStyle="1" w:styleId="41">
    <w:name w:val="附表标题"/>
    <w:basedOn w:val="1"/>
    <w:qFormat/>
    <w:uiPriority w:val="0"/>
    <w:pPr>
      <w:spacing w:line="552" w:lineRule="auto"/>
      <w:jc w:val="center"/>
    </w:pPr>
    <w:rPr>
      <w:rFonts w:eastAsia="方正小标宋_GBK"/>
      <w:sz w:val="38"/>
    </w:rPr>
  </w:style>
  <w:style w:type="paragraph" w:customStyle="1" w:styleId="42">
    <w:name w:val="首行缩进表格正文"/>
    <w:basedOn w:val="1"/>
    <w:link w:val="46"/>
    <w:qFormat/>
    <w:uiPriority w:val="0"/>
    <w:pPr>
      <w:spacing w:line="360" w:lineRule="auto"/>
      <w:ind w:firstLine="720" w:firstLineChars="200"/>
      <w:jc w:val="left"/>
    </w:pPr>
  </w:style>
  <w:style w:type="paragraph" w:customStyle="1" w:styleId="43">
    <w:name w:val="正文标题"/>
    <w:basedOn w:val="1"/>
    <w:link w:val="44"/>
    <w:qFormat/>
    <w:uiPriority w:val="0"/>
    <w:pPr>
      <w:spacing w:beforeLines="100" w:afterLines="100"/>
      <w:jc w:val="center"/>
    </w:pPr>
    <w:rPr>
      <w:rFonts w:eastAsia="黑体"/>
      <w:sz w:val="30"/>
    </w:rPr>
  </w:style>
  <w:style w:type="character" w:customStyle="1" w:styleId="44">
    <w:name w:val="正文标题 Char"/>
    <w:link w:val="43"/>
    <w:qFormat/>
    <w:uiPriority w:val="0"/>
    <w:rPr>
      <w:rFonts w:ascii="Times New Roman" w:hAnsi="Times New Roman" w:eastAsia="黑体"/>
      <w:sz w:val="30"/>
    </w:rPr>
  </w:style>
  <w:style w:type="paragraph" w:customStyle="1" w:styleId="45">
    <w:name w:val="_Style 4"/>
    <w:qFormat/>
    <w:uiPriority w:val="0"/>
    <w:pPr>
      <w:widowControl w:val="0"/>
      <w:jc w:val="both"/>
    </w:pPr>
    <w:rPr>
      <w:rFonts w:ascii="Times New Roman" w:hAnsi="Times New Roman" w:eastAsia="仿宋_GB2312" w:cs="Times New Roman"/>
      <w:kern w:val="2"/>
      <w:sz w:val="24"/>
      <w:szCs w:val="22"/>
      <w:lang w:val="en-US" w:eastAsia="zh-CN" w:bidi="ar-SA"/>
    </w:rPr>
  </w:style>
  <w:style w:type="character" w:customStyle="1" w:styleId="46">
    <w:name w:val="首行缩进表格正文 Char"/>
    <w:link w:val="42"/>
    <w:qFormat/>
    <w:uiPriority w:val="0"/>
    <w:rPr>
      <w:rFonts w:ascii="Times New Roman" w:hAnsi="Times New Roman" w:eastAsia="宋体"/>
      <w:sz w:val="21"/>
    </w:rPr>
  </w:style>
  <w:style w:type="table" w:customStyle="1" w:styleId="47">
    <w:name w:val="样式2"/>
    <w:basedOn w:val="26"/>
    <w:qFormat/>
    <w:uiPriority w:val="99"/>
    <w:pPr>
      <w:jc w:val="center"/>
    </w:p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character" w:customStyle="1" w:styleId="48">
    <w:name w:val="报告表图标题 Char"/>
    <w:link w:val="31"/>
    <w:qFormat/>
    <w:uiPriority w:val="0"/>
    <w:rPr>
      <w:b/>
      <w:kern w:val="0"/>
      <w:szCs w:val="22"/>
    </w:rPr>
  </w:style>
  <w:style w:type="paragraph" w:customStyle="1" w:styleId="49">
    <w:name w:val="表头"/>
    <w:basedOn w:val="23"/>
    <w:next w:val="20"/>
    <w:qFormat/>
    <w:uiPriority w:val="0"/>
    <w:rPr>
      <w:rFonts w:ascii="宋体" w:hAnsi="宋体" w:eastAsia="黑体"/>
      <w:szCs w:val="24"/>
    </w:rPr>
  </w:style>
  <w:style w:type="paragraph" w:customStyle="1" w:styleId="50">
    <w:name w:val="环评表中文字"/>
    <w:basedOn w:val="1"/>
    <w:qFormat/>
    <w:uiPriority w:val="0"/>
    <w:pPr>
      <w:jc w:val="center"/>
    </w:pPr>
  </w:style>
  <w:style w:type="character" w:customStyle="1" w:styleId="51">
    <w:name w:val="页脚 字符"/>
    <w:basedOn w:val="28"/>
    <w:link w:val="18"/>
    <w:qFormat/>
    <w:uiPriority w:val="0"/>
    <w:rPr>
      <w:rFonts w:hint="eastAsia" w:ascii="Arial Unicode MS" w:hAnsi="Arial Unicode MS" w:eastAsia="Arial Unicode MS" w:cs="Arial Unicode MS"/>
    </w:rPr>
  </w:style>
  <w:style w:type="character" w:customStyle="1" w:styleId="52">
    <w:name w:val="页眉 字符"/>
    <w:basedOn w:val="28"/>
    <w:link w:val="19"/>
    <w:qFormat/>
    <w:uiPriority w:val="0"/>
    <w:rPr>
      <w:rFonts w:hint="eastAsia" w:ascii="Arial Unicode MS" w:hAnsi="Arial Unicode MS" w:eastAsia="Arial Unicode MS" w:cs="Arial Unicode MS"/>
    </w:rPr>
  </w:style>
  <w:style w:type="paragraph" w:customStyle="1" w:styleId="53">
    <w:name w:val="Table Paragraph"/>
    <w:basedOn w:val="1"/>
    <w:qFormat/>
    <w:uiPriority w:val="1"/>
    <w:rPr>
      <w:rFonts w:ascii="宋体" w:hAnsi="宋体" w:cs="宋体"/>
    </w:rPr>
  </w:style>
  <w:style w:type="paragraph" w:customStyle="1" w:styleId="54">
    <w:name w:val="表格正文"/>
    <w:basedOn w:val="1"/>
    <w:qFormat/>
    <w:uiPriority w:val="0"/>
    <w:pPr>
      <w:spacing w:line="360" w:lineRule="exact"/>
      <w:ind w:firstLine="640" w:firstLineChars="200"/>
      <w:jc w:val="center"/>
    </w:pPr>
    <w:rPr>
      <w:sz w:val="28"/>
      <w:szCs w:val="28"/>
    </w:rPr>
  </w:style>
  <w:style w:type="paragraph" w:customStyle="1" w:styleId="55">
    <w:name w:val="正文样式1"/>
    <w:basedOn w:val="1"/>
    <w:qFormat/>
    <w:uiPriority w:val="0"/>
    <w:pPr>
      <w:adjustRightInd w:val="0"/>
      <w:spacing w:line="288" w:lineRule="auto"/>
      <w:ind w:firstLine="360" w:firstLineChars="150"/>
      <w:textAlignment w:val="baseline"/>
    </w:pPr>
    <w:rPr>
      <w:kern w:val="0"/>
      <w:sz w:val="24"/>
      <w:szCs w:val="20"/>
    </w:rPr>
  </w:style>
  <w:style w:type="paragraph" w:customStyle="1" w:styleId="56">
    <w:name w:val="样式 Times New Roman 五号 居中1"/>
    <w:basedOn w:val="1"/>
    <w:qFormat/>
    <w:uiPriority w:val="0"/>
    <w:pPr>
      <w:jc w:val="center"/>
    </w:pPr>
    <w:rPr>
      <w:rFonts w:cs="宋体"/>
      <w:szCs w:val="20"/>
    </w:rPr>
  </w:style>
  <w:style w:type="paragraph" w:customStyle="1" w:styleId="57">
    <w:name w:val="正文_14"/>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58">
    <w:name w:val="正文_15"/>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59">
    <w:name w:val="正文----------------"/>
    <w:basedOn w:val="1"/>
    <w:qFormat/>
    <w:uiPriority w:val="0"/>
    <w:pPr>
      <w:spacing w:line="440" w:lineRule="exact"/>
      <w:ind w:firstLine="544" w:firstLineChars="200"/>
    </w:pPr>
    <w:rPr>
      <w:rFonts w:ascii="Calibri" w:cs="宋体"/>
      <w:spacing w:val="16"/>
      <w:szCs w:val="20"/>
    </w:rPr>
  </w:style>
  <w:style w:type="paragraph" w:customStyle="1" w:styleId="60">
    <w:name w:val="表格"/>
    <w:basedOn w:val="7"/>
    <w:next w:val="1"/>
    <w:qFormat/>
    <w:uiPriority w:val="0"/>
    <w:pPr>
      <w:adjustRightInd w:val="0"/>
      <w:snapToGrid w:val="0"/>
      <w:spacing w:beforeLines="10" w:afterLines="10" w:line="259" w:lineRule="auto"/>
      <w:jc w:val="center"/>
    </w:pPr>
    <w:rPr>
      <w:rFonts w:ascii="宋体"/>
      <w:kern w:val="0"/>
      <w:sz w:val="20"/>
      <w:szCs w:val="21"/>
    </w:rPr>
  </w:style>
  <w:style w:type="character" w:customStyle="1" w:styleId="61">
    <w:name w:val="文档结构图 字符"/>
    <w:basedOn w:val="28"/>
    <w:link w:val="8"/>
    <w:qFormat/>
    <w:uiPriority w:val="0"/>
    <w:rPr>
      <w:rFonts w:ascii="宋体"/>
      <w:kern w:val="2"/>
      <w:sz w:val="18"/>
      <w:szCs w:val="18"/>
    </w:rPr>
  </w:style>
  <w:style w:type="character" w:customStyle="1" w:styleId="62">
    <w:name w:val="批注框文本 字符"/>
    <w:basedOn w:val="28"/>
    <w:link w:val="17"/>
    <w:qFormat/>
    <w:uiPriority w:val="0"/>
    <w:rPr>
      <w:kern w:val="2"/>
      <w:sz w:val="18"/>
      <w:szCs w:val="18"/>
    </w:rPr>
  </w:style>
  <w:style w:type="character" w:customStyle="1" w:styleId="63">
    <w:name w:val="【正文】 Char"/>
    <w:qFormat/>
    <w:uiPriority w:val="0"/>
    <w:rPr>
      <w:kern w:val="2"/>
      <w:sz w:val="24"/>
      <w:szCs w:val="24"/>
    </w:rPr>
  </w:style>
  <w:style w:type="paragraph" w:customStyle="1" w:styleId="64">
    <w:name w:val="正文缩进1"/>
    <w:basedOn w:val="1"/>
    <w:qFormat/>
    <w:uiPriority w:val="0"/>
    <w:pPr>
      <w:spacing w:line="520" w:lineRule="exact"/>
      <w:ind w:firstLine="624"/>
    </w:pPr>
    <w:rPr>
      <w:rFonts w:ascii="Times New Roman" w:hAnsi="Times New Roman" w:cs="Times New Roman"/>
      <w:sz w:val="28"/>
      <w:szCs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6" Type="http://schemas.openxmlformats.org/officeDocument/2006/relationships/fontTable" Target="fontTable.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footer" Target="footer2.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er" Target="foot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jpeg"/><Relationship Id="rId15" Type="http://schemas.openxmlformats.org/officeDocument/2006/relationships/image" Target="media/image4.emf"/><Relationship Id="rId14" Type="http://schemas.openxmlformats.org/officeDocument/2006/relationships/oleObject" Target="embeddings/oleObject2.bin"/><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emf"/><Relationship Id="rId10" Type="http://schemas.openxmlformats.org/officeDocument/2006/relationships/oleObject" Target="embeddings/oleObject1.bin"/><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83</Pages>
  <Words>34579</Words>
  <Characters>38482</Characters>
  <Lines>290</Lines>
  <Paragraphs>81</Paragraphs>
  <TotalTime>2</TotalTime>
  <ScaleCrop>false</ScaleCrop>
  <LinksUpToDate>false</LinksUpToDate>
  <CharactersWithSpaces>38728</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2022-03-17T04:51:00Z</dcterms:created>
  <dc:creator>lhj</dc:creator>
  <cp:lastModifiedBy>B</cp:lastModifiedBy>
  <cp:lastPrinted>2020-12-29T02:43:00Z</cp:lastPrinted>
  <dcterms:modified xsi:type="dcterms:W3CDTF">2022-11-18T03:31:13Z</dcterms:modified>
  <dc:title>附件2</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KSOSaveFontToCloudKey">
    <vt:lpwstr>426151473_cloud</vt:lpwstr>
  </property>
  <property fmtid="{D5CDD505-2E9C-101B-9397-08002B2CF9AE}" pid="4" name="ICV">
    <vt:lpwstr>3437DD215CF145BA9DBA020736F442A0</vt:lpwstr>
  </property>
</Properties>
</file>